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54" w:firstLineChars="1300"/>
        <w:rPr>
          <w:rFonts w:ascii="宋体" w:hAnsi="宋体"/>
          <w:color w:val="FF0000"/>
          <w:szCs w:val="21"/>
        </w:rPr>
      </w:pPr>
      <w:bookmarkStart w:id="109" w:name="_GoBack"/>
      <w:bookmarkEnd w:id="109"/>
      <w:r>
        <w:rPr>
          <w:rFonts w:hint="eastAsia" w:ascii="宋体" w:hAnsi="宋体" w:eastAsia="黑体"/>
          <w:b/>
          <w:bCs/>
          <w:color w:val="FF0000"/>
          <w:kern w:val="44"/>
          <w:sz w:val="28"/>
          <w:szCs w:val="44"/>
        </w:rPr>
        <w:t>特别警示条款</w:t>
      </w:r>
    </w:p>
    <w:p>
      <w:pPr>
        <w:pBdr>
          <w:top w:val="none" w:color="auto" w:sz="0" w:space="1"/>
          <w:left w:val="none" w:color="auto" w:sz="0" w:space="4"/>
          <w:bottom w:val="none" w:color="auto" w:sz="0" w:space="1"/>
          <w:right w:val="none" w:color="auto" w:sz="0" w:space="4"/>
        </w:pBdr>
        <w:ind w:firstLine="421" w:firstLineChars="200"/>
        <w:rPr>
          <w:rFonts w:ascii="宋体" w:hAnsi="宋体" w:cs="宋体"/>
          <w:b/>
          <w:bCs/>
          <w:color w:val="FF0000"/>
          <w:szCs w:val="21"/>
        </w:rPr>
      </w:pPr>
    </w:p>
    <w:p>
      <w:pPr>
        <w:pBdr>
          <w:top w:val="none" w:color="auto" w:sz="0" w:space="1"/>
          <w:left w:val="none" w:color="auto" w:sz="0" w:space="4"/>
          <w:bottom w:val="none" w:color="auto" w:sz="0" w:space="1"/>
          <w:right w:val="none" w:color="auto" w:sz="0" w:space="4"/>
        </w:pBdr>
        <w:ind w:firstLine="421" w:firstLineChars="200"/>
        <w:rPr>
          <w:rFonts w:ascii="宋体" w:hAnsi="宋体" w:cs="宋体"/>
          <w:b/>
          <w:bCs/>
          <w:color w:val="FF0000"/>
          <w:szCs w:val="21"/>
        </w:rPr>
      </w:pPr>
      <w:r>
        <w:rPr>
          <w:rFonts w:hint="eastAsia" w:ascii="宋体" w:hAnsi="宋体" w:cs="宋体"/>
          <w:b/>
          <w:bCs/>
          <w:color w:val="FF0000"/>
          <w:szCs w:val="21"/>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序号</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b/>
                <w:bCs/>
                <w:color w:val="FF0000"/>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1</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与其他投标供应商的法定代表人、主要经营负责人、投标授权代表人、项目负责人、主要技术人员为</w:t>
            </w:r>
            <w:r>
              <w:rPr>
                <w:rFonts w:hint="eastAsia" w:ascii="宋体" w:hAnsi="宋体" w:cs="宋体"/>
                <w:b/>
                <w:bCs/>
                <w:color w:val="FF0000"/>
                <w:szCs w:val="21"/>
              </w:rPr>
              <w:t>同一人、属同一单位或者在同一单位缴纳社会保险</w:t>
            </w:r>
            <w:r>
              <w:rPr>
                <w:rFonts w:hint="eastAsia" w:ascii="宋体" w:hAnsi="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2</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参与本项目政府采购活动时，与其他投标供应商存在单位负责人为</w:t>
            </w:r>
            <w:r>
              <w:rPr>
                <w:rFonts w:hint="eastAsia" w:ascii="宋体" w:hAnsi="宋体" w:cs="宋体"/>
                <w:b/>
                <w:bCs/>
                <w:color w:val="FF0000"/>
                <w:szCs w:val="21"/>
              </w:rPr>
              <w:t>同一人或直接控股、管理关系</w:t>
            </w:r>
            <w:r>
              <w:rPr>
                <w:rFonts w:hint="eastAsia" w:ascii="宋体" w:hAnsi="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3</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与其他投标供应商的投标文件或部分投标文件</w:t>
            </w:r>
            <w:r>
              <w:rPr>
                <w:rFonts w:hint="eastAsia" w:ascii="宋体" w:hAnsi="宋体" w:cs="宋体"/>
                <w:b/>
                <w:bCs/>
                <w:color w:val="FF0000"/>
                <w:szCs w:val="21"/>
              </w:rPr>
              <w:t>相互混装或存在非正常一致</w:t>
            </w:r>
            <w:r>
              <w:rPr>
                <w:rFonts w:hint="eastAsia" w:ascii="宋体" w:hAnsi="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4</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与其他投标供应商的投标文件由</w:t>
            </w:r>
            <w:r>
              <w:rPr>
                <w:rFonts w:hint="eastAsia" w:ascii="宋体" w:hAnsi="宋体" w:cs="宋体"/>
                <w:b/>
                <w:bCs/>
                <w:color w:val="FF0000"/>
                <w:szCs w:val="21"/>
              </w:rPr>
              <w:t>同一单位或者同一人编制</w:t>
            </w:r>
            <w:r>
              <w:rPr>
                <w:rFonts w:hint="eastAsia" w:ascii="宋体" w:hAnsi="宋体" w:cs="宋体"/>
                <w:color w:val="FF0000"/>
                <w:szCs w:val="21"/>
              </w:rPr>
              <w:t>，或者使用</w:t>
            </w:r>
            <w:r>
              <w:rPr>
                <w:rFonts w:hint="eastAsia" w:ascii="宋体" w:hAnsi="宋体" w:cs="宋体"/>
                <w:b/>
                <w:bCs/>
                <w:color w:val="FF0000"/>
                <w:szCs w:val="21"/>
              </w:rPr>
              <w:t>同一设备编制</w:t>
            </w:r>
            <w:r>
              <w:rPr>
                <w:rFonts w:hint="eastAsia" w:ascii="宋体" w:hAnsi="宋体" w:cs="宋体"/>
                <w:color w:val="FF0000"/>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5</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提供</w:t>
            </w:r>
            <w:r>
              <w:rPr>
                <w:rFonts w:hint="eastAsia" w:ascii="宋体" w:hAnsi="宋体" w:cs="宋体"/>
                <w:b/>
                <w:bCs/>
                <w:color w:val="FF0000"/>
                <w:szCs w:val="21"/>
              </w:rPr>
              <w:t>未经出具机构核实</w:t>
            </w:r>
            <w:r>
              <w:rPr>
                <w:rFonts w:hint="eastAsia" w:ascii="宋体" w:hAnsi="宋体" w:cs="宋体"/>
                <w:color w:val="FF0000"/>
                <w:szCs w:val="21"/>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6</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擅自将投标密钥或电子营业执照出借他人使用或未妥善保管。</w:t>
            </w:r>
          </w:p>
        </w:tc>
      </w:tr>
    </w:tbl>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（六）恶意投诉的；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（九）其他违反本条例规定的行为。</w:t>
      </w:r>
    </w:p>
    <w:p>
      <w:pPr>
        <w:pBdr>
          <w:top w:val="none" w:color="auto" w:sz="0" w:space="1"/>
          <w:left w:val="none" w:color="auto" w:sz="0" w:space="4"/>
          <w:bottom w:val="none" w:color="auto" w:sz="0" w:space="1"/>
          <w:right w:val="none" w:color="auto" w:sz="0" w:space="4"/>
        </w:pBdr>
        <w:rPr>
          <w:rFonts w:ascii="宋体" w:hAnsi="宋体"/>
          <w:b/>
          <w:bCs/>
          <w:color w:val="FF0000"/>
          <w:sz w:val="20"/>
          <w:szCs w:val="20"/>
        </w:rPr>
      </w:pPr>
    </w:p>
    <w:p>
      <w:pPr>
        <w:pBdr>
          <w:top w:val="none" w:color="auto" w:sz="0" w:space="1"/>
          <w:left w:val="none" w:color="auto" w:sz="0" w:space="4"/>
          <w:bottom w:val="none" w:color="auto" w:sz="0" w:space="1"/>
          <w:right w:val="none" w:color="auto" w:sz="0" w:space="4"/>
        </w:pBdr>
        <w:ind w:firstLine="401" w:firstLineChars="200"/>
        <w:rPr>
          <w:rFonts w:ascii="宋体" w:hAnsi="宋体"/>
          <w:color w:val="FF0000"/>
          <w:sz w:val="20"/>
          <w:szCs w:val="20"/>
        </w:rPr>
      </w:pPr>
      <w:r>
        <w:rPr>
          <w:rFonts w:hint="eastAsia" w:ascii="宋体" w:hAnsi="宋体"/>
          <w:b/>
          <w:bCs/>
          <w:color w:val="FF0000"/>
          <w:sz w:val="20"/>
          <w:szCs w:val="20"/>
        </w:rPr>
        <w:t xml:space="preserve">二、《深圳经济特区政府采购条例实施细则》第七十五条 </w:t>
      </w:r>
      <w:r>
        <w:rPr>
          <w:rFonts w:hint="eastAsia" w:ascii="宋体" w:hAnsi="宋体"/>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pBdr>
          <w:top w:val="none" w:color="auto" w:sz="0" w:space="1"/>
          <w:left w:val="none" w:color="auto" w:sz="0" w:space="4"/>
          <w:bottom w:val="none" w:color="auto" w:sz="0" w:space="1"/>
          <w:right w:val="none" w:color="auto" w:sz="0" w:space="4"/>
        </w:pBdr>
        <w:ind w:firstLine="401" w:firstLineChars="200"/>
        <w:rPr>
          <w:rFonts w:ascii="宋体" w:hAnsi="宋体"/>
          <w:b/>
          <w:bCs/>
          <w:color w:val="FF0000"/>
          <w:sz w:val="20"/>
          <w:szCs w:val="20"/>
        </w:rPr>
      </w:pPr>
    </w:p>
    <w:p>
      <w:pPr>
        <w:pBdr>
          <w:top w:val="none" w:color="auto" w:sz="0" w:space="1"/>
          <w:left w:val="none" w:color="auto" w:sz="0" w:space="4"/>
          <w:bottom w:val="none" w:color="auto" w:sz="0" w:space="1"/>
          <w:right w:val="none" w:color="auto" w:sz="0" w:space="4"/>
        </w:pBdr>
        <w:ind w:firstLine="401" w:firstLineChars="200"/>
        <w:rPr>
          <w:rFonts w:ascii="宋体" w:hAnsi="宋体"/>
          <w:color w:val="FF0000"/>
          <w:sz w:val="20"/>
          <w:szCs w:val="20"/>
        </w:rPr>
      </w:pPr>
      <w:r>
        <w:rPr>
          <w:rFonts w:hint="eastAsia" w:ascii="宋体" w:hAnsi="宋体"/>
          <w:b/>
          <w:bCs/>
          <w:color w:val="FF0000"/>
          <w:sz w:val="20"/>
          <w:szCs w:val="20"/>
        </w:rPr>
        <w:t xml:space="preserve">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四、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为避免出现不同供应商投标文件的文件制作机器码、文件创建标识码、IP地址一致的异常情况，建议各供应商编制、上传投标文件时不要使用公共电脑设备或公共网络。</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rPr>
        <w:t>、</w:t>
      </w:r>
      <w:r>
        <w:rPr>
          <w:rFonts w:hint="eastAsia" w:ascii="宋体" w:hAnsi="宋体"/>
          <w:color w:val="FF0000"/>
          <w:sz w:val="20"/>
          <w:szCs w:val="20"/>
        </w:rPr>
        <w:t>依法吊销其营业</w:t>
      </w:r>
      <w:r>
        <w:rPr>
          <w:rFonts w:hint="eastAsia" w:hAnsi="宋体"/>
          <w:color w:val="FF0000"/>
          <w:sz w:val="20"/>
          <w:szCs w:val="20"/>
        </w:rPr>
        <w:t>执照等行政处罚，</w:t>
      </w:r>
      <w:r>
        <w:rPr>
          <w:rFonts w:hint="eastAsia" w:ascii="宋体" w:hAnsi="宋体"/>
          <w:color w:val="FF0000"/>
          <w:sz w:val="20"/>
          <w:szCs w:val="20"/>
        </w:rPr>
        <w:t>构成犯罪的，依法追究刑事责任</w:t>
      </w:r>
      <w:r>
        <w:rPr>
          <w:rFonts w:hint="eastAsia"/>
          <w:bCs/>
          <w:color w:val="FF0000"/>
          <w:sz w:val="20"/>
          <w:szCs w:val="20"/>
        </w:rPr>
        <w:t>，请各供应商独立编制、上传投标文件，妥善保管和使用电子密钥。</w:t>
      </w:r>
    </w:p>
    <w:p>
      <w:pPr>
        <w:pBdr>
          <w:top w:val="none" w:color="auto" w:sz="0" w:space="1"/>
          <w:left w:val="none" w:color="auto" w:sz="0" w:space="4"/>
          <w:bottom w:val="none" w:color="auto" w:sz="0" w:space="1"/>
          <w:right w:val="none" w:color="auto" w:sz="0" w:space="4"/>
        </w:pBdr>
        <w:ind w:firstLine="421" w:firstLineChars="200"/>
        <w:rPr>
          <w:b/>
          <w:color w:val="FF0000"/>
        </w:rPr>
      </w:pPr>
    </w:p>
    <w:p>
      <w:pPr>
        <w:pBdr>
          <w:top w:val="none" w:color="auto" w:sz="0" w:space="1"/>
          <w:left w:val="none" w:color="auto" w:sz="0" w:space="4"/>
          <w:bottom w:val="none" w:color="auto" w:sz="0" w:space="1"/>
          <w:right w:val="none" w:color="auto" w:sz="0" w:space="4"/>
        </w:pBdr>
        <w:ind w:firstLine="421" w:firstLineChars="200"/>
        <w:rPr>
          <w:b/>
          <w:color w:val="FF0000"/>
        </w:rPr>
      </w:pPr>
      <w:r>
        <w:rPr>
          <w:rFonts w:hint="eastAsia"/>
          <w:b/>
          <w:color w:val="FF0000"/>
        </w:rPr>
        <w:t>五、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pPr>
        <w:pStyle w:val="2"/>
        <w:numPr>
          <w:ilvl w:val="255"/>
          <w:numId w:val="0"/>
        </w:numPr>
        <w:spacing w:line="240" w:lineRule="auto"/>
      </w:pPr>
    </w:p>
    <w:p>
      <w:pPr>
        <w:pBdr>
          <w:top w:val="none" w:color="auto" w:sz="0" w:space="1"/>
          <w:left w:val="none" w:color="auto" w:sz="0" w:space="4"/>
          <w:bottom w:val="none" w:color="auto" w:sz="0" w:space="1"/>
          <w:right w:val="none" w:color="auto" w:sz="0" w:space="4"/>
        </w:pBdr>
        <w:ind w:firstLine="421" w:firstLineChars="200"/>
      </w:pPr>
      <w:r>
        <w:rPr>
          <w:rFonts w:hint="eastAsia"/>
          <w:b/>
          <w:color w:val="FF0000"/>
        </w:rPr>
        <w:t>六、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pPr>
        <w:pStyle w:val="192"/>
        <w:pBdr>
          <w:top w:val="none" w:color="auto" w:sz="0" w:space="1"/>
          <w:left w:val="none" w:color="auto" w:sz="0" w:space="4"/>
          <w:bottom w:val="none" w:color="auto" w:sz="0" w:space="1"/>
          <w:right w:val="none" w:color="auto" w:sz="0" w:space="4"/>
        </w:pBdr>
        <w:rPr>
          <w:bCs/>
          <w:color w:val="FF0000"/>
          <w:sz w:val="20"/>
          <w:szCs w:val="20"/>
        </w:rPr>
      </w:pPr>
    </w:p>
    <w:p>
      <w:pPr>
        <w:widowControl/>
        <w:pBdr>
          <w:top w:val="none" w:color="auto" w:sz="0" w:space="1"/>
          <w:left w:val="none" w:color="auto" w:sz="0" w:space="4"/>
          <w:bottom w:val="none" w:color="auto" w:sz="0" w:space="1"/>
          <w:right w:val="none" w:color="auto" w:sz="0" w:space="4"/>
        </w:pBdr>
        <w:rPr>
          <w:b/>
          <w:color w:val="FF0000"/>
        </w:rPr>
      </w:pPr>
      <w:r>
        <w:rPr>
          <w:rFonts w:hint="eastAsia"/>
          <w:b/>
          <w:color w:val="FF0000"/>
        </w:rPr>
        <w:t>注：“特别警示条款”和《政府采购违法行为风险知悉确认书》用于对供应商违法行为的提醒，不作为供应商资格性审查及符合性审查条件。</w:t>
      </w: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sectPr>
          <w:headerReference r:id="rId5" w:type="first"/>
          <w:footerReference r:id="rId8" w:type="first"/>
          <w:footerReference r:id="rId6" w:type="default"/>
          <w:footerReference r:id="rId7" w:type="even"/>
          <w:pgSz w:w="11907" w:h="16840"/>
          <w:pgMar w:top="1440" w:right="1417" w:bottom="1440" w:left="1417" w:header="851" w:footer="992" w:gutter="0"/>
          <w:cols w:space="425" w:num="1"/>
          <w:titlePg/>
          <w:docGrid w:linePitch="462" w:charSpace="0"/>
        </w:sect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pPr>
      <w:r>
        <w:rPr>
          <w:rFonts w:hint="eastAsia" w:ascii="黑体" w:hAnsi="宋体" w:eastAsia="黑体" w:cs="黑体"/>
          <w:kern w:val="0"/>
          <w:sz w:val="40"/>
          <w:szCs w:val="40"/>
        </w:rPr>
        <w:t>招标文件信息</w:t>
      </w:r>
    </w:p>
    <w:tbl>
      <w:tblPr>
        <w:tblStyle w:val="42"/>
        <w:tblW w:w="7943" w:type="dxa"/>
        <w:jc w:val="center"/>
        <w:tblCellSpacing w:w="0" w:type="dxa"/>
        <w:tblLayout w:type="fixed"/>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项目编号：</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项目名称：</w:t>
            </w:r>
          </w:p>
        </w:tc>
        <w:tc>
          <w:tcPr>
            <w:tcW w:w="5220" w:type="dxa"/>
            <w:shd w:val="clear" w:color="auto" w:fill="auto"/>
            <w:vAlign w:val="center"/>
          </w:tcPr>
          <w:p>
            <w:pPr>
              <w:widowControl/>
              <w:jc w:val="left"/>
              <w:rPr>
                <w:sz w:val="32"/>
                <w:szCs w:val="32"/>
              </w:rPr>
            </w:pPr>
            <w:r>
              <w:rPr>
                <w:rFonts w:hint="eastAsia"/>
                <w:sz w:val="32"/>
                <w:szCs w:val="32"/>
              </w:rPr>
              <w:t>盐田区沙头角、海山片区公共绿地（含栈道、绿道）综合管理服务项目</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包 号：</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A</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项目类型：</w:t>
            </w:r>
          </w:p>
        </w:tc>
        <w:tc>
          <w:tcPr>
            <w:tcW w:w="5220" w:type="dxa"/>
            <w:shd w:val="clear" w:color="auto" w:fill="auto"/>
            <w:vAlign w:val="center"/>
          </w:tcPr>
          <w:p>
            <w:pPr>
              <w:widowControl/>
              <w:jc w:val="left"/>
              <w:rPr>
                <w:sz w:val="32"/>
                <w:szCs w:val="32"/>
              </w:rPr>
            </w:pPr>
            <w:r>
              <w:rPr>
                <w:rFonts w:hint="eastAsia" w:ascii="宋体" w:hAnsi="宋体" w:cs="宋体"/>
                <w:kern w:val="0"/>
                <w:sz w:val="32"/>
                <w:szCs w:val="32"/>
                <w:lang w:bidi="ar"/>
              </w:rPr>
              <w:t>服务</w:t>
            </w:r>
            <w:r>
              <w:rPr>
                <w:rFonts w:ascii="宋体" w:hAnsi="宋体" w:cs="宋体"/>
                <w:kern w:val="0"/>
                <w:sz w:val="32"/>
                <w:szCs w:val="32"/>
                <w:lang w:bidi="ar"/>
              </w:rPr>
              <w:t>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采购方式：</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公开招标</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货币类型：</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人民币</w:t>
            </w:r>
          </w:p>
        </w:tc>
      </w:tr>
    </w:tbl>
    <w:p>
      <w:pPr>
        <w:pStyle w:val="37"/>
        <w:jc w:val="center"/>
        <w:rPr>
          <w:rFonts w:ascii="黑体" w:hAnsi="黑体" w:eastAsia="黑体"/>
          <w:sz w:val="40"/>
          <w:szCs w:val="40"/>
        </w:rPr>
      </w:pPr>
    </w:p>
    <w:p>
      <w:pPr>
        <w:pStyle w:val="37"/>
        <w:jc w:val="center"/>
        <w:outlineLvl w:val="1"/>
        <w:rPr>
          <w:rFonts w:ascii="黑体" w:hAnsi="黑体" w:eastAsia="黑体"/>
          <w:sz w:val="40"/>
          <w:szCs w:val="40"/>
        </w:rPr>
        <w:sectPr>
          <w:pgSz w:w="11907" w:h="16840"/>
          <w:pgMar w:top="1440" w:right="1417" w:bottom="1440" w:left="1417" w:header="851" w:footer="992" w:gutter="0"/>
          <w:cols w:space="425" w:num="1"/>
          <w:titlePg/>
          <w:docGrid w:linePitch="462" w:charSpace="0"/>
        </w:sectPr>
      </w:pPr>
    </w:p>
    <w:p>
      <w:pPr>
        <w:pStyle w:val="37"/>
        <w:jc w:val="center"/>
        <w:outlineLvl w:val="1"/>
        <w:rPr>
          <w:rFonts w:ascii="黑体" w:hAnsi="黑体" w:eastAsia="黑体"/>
          <w:sz w:val="40"/>
          <w:szCs w:val="40"/>
        </w:rPr>
      </w:pPr>
      <w:r>
        <w:rPr>
          <w:rFonts w:hint="eastAsia" w:ascii="黑体" w:hAnsi="黑体" w:eastAsia="黑体"/>
          <w:sz w:val="40"/>
          <w:szCs w:val="40"/>
        </w:rPr>
        <w:t>资格性审查表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1</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kern w:val="0"/>
                <w:szCs w:val="21"/>
                <w:lang w:bidi="ar"/>
              </w:rPr>
              <w:t>投标人不符合资格要求，或未提交相应的资格证明资料（详见招标公告</w:t>
            </w:r>
            <w:r>
              <w:rPr>
                <w:rFonts w:hint="eastAsia" w:ascii="宋体" w:hAnsi="宋体" w:cs="宋体"/>
                <w:szCs w:val="21"/>
              </w:rPr>
              <w:t>投标人资格要求，即申请人的资格要求</w:t>
            </w:r>
            <w:r>
              <w:rPr>
                <w:rFonts w:hint="eastAsia" w:ascii="宋体" w:hAnsi="宋体" w:cs="宋体"/>
                <w:kern w:val="0"/>
                <w:szCs w:val="21"/>
                <w:lang w:bidi="ar"/>
              </w:rPr>
              <w:t>）</w:t>
            </w:r>
          </w:p>
        </w:tc>
      </w:tr>
    </w:tbl>
    <w:p>
      <w:pPr>
        <w:pStyle w:val="37"/>
        <w:spacing w:before="280"/>
        <w:jc w:val="center"/>
        <w:outlineLvl w:val="1"/>
        <w:rPr>
          <w:rFonts w:ascii="黑体" w:hAnsi="黑体" w:eastAsia="黑体"/>
          <w:sz w:val="40"/>
          <w:szCs w:val="40"/>
        </w:rPr>
      </w:pPr>
      <w:r>
        <w:rPr>
          <w:rFonts w:hint="eastAsia" w:ascii="黑体" w:hAnsi="黑体" w:eastAsia="黑体"/>
          <w:sz w:val="40"/>
          <w:szCs w:val="40"/>
        </w:rPr>
        <w:t>符合性审查表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1</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2</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3</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分项报价或投标总价不得高于相应预算金额（或设定的预算金额下的最高限价）；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4</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5</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未按招标文件所提供的样式填写《投标函》；未按招标文件所提供的《政府采购投标及履约承诺函》进行承诺；未按招标文件对投标文件组成的要求提供投标文件；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6</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采购标的/服务清单/报价等任意一类有缺漏项或响应不全，或者对招标文件规定的项目需求内容或者需求数量进行修改，评审委员会判定投标响应不满足采购需求；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7</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8</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9</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投标文件不得用不属于本公司的电子密钥或电子营业执照进行加密；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10</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ascii="宋体" w:hAnsi="宋体" w:cs="宋体"/>
                <w:szCs w:val="21"/>
              </w:rPr>
            </w:pPr>
            <w:r>
              <w:rPr>
                <w:rFonts w:hint="eastAsia" w:ascii="宋体" w:hAnsi="宋体" w:cs="宋体"/>
                <w:szCs w:val="21"/>
              </w:rPr>
              <w:t>不得与其他投标供应商投标文件“文件制作机器码”一致；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ascii="宋体" w:hAnsi="宋体" w:cs="宋体"/>
                <w:szCs w:val="21"/>
              </w:rPr>
            </w:pPr>
            <w:r>
              <w:rPr>
                <w:rFonts w:hint="eastAsia" w:ascii="宋体" w:hAnsi="宋体" w:cs="宋体"/>
                <w:szCs w:val="21"/>
              </w:rPr>
              <w:t>11</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ascii="宋体" w:hAnsi="宋体" w:cs="宋体"/>
                <w:szCs w:val="21"/>
              </w:rPr>
            </w:pPr>
            <w:r>
              <w:rPr>
                <w:rFonts w:hint="eastAsia" w:ascii="宋体" w:hAnsi="宋体" w:cs="宋体"/>
                <w:szCs w:val="21"/>
              </w:rPr>
              <w:t>不得与其他投标供应商投标文件“文件创建标识码”一致；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ascii="宋体" w:hAnsi="宋体" w:cs="宋体"/>
                <w:szCs w:val="21"/>
              </w:rPr>
            </w:pPr>
            <w:r>
              <w:rPr>
                <w:rFonts w:hint="eastAsia" w:ascii="宋体" w:hAnsi="宋体" w:cs="宋体"/>
                <w:szCs w:val="21"/>
              </w:rPr>
              <w:t>12</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ascii="宋体" w:hAnsi="宋体" w:cs="宋体"/>
                <w:szCs w:val="21"/>
              </w:rPr>
            </w:pPr>
            <w:r>
              <w:rPr>
                <w:rFonts w:hint="eastAsia" w:ascii="宋体" w:hAnsi="宋体" w:cs="宋体"/>
                <w:szCs w:val="21"/>
              </w:rPr>
              <w:t>投标供应商不得选用《关于在政府采购活动中对有关美国企业采取相关措施的通知》列明的46家美国企业（不包括在华美资企业）生产的产品参与投标。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ascii="宋体" w:hAnsi="宋体" w:cs="宋体"/>
                <w:szCs w:val="21"/>
              </w:rPr>
            </w:pPr>
            <w:r>
              <w:rPr>
                <w:rFonts w:hint="eastAsia" w:ascii="宋体" w:hAnsi="宋体" w:cs="宋体"/>
                <w:szCs w:val="21"/>
              </w:rPr>
              <w:t>13</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法律、法规、规章、规范性文件规定的其他情形。</w:t>
            </w:r>
          </w:p>
        </w:tc>
      </w:tr>
    </w:tbl>
    <w:p>
      <w:pPr>
        <w:pStyle w:val="37"/>
        <w:jc w:val="center"/>
        <w:rPr>
          <w:rFonts w:ascii="黑体" w:hAnsi="黑体" w:eastAsia="黑体"/>
          <w:sz w:val="40"/>
          <w:szCs w:val="40"/>
        </w:rPr>
      </w:pPr>
    </w:p>
    <w:p>
      <w:pPr>
        <w:widowControl/>
        <w:spacing w:beforeAutospacing="1" w:afterAutospacing="1"/>
        <w:jc w:val="center"/>
        <w:outlineLvl w:val="1"/>
        <w:rPr>
          <w:rFonts w:ascii="黑体" w:hAnsi="宋体" w:eastAsia="黑体" w:cs="黑体"/>
          <w:kern w:val="0"/>
          <w:sz w:val="40"/>
          <w:szCs w:val="40"/>
          <w:highlight w:val="cyan"/>
        </w:rPr>
      </w:pPr>
      <w:bookmarkStart w:id="0" w:name="OLE_LINK39"/>
      <w:commentRangeStart w:id="0"/>
      <w:r>
        <w:rPr>
          <w:rFonts w:hint="eastAsia" w:ascii="黑体" w:hAnsi="宋体" w:eastAsia="黑体" w:cs="黑体"/>
          <w:kern w:val="0"/>
          <w:sz w:val="40"/>
          <w:szCs w:val="40"/>
          <w:highlight w:val="cyan"/>
        </w:rPr>
        <w:t>异常低价审查表</w:t>
      </w:r>
      <w:commentRangeEnd w:id="0"/>
      <w:r>
        <w:rPr>
          <w:rFonts w:ascii="宋体"/>
          <w:kern w:val="0"/>
          <w:szCs w:val="21"/>
        </w:rPr>
        <w:commentReference w:id="0"/>
      </w:r>
    </w:p>
    <w:bookmarkEnd w:id="0"/>
    <w:tbl>
      <w:tblPr>
        <w:tblStyle w:val="42"/>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Cs w:val="21"/>
              </w:rPr>
            </w:pPr>
            <w:r>
              <w:rPr>
                <w:rFonts w:ascii="宋体" w:hAnsi="宋体" w:cs="宋体"/>
                <w:kern w:val="0"/>
                <w:szCs w:val="21"/>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Cs w:val="21"/>
              </w:rPr>
            </w:pPr>
            <w:r>
              <w:rPr>
                <w:rFonts w:ascii="宋体" w:hAnsi="宋体" w:cs="宋体"/>
                <w:kern w:val="0"/>
                <w:szCs w:val="21"/>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commentRangeStart w:id="1"/>
            <w:r>
              <w:rPr>
                <w:rFonts w:hint="eastAsia" w:ascii="宋体" w:hAnsi="宋体" w:cs="宋体"/>
                <w:kern w:val="0"/>
                <w:szCs w:val="21"/>
                <w:lang w:bidi="ar"/>
              </w:rPr>
              <w:t>1</w:t>
            </w:r>
            <w:commentRangeEnd w:id="1"/>
            <w:r>
              <w:rPr>
                <w:rStyle w:val="49"/>
                <w:kern w:val="0"/>
              </w:rPr>
              <w:commentReference w:id="1"/>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ascii="宋体" w:hAnsi="宋体" w:cs="宋体"/>
                <w:szCs w:val="21"/>
              </w:rPr>
            </w:pPr>
            <w:r>
              <w:rPr>
                <w:rFonts w:hint="eastAsia" w:ascii="宋体" w:hAnsi="宋体" w:cs="宋体"/>
                <w:szCs w:val="21"/>
              </w:rPr>
              <w:t>评审中出现下列情形之一的，评审委员会应当启动异常低价投标（响应）审查程序：</w:t>
            </w:r>
          </w:p>
          <w:p>
            <w:pPr>
              <w:widowControl/>
              <w:jc w:val="left"/>
              <w:textAlignment w:val="top"/>
              <w:rPr>
                <w:rFonts w:ascii="宋体" w:hAnsi="宋体" w:cs="宋体"/>
                <w:szCs w:val="21"/>
              </w:rPr>
            </w:pPr>
            <w:r>
              <w:rPr>
                <w:rFonts w:hint="eastAsia" w:ascii="宋体" w:hAnsi="宋体" w:cs="宋体"/>
                <w:szCs w:val="21"/>
              </w:rPr>
              <w:t>1.投标（响应）报价低于全部通过符合性审查供应商投标（响应）报价平均值</w:t>
            </w:r>
            <w:commentRangeStart w:id="2"/>
            <w:r>
              <w:rPr>
                <w:rFonts w:hint="eastAsia" w:ascii="宋体" w:hAnsi="宋体" w:cs="宋体"/>
                <w:szCs w:val="21"/>
              </w:rPr>
              <w:t>50%</w:t>
            </w:r>
            <w:commentRangeEnd w:id="2"/>
            <w:r>
              <w:rPr>
                <w:rStyle w:val="49"/>
                <w:kern w:val="0"/>
              </w:rPr>
              <w:commentReference w:id="2"/>
            </w:r>
            <w:r>
              <w:rPr>
                <w:rFonts w:hint="eastAsia" w:ascii="宋体" w:hAnsi="宋体" w:cs="宋体"/>
                <w:szCs w:val="21"/>
              </w:rPr>
              <w:t>的，即投标（响应）报价&lt;全部通过符合性审查供应商投标（响应）报价平均值×</w:t>
            </w:r>
            <w:commentRangeStart w:id="3"/>
            <w:r>
              <w:rPr>
                <w:rFonts w:hint="eastAsia" w:ascii="宋体" w:hAnsi="宋体" w:cs="宋体"/>
                <w:szCs w:val="21"/>
              </w:rPr>
              <w:t>50%</w:t>
            </w:r>
            <w:commentRangeEnd w:id="3"/>
            <w:r>
              <w:rPr>
                <w:rStyle w:val="49"/>
                <w:kern w:val="0"/>
              </w:rPr>
              <w:commentReference w:id="3"/>
            </w:r>
            <w:r>
              <w:rPr>
                <w:rFonts w:hint="eastAsia" w:ascii="宋体" w:hAnsi="宋体" w:cs="宋体"/>
                <w:szCs w:val="21"/>
              </w:rPr>
              <w:t>；</w:t>
            </w:r>
          </w:p>
          <w:p>
            <w:pPr>
              <w:widowControl/>
              <w:jc w:val="left"/>
              <w:textAlignment w:val="top"/>
              <w:rPr>
                <w:rFonts w:ascii="宋体" w:hAnsi="宋体" w:cs="宋体"/>
                <w:szCs w:val="21"/>
              </w:rPr>
            </w:pPr>
          </w:p>
          <w:p>
            <w:pPr>
              <w:widowControl/>
              <w:jc w:val="left"/>
              <w:textAlignment w:val="top"/>
              <w:rPr>
                <w:rFonts w:ascii="宋体" w:hAnsi="宋体" w:cs="宋体"/>
                <w:szCs w:val="21"/>
              </w:rPr>
            </w:pPr>
            <w:r>
              <w:rPr>
                <w:rFonts w:hint="eastAsia" w:ascii="宋体" w:hAnsi="宋体" w:cs="宋体"/>
                <w:szCs w:val="21"/>
              </w:rPr>
              <w:t>2.投标（响应）报价低于通过符合性审查的次低报价供应商投标（响应）报价</w:t>
            </w:r>
            <w:commentRangeStart w:id="4"/>
            <w:r>
              <w:rPr>
                <w:rFonts w:hint="eastAsia" w:ascii="宋体" w:hAnsi="宋体" w:cs="宋体"/>
                <w:szCs w:val="21"/>
              </w:rPr>
              <w:t>50%</w:t>
            </w:r>
            <w:commentRangeEnd w:id="4"/>
            <w:r>
              <w:rPr>
                <w:rStyle w:val="49"/>
                <w:kern w:val="0"/>
              </w:rPr>
              <w:commentReference w:id="4"/>
            </w:r>
            <w:r>
              <w:rPr>
                <w:rFonts w:hint="eastAsia" w:ascii="宋体" w:hAnsi="宋体" w:cs="宋体"/>
                <w:szCs w:val="21"/>
              </w:rPr>
              <w:t>的，即投标（响应）报价&lt;通过符合性审查的次低报价供应商投标（响应）报价×</w:t>
            </w:r>
            <w:commentRangeStart w:id="5"/>
            <w:r>
              <w:rPr>
                <w:rFonts w:hint="eastAsia" w:ascii="宋体" w:hAnsi="宋体" w:cs="宋体"/>
                <w:szCs w:val="21"/>
              </w:rPr>
              <w:t>50%</w:t>
            </w:r>
            <w:commentRangeEnd w:id="5"/>
            <w:r>
              <w:rPr>
                <w:rStyle w:val="49"/>
                <w:kern w:val="0"/>
              </w:rPr>
              <w:commentReference w:id="5"/>
            </w:r>
            <w:r>
              <w:rPr>
                <w:rFonts w:hint="eastAsia" w:ascii="宋体" w:hAnsi="宋体" w:cs="宋体"/>
                <w:szCs w:val="21"/>
              </w:rPr>
              <w:t>；</w:t>
            </w:r>
          </w:p>
          <w:p>
            <w:pPr>
              <w:widowControl/>
              <w:jc w:val="left"/>
              <w:textAlignment w:val="top"/>
              <w:rPr>
                <w:rFonts w:ascii="宋体" w:hAnsi="宋体" w:cs="宋体"/>
                <w:szCs w:val="21"/>
              </w:rPr>
            </w:pPr>
          </w:p>
          <w:p>
            <w:pPr>
              <w:widowControl/>
              <w:jc w:val="left"/>
              <w:textAlignment w:val="top"/>
              <w:rPr>
                <w:rFonts w:ascii="宋体" w:hAnsi="宋体" w:cs="宋体"/>
                <w:szCs w:val="21"/>
              </w:rPr>
            </w:pPr>
            <w:r>
              <w:rPr>
                <w:rFonts w:hint="eastAsia" w:ascii="宋体" w:hAnsi="宋体" w:cs="宋体"/>
                <w:szCs w:val="21"/>
              </w:rPr>
              <w:t>3.投标（响应）报价低于采购项目</w:t>
            </w:r>
            <w:commentRangeStart w:id="6"/>
            <w:r>
              <w:rPr>
                <w:rFonts w:hint="eastAsia" w:ascii="宋体" w:hAnsi="宋体" w:cs="宋体"/>
                <w:szCs w:val="21"/>
              </w:rPr>
              <w:t>最高限价</w:t>
            </w:r>
            <w:commentRangeStart w:id="7"/>
            <w:r>
              <w:rPr>
                <w:rFonts w:hint="eastAsia" w:ascii="宋体" w:hAnsi="宋体" w:cs="宋体"/>
                <w:szCs w:val="21"/>
              </w:rPr>
              <w:t>45%</w:t>
            </w:r>
            <w:commentRangeEnd w:id="6"/>
            <w:r>
              <w:rPr>
                <w:rStyle w:val="49"/>
                <w:kern w:val="0"/>
              </w:rPr>
              <w:commentReference w:id="6"/>
            </w:r>
            <w:commentRangeEnd w:id="7"/>
            <w:r>
              <w:rPr>
                <w:rStyle w:val="49"/>
                <w:kern w:val="0"/>
              </w:rPr>
              <w:commentReference w:id="7"/>
            </w:r>
            <w:r>
              <w:rPr>
                <w:rFonts w:hint="eastAsia" w:ascii="宋体" w:hAnsi="宋体" w:cs="宋体"/>
                <w:szCs w:val="21"/>
              </w:rPr>
              <w:t>的，即投标（响应）报价&lt;采购项目最高限价×</w:t>
            </w:r>
            <w:commentRangeStart w:id="8"/>
            <w:r>
              <w:rPr>
                <w:rFonts w:hint="eastAsia" w:ascii="宋体" w:hAnsi="宋体" w:cs="宋体"/>
                <w:szCs w:val="21"/>
              </w:rPr>
              <w:t>45%</w:t>
            </w:r>
            <w:commentRangeEnd w:id="8"/>
            <w:r>
              <w:rPr>
                <w:rStyle w:val="49"/>
                <w:kern w:val="0"/>
              </w:rPr>
              <w:commentReference w:id="8"/>
            </w:r>
            <w:r>
              <w:rPr>
                <w:rFonts w:hint="eastAsia" w:ascii="宋体" w:hAnsi="宋体" w:cs="宋体"/>
                <w:szCs w:val="21"/>
              </w:rPr>
              <w:t>；</w:t>
            </w:r>
          </w:p>
          <w:p>
            <w:pPr>
              <w:widowControl/>
              <w:jc w:val="left"/>
              <w:textAlignment w:val="top"/>
              <w:rPr>
                <w:rFonts w:ascii="宋体" w:hAnsi="宋体" w:cs="宋体"/>
                <w:szCs w:val="21"/>
              </w:rPr>
            </w:pPr>
          </w:p>
          <w:p>
            <w:pPr>
              <w:widowControl/>
              <w:jc w:val="left"/>
              <w:textAlignment w:val="top"/>
              <w:rPr>
                <w:rFonts w:ascii="宋体" w:hAnsi="宋体" w:cs="宋体"/>
                <w:szCs w:val="21"/>
              </w:rPr>
            </w:pPr>
            <w:r>
              <w:rPr>
                <w:rFonts w:hint="eastAsia" w:ascii="宋体" w:hAnsi="宋体" w:cs="宋体"/>
                <w:szCs w:val="21"/>
              </w:rPr>
              <w:t>4.评审委员会基于专业判断，认为供应商报价过低，有可能影响产品质量或者不能诚信履约的其他情形。</w:t>
            </w:r>
          </w:p>
          <w:p>
            <w:pPr>
              <w:widowControl/>
              <w:jc w:val="left"/>
              <w:textAlignment w:val="top"/>
              <w:rPr>
                <w:rFonts w:ascii="宋体" w:hAnsi="宋体" w:cs="宋体"/>
                <w:szCs w:val="21"/>
              </w:rPr>
            </w:pPr>
          </w:p>
          <w:p>
            <w:pPr>
              <w:widowControl/>
              <w:jc w:val="left"/>
              <w:textAlignment w:val="top"/>
              <w:rPr>
                <w:rFonts w:ascii="宋体" w:hAnsi="宋体" w:cs="宋体"/>
                <w:szCs w:val="21"/>
              </w:rPr>
            </w:pPr>
            <w:r>
              <w:rPr>
                <w:rFonts w:hint="eastAsia" w:ascii="宋体" w:hAnsi="宋体" w:cs="宋体"/>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widowControl/>
              <w:jc w:val="left"/>
              <w:textAlignment w:val="top"/>
              <w:rPr>
                <w:rFonts w:ascii="宋体" w:hAnsi="宋体" w:cs="宋体"/>
                <w:szCs w:val="21"/>
              </w:rPr>
            </w:pPr>
          </w:p>
          <w:p>
            <w:pPr>
              <w:widowControl/>
              <w:jc w:val="left"/>
              <w:textAlignment w:val="top"/>
              <w:rPr>
                <w:szCs w:val="21"/>
              </w:rPr>
            </w:pPr>
            <w:r>
              <w:rPr>
                <w:rFonts w:hint="eastAsia" w:ascii="宋体" w:hAnsi="宋体" w:cs="宋体"/>
                <w:szCs w:val="21"/>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szCs w:val="21"/>
              </w:rPr>
              <w:t>投标（响应）供应商不能提供书面说明、证明材料，或者提供的书面说明、证明材料不能证明其报价合理性的，评审委员会应当将其作为无效投标（响应）处理。</w:t>
            </w:r>
          </w:p>
        </w:tc>
      </w:tr>
    </w:tbl>
    <w:p>
      <w:pPr>
        <w:pStyle w:val="37"/>
        <w:jc w:val="center"/>
        <w:rPr>
          <w:rFonts w:ascii="黑体" w:hAnsi="黑体" w:eastAsia="黑体"/>
          <w:sz w:val="40"/>
          <w:szCs w:val="40"/>
        </w:rPr>
      </w:pPr>
    </w:p>
    <w:p>
      <w:pPr>
        <w:pStyle w:val="37"/>
        <w:jc w:val="center"/>
        <w:outlineLvl w:val="1"/>
        <w:rPr>
          <w:rFonts w:ascii="黑体" w:hAnsi="黑体" w:eastAsia="黑体"/>
          <w:sz w:val="40"/>
          <w:szCs w:val="40"/>
        </w:rPr>
        <w:sectPr>
          <w:pgSz w:w="11907" w:h="16840"/>
          <w:pgMar w:top="1440" w:right="1417" w:bottom="1440" w:left="1417" w:header="851" w:footer="992" w:gutter="0"/>
          <w:cols w:space="425" w:num="1"/>
          <w:titlePg/>
          <w:docGrid w:linePitch="462" w:charSpace="0"/>
        </w:sectPr>
      </w:pPr>
    </w:p>
    <w:p>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2"/>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873"/>
        <w:gridCol w:w="24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8873" w:type="dxa"/>
            <w:shd w:val="clear" w:color="auto" w:fill="auto"/>
            <w:vAlign w:val="center"/>
          </w:tcPr>
          <w:p>
            <w:pPr>
              <w:widowControl/>
              <w:jc w:val="left"/>
              <w:rPr>
                <w:rFonts w:ascii="宋体" w:hAnsi="宋体" w:cs="宋体"/>
                <w:b/>
                <w:bCs/>
                <w:szCs w:val="21"/>
              </w:rPr>
            </w:pPr>
            <w:r>
              <w:rPr>
                <w:rFonts w:hint="eastAsia" w:ascii="宋体" w:hAnsi="宋体" w:cs="宋体"/>
                <w:b/>
                <w:bCs/>
                <w:szCs w:val="21"/>
              </w:rPr>
              <w:t>评标方法：综合评分法</w:t>
            </w:r>
          </w:p>
        </w:tc>
        <w:tc>
          <w:tcPr>
            <w:tcW w:w="240" w:type="dxa"/>
            <w:shd w:val="clear" w:color="auto" w:fill="auto"/>
            <w:vAlign w:val="center"/>
          </w:tcPr>
          <w:p>
            <w:pPr>
              <w:jc w:val="right"/>
              <w:rPr>
                <w:rFonts w:ascii="宋体" w:hAnsi="宋体" w:cs="宋体"/>
                <w:b/>
                <w:bCs/>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113" w:type="dxa"/>
            <w:gridSpan w:val="2"/>
            <w:shd w:val="clear" w:color="auto" w:fill="auto"/>
            <w:vAlign w:val="center"/>
          </w:tcPr>
          <w:p>
            <w:pPr>
              <w:spacing w:before="240" w:beforeLines="100"/>
              <w:ind w:firstLine="420"/>
              <w:rPr>
                <w:rFonts w:hint="eastAsia" w:ascii="宋体" w:hAnsi="宋体" w:cs="宋体"/>
                <w:szCs w:val="21"/>
              </w:rPr>
            </w:pPr>
            <w:r>
              <w:rPr>
                <w:rFonts w:hint="eastAsia" w:ascii="宋体" w:hAnsi="宋体" w:cs="宋体"/>
                <w:szCs w:val="21"/>
              </w:rPr>
              <w:t>综合评分法，是指</w:t>
            </w:r>
            <w:r>
              <w:rPr>
                <w:rFonts w:hint="eastAsia" w:ascii="宋体" w:hAnsi="宋体" w:cs="宋体"/>
                <w:kern w:val="0"/>
                <w:szCs w:val="21"/>
              </w:rPr>
              <w:t>投标文件满足招标文件全部实质性要求</w:t>
            </w:r>
            <w:r>
              <w:rPr>
                <w:rFonts w:hint="eastAsia" w:ascii="宋体" w:hAnsi="宋体" w:cs="宋体"/>
                <w:szCs w:val="21"/>
              </w:rPr>
              <w:t>，且按照评审因素的量化指标评审得分排名前列的投标人为中标候选人的评标方法。</w:t>
            </w:r>
          </w:p>
          <w:p>
            <w:pPr>
              <w:spacing w:before="240" w:beforeLines="100"/>
              <w:ind w:firstLine="420"/>
              <w:rPr>
                <w:rFonts w:ascii="宋体" w:hAnsi="宋体" w:cs="宋体"/>
                <w:szCs w:val="21"/>
              </w:rPr>
            </w:pPr>
            <w:r>
              <w:rPr>
                <w:rFonts w:hint="eastAsia" w:ascii="宋体" w:hAnsi="宋体" w:cs="宋体"/>
                <w:szCs w:val="21"/>
              </w:rPr>
              <w:t>价格分计算方法：</w:t>
            </w:r>
          </w:p>
          <w:p>
            <w:pPr>
              <w:widowControl/>
              <w:ind w:left="420"/>
              <w:jc w:val="left"/>
              <w:rPr>
                <w:rFonts w:ascii="宋体" w:hAnsi="宋体" w:cs="宋体"/>
                <w:szCs w:val="21"/>
              </w:rPr>
            </w:pPr>
            <w:r>
              <w:rPr>
                <w:rFonts w:hint="eastAsia" w:ascii="宋体" w:hAnsi="宋体" w:cs="宋体"/>
                <w:szCs w:val="21"/>
              </w:rPr>
              <w:t xml:space="preserve">采用低价优先法计算，即满足招标文件要求且投标价格最低的投标报价为评标基准价，其价格分为满分。其他投标人的价格分统一按照下列公式计算： </w:t>
            </w:r>
            <w:r>
              <w:rPr>
                <w:rFonts w:hint="eastAsia" w:ascii="宋体" w:hAnsi="宋体" w:cs="宋体"/>
                <w:szCs w:val="21"/>
              </w:rPr>
              <w:br w:type="textWrapping"/>
            </w:r>
            <w:r>
              <w:rPr>
                <w:rFonts w:hint="eastAsia" w:ascii="宋体" w:hAnsi="宋体" w:cs="宋体"/>
                <w:szCs w:val="21"/>
              </w:rPr>
              <w:t xml:space="preserve">投标报价得分=(评标基准价／投标报价)×100 </w:t>
            </w:r>
            <w:r>
              <w:rPr>
                <w:rFonts w:hint="eastAsia" w:ascii="宋体" w:hAnsi="宋体" w:cs="宋体"/>
                <w:szCs w:val="21"/>
              </w:rPr>
              <w:br w:type="textWrapping"/>
            </w:r>
            <w:r>
              <w:rPr>
                <w:rFonts w:hint="eastAsia" w:ascii="宋体" w:hAnsi="宋体" w:cs="宋体"/>
                <w:szCs w:val="21"/>
              </w:rPr>
              <w:t xml:space="preserve">评标总得分＝F1×A1＋F2×A2＋……＋Fn×An </w:t>
            </w:r>
            <w:r>
              <w:rPr>
                <w:rFonts w:hint="eastAsia" w:ascii="宋体" w:hAnsi="宋体" w:cs="宋体"/>
                <w:szCs w:val="21"/>
              </w:rPr>
              <w:br w:type="textWrapping"/>
            </w:r>
            <w:r>
              <w:rPr>
                <w:rFonts w:hint="eastAsia" w:ascii="宋体" w:hAnsi="宋体" w:cs="宋体"/>
                <w:szCs w:val="21"/>
              </w:rPr>
              <w:t xml:space="preserve">F1、F2……Fn分别为各项评审因素的得分； </w:t>
            </w:r>
            <w:r>
              <w:rPr>
                <w:rFonts w:hint="eastAsia" w:ascii="宋体" w:hAnsi="宋体" w:cs="宋体"/>
                <w:szCs w:val="21"/>
              </w:rPr>
              <w:br w:type="textWrapping"/>
            </w:r>
            <w:r>
              <w:rPr>
                <w:rFonts w:hint="eastAsia" w:ascii="宋体" w:hAnsi="宋体" w:cs="宋体"/>
                <w:szCs w:val="21"/>
              </w:rPr>
              <w:t xml:space="preserve">A1、A2、……An 分别为各项评审因素所占的权重(A1＋A2＋……＋An＝1)。 </w:t>
            </w:r>
            <w:r>
              <w:rPr>
                <w:rFonts w:hint="eastAsia" w:ascii="宋体" w:hAnsi="宋体" w:cs="宋体"/>
                <w:szCs w:val="21"/>
              </w:rPr>
              <w:br w:type="textWrapping"/>
            </w:r>
            <w:r>
              <w:rPr>
                <w:rFonts w:hint="eastAsia" w:ascii="宋体" w:hAnsi="宋体" w:cs="宋体"/>
                <w:szCs w:val="21"/>
              </w:rPr>
              <w:t>评标过程中，不得去掉报价中的最高报价和最低报价。</w:t>
            </w:r>
          </w:p>
          <w:p>
            <w:pPr>
              <w:widowControl/>
              <w:ind w:left="420"/>
              <w:jc w:val="left"/>
              <w:rPr>
                <w:rFonts w:ascii="宋体" w:hAnsi="宋体" w:cs="宋体"/>
                <w:kern w:val="0"/>
                <w:szCs w:val="21"/>
              </w:rPr>
            </w:pPr>
            <w:r>
              <w:rPr>
                <w:rFonts w:hint="eastAsia" w:ascii="宋体" w:hAnsi="宋体" w:cs="宋体"/>
                <w:szCs w:val="21"/>
              </w:rPr>
              <w:t>因落实政府采购政策进行价格调整的，以调整后的价格计算评标基准价和投标报价。</w:t>
            </w:r>
          </w:p>
        </w:tc>
      </w:tr>
    </w:tbl>
    <w:p>
      <w:pPr>
        <w:rPr>
          <w:vanish/>
        </w:rPr>
      </w:pPr>
    </w:p>
    <w:p>
      <w:pPr>
        <w:rPr>
          <w:rFonts w:ascii="宋体" w:hAnsi="宋体"/>
          <w:sz w:val="24"/>
        </w:rPr>
      </w:pPr>
    </w:p>
    <w:tbl>
      <w:tblPr>
        <w:tblStyle w:val="42"/>
        <w:tblW w:w="9072" w:type="dxa"/>
        <w:jc w:val="center"/>
        <w:tblCellSpacing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2835"/>
        <w:gridCol w:w="681"/>
        <w:gridCol w:w="419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hint="eastAsia" w:ascii="宋体" w:hAnsi="宋体" w:cs="宋体"/>
                <w:b/>
                <w:bCs/>
                <w:sz w:val="24"/>
              </w:rPr>
            </w:pPr>
            <w:r>
              <w:rPr>
                <w:b/>
                <w:bCs/>
              </w:rPr>
              <w:t>序号</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hint="eastAsia" w:ascii="宋体" w:hAnsi="宋体" w:cs="宋体"/>
                <w:b/>
                <w:bCs/>
                <w:sz w:val="24"/>
              </w:rPr>
            </w:pPr>
            <w:r>
              <w:rPr>
                <w:b/>
                <w:bCs/>
              </w:rPr>
              <w:t>评分项</w:t>
            </w:r>
          </w:p>
        </w:tc>
        <w:tc>
          <w:tcPr>
            <w:tcW w:w="4196"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hint="eastAsia" w:ascii="宋体" w:hAnsi="宋体" w:cs="宋体"/>
                <w:b/>
                <w:bCs/>
                <w:sz w:val="24"/>
              </w:rPr>
            </w:pPr>
            <w:r>
              <w:rPr>
                <w:b/>
                <w:bCs/>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restart"/>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1</w:t>
            </w:r>
          </w:p>
        </w:tc>
        <w:tc>
          <w:tcPr>
            <w:tcW w:w="4196" w:type="dxa"/>
            <w:gridSpan w:val="3"/>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价格</w:t>
            </w:r>
          </w:p>
        </w:tc>
        <w:tc>
          <w:tcPr>
            <w:tcW w:w="4196"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rFonts w:hint="eastAsia"/>
                <w:b/>
                <w:bCs/>
                <w:color w:val="0000FF"/>
              </w:rPr>
              <w:t>1</w:t>
            </w:r>
            <w:r>
              <w:rPr>
                <w:b/>
                <w:bCs/>
                <w:color w:val="0000FF"/>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vAlign w:val="center"/>
          </w:tcPr>
          <w:p>
            <w:pPr>
              <w:wordWrap w:val="0"/>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0" w:type="dxa"/>
            <w:vMerge w:val="restart"/>
            <w:tcBorders>
              <w:top w:val="single" w:color="000000" w:sz="8" w:space="0"/>
              <w:left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2</w:t>
            </w:r>
          </w:p>
        </w:tc>
        <w:tc>
          <w:tcPr>
            <w:tcW w:w="4196" w:type="dxa"/>
            <w:gridSpan w:val="3"/>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技术</w:t>
            </w:r>
            <w:r>
              <w:rPr>
                <w:rFonts w:hint="eastAsia"/>
                <w:b/>
                <w:bCs/>
                <w:color w:val="0000FF"/>
              </w:rPr>
              <w:t>部分</w:t>
            </w:r>
          </w:p>
        </w:tc>
        <w:tc>
          <w:tcPr>
            <w:tcW w:w="4196"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Cs w:val="21"/>
                <w:lang w:val="en-US" w:eastAsia="zh-CN"/>
              </w:rPr>
              <w:t>68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vAlign w:val="center"/>
          </w:tcPr>
          <w:p>
            <w:pPr>
              <w:wordWrap w:val="0"/>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shd w:val="clear" w:color="auto" w:fill="E6EFFA"/>
            <w:vAlign w:val="center"/>
          </w:tcPr>
          <w:p>
            <w:pPr>
              <w:rPr>
                <w:rFonts w:hint="eastAsia"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cs="宋体"/>
                <w:szCs w:val="21"/>
              </w:rPr>
              <w:t>1</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eastAsia="宋体"/>
                <w:color w:val="auto"/>
                <w:szCs w:val="21"/>
              </w:rPr>
              <w:t>实施方案</w:t>
            </w:r>
          </w:p>
        </w:tc>
        <w:tc>
          <w:tcPr>
            <w:tcW w:w="681"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8</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hint="eastAsia" w:ascii="宋体" w:hAnsi="宋体"/>
                <w:b/>
                <w:bCs/>
                <w:color w:val="auto"/>
                <w:szCs w:val="21"/>
              </w:rPr>
            </w:pPr>
            <w:r>
              <w:rPr>
                <w:rFonts w:hint="eastAsia" w:ascii="宋体" w:hAnsi="宋体"/>
                <w:b/>
                <w:bCs/>
                <w:color w:val="auto"/>
                <w:szCs w:val="21"/>
              </w:rPr>
              <w:t>（一）评分内容：</w:t>
            </w:r>
          </w:p>
          <w:p>
            <w:pPr>
              <w:jc w:val="left"/>
              <w:rPr>
                <w:rFonts w:hint="eastAsia" w:ascii="宋体" w:hAnsi="宋体"/>
                <w:b/>
                <w:bCs/>
                <w:color w:val="auto"/>
                <w:szCs w:val="21"/>
              </w:rPr>
            </w:pPr>
            <w:r>
              <w:rPr>
                <w:rFonts w:hint="eastAsia" w:ascii="宋体" w:hAnsi="宋体"/>
                <w:b/>
                <w:bCs/>
                <w:color w:val="auto"/>
                <w:szCs w:val="21"/>
              </w:rPr>
              <w:t>考察针对本项目的实施方案，方案内容包括以下内容:</w:t>
            </w:r>
          </w:p>
          <w:p>
            <w:pPr>
              <w:jc w:val="left"/>
              <w:rPr>
                <w:rFonts w:hint="eastAsia" w:ascii="宋体" w:hAnsi="宋体"/>
                <w:b/>
                <w:bCs/>
                <w:color w:val="auto"/>
                <w:szCs w:val="21"/>
              </w:rPr>
            </w:pPr>
            <w:r>
              <w:rPr>
                <w:rFonts w:hint="eastAsia" w:ascii="宋体" w:hAnsi="宋体"/>
                <w:b/>
                <w:bCs/>
                <w:color w:val="auto"/>
                <w:szCs w:val="21"/>
              </w:rPr>
              <w:t xml:space="preserve">1.管理技术措施； </w:t>
            </w:r>
          </w:p>
          <w:p>
            <w:pPr>
              <w:jc w:val="left"/>
              <w:rPr>
                <w:rFonts w:hint="eastAsia" w:ascii="宋体" w:hAnsi="宋体"/>
                <w:b/>
                <w:bCs/>
                <w:color w:val="auto"/>
                <w:szCs w:val="21"/>
              </w:rPr>
            </w:pPr>
            <w:r>
              <w:rPr>
                <w:rFonts w:hint="eastAsia" w:ascii="宋体" w:hAnsi="宋体"/>
                <w:b/>
                <w:bCs/>
                <w:color w:val="auto"/>
                <w:szCs w:val="21"/>
              </w:rPr>
              <w:t xml:space="preserve">2.日常管理组织； </w:t>
            </w:r>
          </w:p>
          <w:p>
            <w:pPr>
              <w:jc w:val="left"/>
              <w:rPr>
                <w:rFonts w:hint="eastAsia" w:ascii="宋体" w:hAnsi="宋体"/>
                <w:b/>
                <w:bCs/>
                <w:color w:val="auto"/>
                <w:szCs w:val="21"/>
              </w:rPr>
            </w:pPr>
            <w:r>
              <w:rPr>
                <w:rFonts w:hint="eastAsia" w:ascii="宋体" w:hAnsi="宋体"/>
                <w:b/>
                <w:bCs/>
                <w:color w:val="auto"/>
                <w:szCs w:val="21"/>
              </w:rPr>
              <w:t xml:space="preserve">3.安全生产措施； </w:t>
            </w:r>
          </w:p>
          <w:p>
            <w:pPr>
              <w:jc w:val="left"/>
              <w:rPr>
                <w:rFonts w:hint="eastAsia" w:ascii="宋体" w:hAnsi="宋体"/>
                <w:b/>
                <w:bCs/>
                <w:color w:val="auto"/>
                <w:szCs w:val="21"/>
              </w:rPr>
            </w:pPr>
            <w:r>
              <w:rPr>
                <w:rFonts w:hint="eastAsia" w:ascii="宋体" w:hAnsi="宋体"/>
                <w:b/>
                <w:bCs/>
                <w:color w:val="auto"/>
                <w:szCs w:val="21"/>
              </w:rPr>
              <w:t>4.应急抢险方案；</w:t>
            </w:r>
          </w:p>
          <w:p>
            <w:pPr>
              <w:jc w:val="left"/>
              <w:rPr>
                <w:rFonts w:hint="eastAsia" w:ascii="宋体" w:hAnsi="宋体"/>
                <w:b/>
                <w:bCs/>
                <w:color w:val="auto"/>
                <w:szCs w:val="21"/>
              </w:rPr>
            </w:pPr>
            <w:r>
              <w:rPr>
                <w:rFonts w:hint="eastAsia" w:ascii="宋体" w:hAnsi="宋体"/>
                <w:b/>
                <w:bCs/>
                <w:color w:val="auto"/>
                <w:szCs w:val="21"/>
              </w:rPr>
              <w:t xml:space="preserve">5.员工技术培训计划； </w:t>
            </w:r>
          </w:p>
          <w:p>
            <w:pPr>
              <w:jc w:val="left"/>
              <w:rPr>
                <w:rFonts w:hint="eastAsia" w:ascii="宋体" w:hAnsi="宋体"/>
                <w:b/>
                <w:bCs/>
                <w:color w:val="auto"/>
                <w:szCs w:val="21"/>
              </w:rPr>
            </w:pPr>
            <w:r>
              <w:rPr>
                <w:rFonts w:hint="eastAsia" w:ascii="宋体" w:hAnsi="宋体"/>
                <w:b/>
                <w:bCs/>
                <w:color w:val="auto"/>
                <w:szCs w:val="21"/>
              </w:rPr>
              <w:t xml:space="preserve">6.提高公共绿地养护水平的设想及达到的预期效果； </w:t>
            </w:r>
          </w:p>
          <w:p>
            <w:pPr>
              <w:jc w:val="left"/>
              <w:rPr>
                <w:rFonts w:hint="eastAsia" w:ascii="宋体" w:hAnsi="宋体"/>
                <w:b/>
                <w:bCs/>
                <w:color w:val="auto"/>
                <w:szCs w:val="21"/>
              </w:rPr>
            </w:pPr>
            <w:r>
              <w:rPr>
                <w:rFonts w:hint="eastAsia" w:ascii="宋体" w:hAnsi="宋体"/>
                <w:b/>
                <w:bCs/>
                <w:color w:val="auto"/>
                <w:szCs w:val="21"/>
              </w:rPr>
              <w:t>7.公共绿地管养技术措施和设备、人员投入情况；</w:t>
            </w:r>
          </w:p>
          <w:p>
            <w:pPr>
              <w:jc w:val="left"/>
              <w:rPr>
                <w:rFonts w:hint="eastAsia" w:ascii="宋体" w:hAnsi="宋体"/>
                <w:b/>
                <w:bCs/>
                <w:color w:val="auto"/>
                <w:szCs w:val="21"/>
              </w:rPr>
            </w:pPr>
            <w:r>
              <w:rPr>
                <w:rFonts w:hint="eastAsia" w:ascii="宋体" w:hAnsi="宋体"/>
                <w:b/>
                <w:bCs/>
                <w:color w:val="auto"/>
                <w:szCs w:val="21"/>
              </w:rPr>
              <w:t xml:space="preserve">8.病虫害防治方案。 </w:t>
            </w:r>
          </w:p>
          <w:p>
            <w:pPr>
              <w:jc w:val="left"/>
              <w:rPr>
                <w:rFonts w:hint="eastAsia" w:ascii="宋体" w:hAnsi="宋体"/>
                <w:b/>
                <w:bCs/>
                <w:color w:val="auto"/>
                <w:szCs w:val="21"/>
              </w:rPr>
            </w:pPr>
            <w:r>
              <w:rPr>
                <w:rFonts w:hint="eastAsia" w:ascii="宋体" w:hAnsi="宋体"/>
                <w:b/>
                <w:bCs/>
                <w:color w:val="auto"/>
                <w:szCs w:val="21"/>
              </w:rPr>
              <w:t>9.稳定员工队伍、保障员工合法权益方案。</w:t>
            </w:r>
          </w:p>
          <w:p>
            <w:pPr>
              <w:jc w:val="left"/>
              <w:rPr>
                <w:rFonts w:hint="eastAsia" w:ascii="宋体" w:hAnsi="宋体"/>
                <w:b/>
                <w:bCs/>
                <w:color w:val="auto"/>
                <w:szCs w:val="21"/>
              </w:rPr>
            </w:pPr>
            <w:r>
              <w:rPr>
                <w:rFonts w:hint="eastAsia" w:ascii="宋体" w:hAnsi="宋体"/>
                <w:b/>
                <w:bCs/>
                <w:color w:val="auto"/>
                <w:szCs w:val="21"/>
              </w:rPr>
              <w:t>10.各种规章制度和其他技术保障及承诺。</w:t>
            </w:r>
          </w:p>
          <w:p>
            <w:pPr>
              <w:jc w:val="left"/>
              <w:rPr>
                <w:rFonts w:hint="eastAsia" w:ascii="宋体" w:hAnsi="宋体"/>
                <w:b/>
                <w:bCs/>
                <w:color w:val="auto"/>
                <w:szCs w:val="21"/>
              </w:rPr>
            </w:pPr>
            <w:r>
              <w:rPr>
                <w:rFonts w:hint="eastAsia" w:ascii="宋体" w:hAnsi="宋体"/>
                <w:b/>
                <w:bCs/>
                <w:color w:val="auto"/>
                <w:szCs w:val="21"/>
              </w:rPr>
              <w:t>（二）评分依据：</w:t>
            </w:r>
          </w:p>
          <w:p>
            <w:pPr>
              <w:jc w:val="left"/>
            </w:pPr>
            <w:r>
              <w:rPr>
                <w:rFonts w:hint="eastAsia" w:ascii="宋体" w:hAnsi="宋体"/>
                <w:b/>
                <w:bCs/>
                <w:color w:val="auto"/>
                <w:szCs w:val="21"/>
              </w:rPr>
              <w:t>评标委员会根据响应情况进行打分，每满足以上任意1点得10分，满足10点得100分，未满足不得分。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cs="宋体"/>
                <w:szCs w:val="21"/>
              </w:rPr>
              <w:t>2</w:t>
            </w:r>
          </w:p>
        </w:tc>
        <w:tc>
          <w:tcPr>
            <w:tcW w:w="2835" w:type="dxa"/>
            <w:tcBorders>
              <w:top w:val="single" w:color="000000" w:sz="8" w:space="0"/>
              <w:left w:val="single" w:color="000000" w:sz="8" w:space="0"/>
              <w:bottom w:val="single" w:color="000000" w:sz="8" w:space="0"/>
              <w:right w:val="single" w:color="000000" w:sz="8" w:space="0"/>
            </w:tcBorders>
            <w:vAlign w:val="center"/>
          </w:tcPr>
          <w:p>
            <w:r>
              <w:rPr>
                <w:rFonts w:hint="eastAsia" w:ascii="宋体" w:hAnsi="宋体" w:cs="宋体"/>
                <w:szCs w:val="21"/>
              </w:rPr>
              <w:t>项目重点难点分析、应对措施及相关的合理化建议</w:t>
            </w:r>
          </w:p>
          <w:p>
            <w:pPr>
              <w:wordWrap w:val="0"/>
              <w:jc w:val="center"/>
              <w:rPr>
                <w:rFonts w:hint="eastAsia" w:ascii="宋体" w:hAnsi="宋体" w:cs="宋体"/>
                <w:szCs w:val="21"/>
              </w:rPr>
            </w:pP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8</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eastAsia="宋体"/>
                <w:b/>
                <w:bCs/>
                <w:i/>
                <w:color w:val="auto"/>
                <w:szCs w:val="21"/>
                <w:u w:val="single"/>
              </w:rPr>
            </w:pPr>
            <w:r>
              <w:rPr>
                <w:rFonts w:hint="eastAsia" w:ascii="宋体" w:hAnsi="宋体" w:eastAsia="宋体"/>
                <w:b/>
                <w:bCs/>
                <w:color w:val="auto"/>
                <w:szCs w:val="21"/>
              </w:rPr>
              <w:t>（一）评分内容：</w:t>
            </w:r>
          </w:p>
          <w:p>
            <w:pPr>
              <w:wordWrap w:val="0"/>
              <w:rPr>
                <w:rFonts w:hint="eastAsia" w:ascii="宋体" w:hAnsi="宋体" w:eastAsia="宋体" w:cs="宋体"/>
                <w:szCs w:val="21"/>
              </w:rPr>
            </w:pPr>
            <w:r>
              <w:rPr>
                <w:rFonts w:hint="eastAsia" w:ascii="宋体" w:hAnsi="宋体" w:eastAsia="宋体" w:cs="宋体"/>
                <w:szCs w:val="21"/>
              </w:rPr>
              <w:t>考察针对本项目的项目重点难点分析、应对措施及相关的合理化建议，方案内容包括以下内容:</w:t>
            </w:r>
          </w:p>
          <w:p>
            <w:pPr>
              <w:jc w:val="left"/>
              <w:rPr>
                <w:rFonts w:hint="eastAsia" w:ascii="宋体" w:hAnsi="宋体" w:eastAsia="宋体" w:cs="宋体"/>
                <w:color w:val="auto"/>
                <w:szCs w:val="21"/>
              </w:rPr>
            </w:pPr>
            <w:r>
              <w:rPr>
                <w:rFonts w:hint="eastAsia" w:ascii="宋体" w:hAnsi="宋体" w:eastAsia="宋体" w:cs="宋体"/>
                <w:color w:val="auto"/>
                <w:szCs w:val="21"/>
              </w:rPr>
              <w:t>1.本项目重点难点分析；</w:t>
            </w:r>
          </w:p>
          <w:p>
            <w:pPr>
              <w:jc w:val="left"/>
              <w:rPr>
                <w:rFonts w:hint="eastAsia" w:ascii="宋体" w:hAnsi="宋体" w:eastAsia="宋体" w:cs="宋体"/>
                <w:color w:val="auto"/>
                <w:szCs w:val="21"/>
              </w:rPr>
            </w:pPr>
            <w:r>
              <w:rPr>
                <w:rFonts w:hint="eastAsia" w:ascii="宋体" w:hAnsi="宋体" w:eastAsia="宋体" w:cs="宋体"/>
                <w:color w:val="auto"/>
                <w:szCs w:val="21"/>
              </w:rPr>
              <w:t>2.结合项目重难点提出应对措施；</w:t>
            </w:r>
          </w:p>
          <w:p>
            <w:pPr>
              <w:jc w:val="left"/>
              <w:rPr>
                <w:rFonts w:hint="eastAsia" w:ascii="宋体" w:hAnsi="宋体" w:eastAsia="宋体" w:cs="宋体"/>
                <w:color w:val="auto"/>
                <w:szCs w:val="21"/>
                <w:lang w:eastAsia="zh-CN"/>
              </w:rPr>
            </w:pPr>
            <w:r>
              <w:rPr>
                <w:rFonts w:hint="eastAsia" w:ascii="宋体" w:hAnsi="宋体" w:eastAsia="宋体" w:cs="宋体"/>
                <w:color w:val="auto"/>
                <w:szCs w:val="21"/>
              </w:rPr>
              <w:t>3.项目实施全流程相关的合理化建议</w:t>
            </w:r>
            <w:r>
              <w:rPr>
                <w:rFonts w:hint="eastAsia" w:ascii="宋体" w:hAnsi="宋体" w:eastAsia="宋体" w:cs="宋体"/>
                <w:color w:val="auto"/>
                <w:szCs w:val="21"/>
                <w:lang w:eastAsia="zh-CN"/>
              </w:rPr>
              <w:t>；</w:t>
            </w:r>
          </w:p>
          <w:p>
            <w:pPr>
              <w:spacing w:line="240" w:lineRule="auto"/>
              <w:jc w:val="lef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提高项目管养水平的设想及达到的预期效果</w:t>
            </w:r>
            <w:r>
              <w:rPr>
                <w:rFonts w:hint="eastAsia" w:ascii="宋体" w:hAnsi="宋体" w:eastAsia="宋体" w:cs="宋体"/>
                <w:color w:val="auto"/>
                <w:szCs w:val="21"/>
                <w:lang w:eastAsia="zh-CN"/>
              </w:rPr>
              <w:t>；</w:t>
            </w:r>
          </w:p>
          <w:p>
            <w:pPr>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提供进场接管的应对措施。</w:t>
            </w:r>
          </w:p>
          <w:p>
            <w:pPr>
              <w:jc w:val="left"/>
              <w:rPr>
                <w:rFonts w:ascii="宋体" w:hAnsi="宋体" w:eastAsia="宋体" w:cs="宋体"/>
                <w:b/>
                <w:bCs/>
                <w:color w:val="auto"/>
                <w:szCs w:val="21"/>
              </w:rPr>
            </w:pPr>
            <w:r>
              <w:rPr>
                <w:rFonts w:hint="eastAsia" w:ascii="宋体" w:hAnsi="宋体" w:eastAsia="宋体" w:cs="宋体"/>
                <w:b/>
                <w:bCs/>
                <w:color w:val="auto"/>
                <w:szCs w:val="21"/>
              </w:rPr>
              <w:t>（二）评分依据：</w:t>
            </w:r>
          </w:p>
          <w:p>
            <w:pPr>
              <w:rPr>
                <w:rFonts w:hint="eastAsia" w:ascii="宋体" w:hAnsi="宋体" w:cs="宋体"/>
                <w:szCs w:val="21"/>
              </w:rPr>
            </w:pPr>
            <w:r>
              <w:rPr>
                <w:rFonts w:hint="eastAsia" w:ascii="宋体" w:hAnsi="宋体" w:eastAsia="宋体" w:cs="宋体"/>
                <w:color w:val="auto"/>
                <w:szCs w:val="21"/>
              </w:rPr>
              <w:t>评标委员会根据响应情况进行打分，每满足</w:t>
            </w:r>
            <w:r>
              <w:rPr>
                <w:rFonts w:hint="eastAsia" w:ascii="宋体" w:hAnsi="宋体" w:eastAsia="宋体" w:cs="宋体"/>
                <w:color w:val="auto"/>
                <w:szCs w:val="21"/>
                <w:lang w:val="en-US" w:eastAsia="zh-CN"/>
              </w:rPr>
              <w:t>以上任意</w:t>
            </w:r>
            <w:r>
              <w:rPr>
                <w:rFonts w:hint="eastAsia" w:ascii="宋体" w:hAnsi="宋体" w:eastAsia="宋体" w:cs="宋体"/>
                <w:color w:val="auto"/>
                <w:szCs w:val="21"/>
              </w:rPr>
              <w:t>1点得</w:t>
            </w:r>
            <w:r>
              <w:rPr>
                <w:rFonts w:hint="eastAsia" w:ascii="宋体" w:hAnsi="宋体" w:eastAsia="宋体" w:cs="宋体"/>
                <w:color w:val="auto"/>
                <w:szCs w:val="21"/>
                <w:lang w:val="en-US" w:eastAsia="zh-CN"/>
              </w:rPr>
              <w:t>20</w:t>
            </w:r>
            <w:r>
              <w:rPr>
                <w:rFonts w:hint="eastAsia" w:ascii="宋体" w:hAnsi="宋体" w:eastAsia="宋体" w:cs="宋体"/>
                <w:color w:val="auto"/>
                <w:szCs w:val="21"/>
              </w:rPr>
              <w:t>分，满足5点得</w:t>
            </w:r>
            <w:r>
              <w:rPr>
                <w:rFonts w:hint="eastAsia" w:ascii="宋体" w:hAnsi="宋体" w:eastAsia="宋体" w:cs="宋体"/>
                <w:color w:val="auto"/>
                <w:szCs w:val="21"/>
                <w:lang w:val="en-US" w:eastAsia="zh-CN"/>
              </w:rPr>
              <w:t>100</w:t>
            </w:r>
            <w:r>
              <w:rPr>
                <w:rFonts w:hint="eastAsia" w:ascii="宋体" w:hAnsi="宋体" w:eastAsia="宋体" w:cs="宋体"/>
                <w:color w:val="auto"/>
                <w:szCs w:val="21"/>
              </w:rPr>
              <w:t>分，未满足不得分。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cs="宋体"/>
                <w:szCs w:val="21"/>
              </w:rPr>
              <w:t>3</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olor w:val="FF0000"/>
              </w:rPr>
            </w:pPr>
            <w:r>
              <w:rPr>
                <w:rFonts w:hint="eastAsia" w:ascii="宋体" w:hAnsi="宋体" w:cs="宋体"/>
                <w:szCs w:val="21"/>
              </w:rPr>
              <w:t>质量保障措施及方案</w:t>
            </w:r>
          </w:p>
          <w:p>
            <w:pPr>
              <w:wordWrap w:val="0"/>
              <w:jc w:val="center"/>
              <w:rPr>
                <w:rFonts w:hint="eastAsia" w:ascii="宋体" w:hAnsi="宋体" w:cs="宋体"/>
                <w:szCs w:val="21"/>
              </w:rPr>
            </w:pP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7</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eastAsia="宋体"/>
                <w:b/>
                <w:bCs/>
                <w:i/>
                <w:color w:val="auto"/>
                <w:szCs w:val="21"/>
                <w:u w:val="single"/>
              </w:rPr>
            </w:pPr>
            <w:r>
              <w:rPr>
                <w:rFonts w:hint="eastAsia" w:ascii="宋体" w:hAnsi="宋体" w:eastAsia="宋体"/>
                <w:b/>
                <w:bCs/>
                <w:color w:val="auto"/>
                <w:szCs w:val="21"/>
              </w:rPr>
              <w:t>（一）评分内容：</w:t>
            </w:r>
          </w:p>
          <w:p>
            <w:pPr>
              <w:wordWrap w:val="0"/>
              <w:rPr>
                <w:rFonts w:hint="eastAsia" w:ascii="宋体" w:hAnsi="宋体" w:eastAsia="宋体" w:cs="宋体"/>
                <w:szCs w:val="21"/>
              </w:rPr>
            </w:pPr>
            <w:r>
              <w:rPr>
                <w:rFonts w:hint="eastAsia" w:ascii="宋体" w:hAnsi="宋体" w:eastAsia="宋体" w:cs="宋体"/>
                <w:szCs w:val="21"/>
              </w:rPr>
              <w:t>考察针对本项目的项目重点难点分析、应对措施及相关的合理化建议，方案内容包括以下内容:</w:t>
            </w:r>
          </w:p>
          <w:p>
            <w:pPr>
              <w:jc w:val="left"/>
              <w:rPr>
                <w:rFonts w:hint="eastAsia" w:ascii="宋体" w:hAnsi="宋体" w:eastAsia="宋体" w:cs="宋体"/>
                <w:color w:val="auto"/>
                <w:szCs w:val="21"/>
              </w:rPr>
            </w:pPr>
            <w:r>
              <w:rPr>
                <w:rFonts w:hint="eastAsia" w:ascii="宋体" w:hAnsi="宋体" w:eastAsia="宋体" w:cs="宋体"/>
                <w:color w:val="auto"/>
                <w:szCs w:val="21"/>
              </w:rPr>
              <w:t>1.本项目重点难点分析；</w:t>
            </w:r>
          </w:p>
          <w:p>
            <w:pPr>
              <w:jc w:val="left"/>
              <w:rPr>
                <w:rFonts w:hint="eastAsia" w:ascii="宋体" w:hAnsi="宋体" w:eastAsia="宋体" w:cs="宋体"/>
                <w:color w:val="auto"/>
                <w:szCs w:val="21"/>
              </w:rPr>
            </w:pPr>
            <w:r>
              <w:rPr>
                <w:rFonts w:hint="eastAsia" w:ascii="宋体" w:hAnsi="宋体" w:eastAsia="宋体" w:cs="宋体"/>
                <w:color w:val="auto"/>
                <w:szCs w:val="21"/>
              </w:rPr>
              <w:t>2.结合项目重难点提出应对措施；</w:t>
            </w:r>
          </w:p>
          <w:p>
            <w:pPr>
              <w:jc w:val="left"/>
              <w:rPr>
                <w:rFonts w:hint="eastAsia" w:ascii="宋体" w:hAnsi="宋体" w:eastAsia="宋体" w:cs="宋体"/>
                <w:color w:val="auto"/>
                <w:szCs w:val="21"/>
                <w:lang w:eastAsia="zh-CN"/>
              </w:rPr>
            </w:pPr>
            <w:r>
              <w:rPr>
                <w:rFonts w:hint="eastAsia" w:ascii="宋体" w:hAnsi="宋体" w:eastAsia="宋体" w:cs="宋体"/>
                <w:color w:val="auto"/>
                <w:szCs w:val="21"/>
              </w:rPr>
              <w:t>3.项目实施全流程相关的合理化建议</w:t>
            </w:r>
            <w:r>
              <w:rPr>
                <w:rFonts w:hint="eastAsia" w:ascii="宋体" w:hAnsi="宋体" w:eastAsia="宋体" w:cs="宋体"/>
                <w:color w:val="auto"/>
                <w:szCs w:val="21"/>
                <w:lang w:eastAsia="zh-CN"/>
              </w:rPr>
              <w:t>；</w:t>
            </w:r>
          </w:p>
          <w:p>
            <w:pPr>
              <w:spacing w:line="240" w:lineRule="auto"/>
              <w:jc w:val="lef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提高项目管养水平的设想及达到的预期效果</w:t>
            </w:r>
            <w:r>
              <w:rPr>
                <w:rFonts w:hint="eastAsia" w:ascii="宋体" w:hAnsi="宋体" w:eastAsia="宋体" w:cs="宋体"/>
                <w:color w:val="auto"/>
                <w:szCs w:val="21"/>
                <w:lang w:eastAsia="zh-CN"/>
              </w:rPr>
              <w:t>；</w:t>
            </w:r>
          </w:p>
          <w:p>
            <w:pPr>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提供进场接管的应对措施。</w:t>
            </w:r>
          </w:p>
          <w:p>
            <w:pPr>
              <w:jc w:val="left"/>
              <w:rPr>
                <w:rFonts w:ascii="宋体" w:hAnsi="宋体" w:eastAsia="宋体" w:cs="宋体"/>
                <w:b/>
                <w:bCs/>
                <w:color w:val="auto"/>
                <w:szCs w:val="21"/>
              </w:rPr>
            </w:pPr>
            <w:r>
              <w:rPr>
                <w:rFonts w:hint="eastAsia" w:ascii="宋体" w:hAnsi="宋体" w:eastAsia="宋体" w:cs="宋体"/>
                <w:b/>
                <w:bCs/>
                <w:color w:val="auto"/>
                <w:szCs w:val="21"/>
              </w:rPr>
              <w:t>（二）评分依据：</w:t>
            </w:r>
          </w:p>
          <w:p>
            <w:pPr>
              <w:jc w:val="left"/>
            </w:pPr>
            <w:r>
              <w:rPr>
                <w:rFonts w:hint="eastAsia" w:ascii="宋体" w:hAnsi="宋体" w:eastAsia="宋体" w:cs="宋体"/>
                <w:color w:val="auto"/>
                <w:szCs w:val="21"/>
              </w:rPr>
              <w:t>评标委员会根据响应情况进行打分，每满足</w:t>
            </w:r>
            <w:r>
              <w:rPr>
                <w:rFonts w:hint="eastAsia" w:ascii="宋体" w:hAnsi="宋体" w:eastAsia="宋体" w:cs="宋体"/>
                <w:color w:val="auto"/>
                <w:szCs w:val="21"/>
                <w:lang w:val="en-US" w:eastAsia="zh-CN"/>
              </w:rPr>
              <w:t>以上任意</w:t>
            </w:r>
            <w:r>
              <w:rPr>
                <w:rFonts w:hint="eastAsia" w:ascii="宋体" w:hAnsi="宋体" w:eastAsia="宋体" w:cs="宋体"/>
                <w:color w:val="auto"/>
                <w:szCs w:val="21"/>
              </w:rPr>
              <w:t>1点得</w:t>
            </w:r>
            <w:r>
              <w:rPr>
                <w:rFonts w:hint="eastAsia" w:ascii="宋体" w:hAnsi="宋体" w:eastAsia="宋体" w:cs="宋体"/>
                <w:color w:val="auto"/>
                <w:szCs w:val="21"/>
                <w:lang w:val="en-US" w:eastAsia="zh-CN"/>
              </w:rPr>
              <w:t>20</w:t>
            </w:r>
            <w:r>
              <w:rPr>
                <w:rFonts w:hint="eastAsia" w:ascii="宋体" w:hAnsi="宋体" w:eastAsia="宋体" w:cs="宋体"/>
                <w:color w:val="auto"/>
                <w:szCs w:val="21"/>
              </w:rPr>
              <w:t>分，满足5点得</w:t>
            </w:r>
            <w:r>
              <w:rPr>
                <w:rFonts w:hint="eastAsia" w:ascii="宋体" w:hAnsi="宋体" w:eastAsia="宋体" w:cs="宋体"/>
                <w:color w:val="auto"/>
                <w:szCs w:val="21"/>
                <w:lang w:val="en-US" w:eastAsia="zh-CN"/>
              </w:rPr>
              <w:t>100</w:t>
            </w:r>
            <w:r>
              <w:rPr>
                <w:rFonts w:hint="eastAsia" w:ascii="宋体" w:hAnsi="宋体" w:eastAsia="宋体" w:cs="宋体"/>
                <w:color w:val="auto"/>
                <w:szCs w:val="21"/>
              </w:rPr>
              <w:t>分，未满足不得分。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4</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szCs w:val="21"/>
              </w:rPr>
            </w:pPr>
            <w:r>
              <w:rPr>
                <w:rFonts w:hint="eastAsia" w:ascii="宋体" w:hAnsi="宋体" w:eastAsia="宋体"/>
                <w:color w:val="auto"/>
                <w:szCs w:val="21"/>
              </w:rPr>
              <w:t>违约承诺</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color w:val="auto"/>
                <w:szCs w:val="21"/>
                <w:lang w:val="en-US" w:eastAsia="zh-CN"/>
              </w:rPr>
              <w:t>3</w:t>
            </w:r>
          </w:p>
        </w:tc>
        <w:tc>
          <w:tcPr>
            <w:tcW w:w="419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ascii="宋体" w:hAnsi="宋体" w:eastAsia="宋体" w:cs="宋体"/>
                <w:b/>
                <w:bCs/>
                <w:color w:val="auto"/>
                <w:szCs w:val="21"/>
              </w:rPr>
            </w:pPr>
            <w:r>
              <w:rPr>
                <w:rFonts w:hint="eastAsia" w:ascii="宋体" w:hAnsi="宋体" w:eastAsia="宋体" w:cs="宋体"/>
                <w:b/>
                <w:bCs/>
                <w:color w:val="auto"/>
                <w:szCs w:val="21"/>
              </w:rPr>
              <w:t>（一）评分内容：</w:t>
            </w:r>
          </w:p>
          <w:p>
            <w:pPr>
              <w:jc w:val="left"/>
              <w:rPr>
                <w:rFonts w:ascii="宋体" w:hAnsi="宋体" w:eastAsia="宋体" w:cs="宋体"/>
                <w:color w:val="auto"/>
                <w:szCs w:val="21"/>
              </w:rPr>
            </w:pPr>
            <w:r>
              <w:rPr>
                <w:rFonts w:ascii="宋体" w:hAnsi="宋体" w:eastAsia="宋体" w:cs="宋体"/>
                <w:color w:val="auto"/>
                <w:szCs w:val="21"/>
              </w:rPr>
              <w:t>1.</w:t>
            </w:r>
            <w:r>
              <w:rPr>
                <w:rFonts w:hint="eastAsia" w:ascii="宋体" w:hAnsi="宋体" w:eastAsia="宋体" w:cs="宋体"/>
                <w:color w:val="auto"/>
                <w:szCs w:val="21"/>
              </w:rPr>
              <w:t>人员严格按照招标文件及投标承诺配置</w:t>
            </w:r>
            <w:r>
              <w:rPr>
                <w:rFonts w:ascii="宋体" w:hAnsi="宋体" w:eastAsia="宋体" w:cs="宋体"/>
                <w:color w:val="auto"/>
                <w:szCs w:val="21"/>
              </w:rPr>
              <w:t>；</w:t>
            </w:r>
          </w:p>
          <w:p>
            <w:pPr>
              <w:jc w:val="left"/>
              <w:rPr>
                <w:rFonts w:ascii="宋体" w:hAnsi="宋体" w:eastAsia="宋体" w:cs="宋体"/>
                <w:color w:val="auto"/>
                <w:szCs w:val="21"/>
              </w:rPr>
            </w:pPr>
            <w:r>
              <w:rPr>
                <w:rFonts w:ascii="宋体" w:hAnsi="宋体" w:eastAsia="宋体" w:cs="宋体"/>
                <w:color w:val="auto"/>
                <w:szCs w:val="21"/>
              </w:rPr>
              <w:t>2.</w:t>
            </w:r>
            <w:r>
              <w:rPr>
                <w:rFonts w:hint="eastAsia" w:ascii="宋体" w:hAnsi="宋体" w:eastAsia="宋体" w:cs="宋体"/>
                <w:color w:val="auto"/>
                <w:szCs w:val="21"/>
              </w:rPr>
              <w:t>服务质量达到招标文件要求</w:t>
            </w:r>
            <w:r>
              <w:rPr>
                <w:rFonts w:ascii="宋体" w:hAnsi="宋体" w:eastAsia="宋体" w:cs="宋体"/>
                <w:color w:val="auto"/>
                <w:szCs w:val="21"/>
              </w:rPr>
              <w:t>；</w:t>
            </w:r>
          </w:p>
          <w:p>
            <w:pPr>
              <w:jc w:val="left"/>
              <w:rPr>
                <w:rFonts w:ascii="宋体" w:hAnsi="宋体" w:eastAsia="宋体" w:cs="宋体"/>
                <w:color w:val="auto"/>
                <w:szCs w:val="21"/>
              </w:rPr>
            </w:pPr>
            <w:r>
              <w:rPr>
                <w:rFonts w:ascii="宋体" w:hAnsi="宋体" w:eastAsia="宋体" w:cs="宋体"/>
                <w:color w:val="auto"/>
                <w:szCs w:val="21"/>
              </w:rPr>
              <w:t>3.</w:t>
            </w:r>
            <w:r>
              <w:rPr>
                <w:rFonts w:hint="eastAsia" w:ascii="宋体" w:hAnsi="宋体" w:eastAsia="宋体" w:cs="宋体"/>
                <w:color w:val="auto"/>
                <w:szCs w:val="21"/>
              </w:rPr>
              <w:t>对未能达到管理要求承担相应违约责任</w:t>
            </w:r>
            <w:r>
              <w:rPr>
                <w:rFonts w:ascii="宋体" w:hAnsi="宋体" w:eastAsia="宋体" w:cs="宋体"/>
                <w:color w:val="auto"/>
                <w:szCs w:val="21"/>
              </w:rPr>
              <w:t>。</w:t>
            </w:r>
          </w:p>
          <w:p>
            <w:pPr>
              <w:jc w:val="left"/>
              <w:rPr>
                <w:rFonts w:ascii="宋体" w:hAnsi="宋体" w:eastAsia="宋体" w:cs="宋体"/>
                <w:b/>
                <w:bCs/>
                <w:color w:val="auto"/>
                <w:szCs w:val="21"/>
              </w:rPr>
            </w:pPr>
            <w:r>
              <w:rPr>
                <w:rFonts w:hint="eastAsia" w:ascii="宋体" w:hAnsi="宋体" w:eastAsia="宋体" w:cs="宋体"/>
                <w:b/>
                <w:bCs/>
                <w:color w:val="auto"/>
                <w:szCs w:val="21"/>
              </w:rPr>
              <w:t>（二）评分依据：</w:t>
            </w:r>
          </w:p>
          <w:p>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szCs w:val="21"/>
              </w:rPr>
              <w:t>投标人承诺以上全部三项的得100分，要求提供承诺（格式自定）作为得分依据，未提供承诺或承诺内容不满足要求不得分。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5</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szCs w:val="21"/>
              </w:rPr>
            </w:pPr>
            <w:r>
              <w:rPr>
                <w:rFonts w:hint="eastAsia" w:ascii="宋体" w:hAnsi="宋体" w:eastAsia="宋体"/>
                <w:color w:val="auto"/>
                <w:szCs w:val="21"/>
              </w:rPr>
              <w:t>项目拟使用的设备（车辆、场地、工具、机器）情况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419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color w:val="auto"/>
                <w:szCs w:val="21"/>
              </w:rPr>
            </w:pPr>
            <w:r>
              <w:rPr>
                <w:rFonts w:hint="eastAsia" w:ascii="宋体" w:hAnsi="宋体" w:eastAsia="宋体" w:cs="宋体"/>
                <w:b/>
                <w:bCs/>
                <w:color w:val="auto"/>
                <w:szCs w:val="21"/>
              </w:rPr>
              <w:t>（一）评分内容：</w:t>
            </w:r>
          </w:p>
          <w:p>
            <w:pPr>
              <w:jc w:val="left"/>
              <w:rPr>
                <w:rFonts w:hint="eastAsia" w:cs="Times New Roman" w:asciiTheme="minorEastAsia" w:hAnsiTheme="minorEastAsia" w:eastAsiaTheme="minorEastAsia"/>
                <w:b w:val="0"/>
                <w:bCs w:val="0"/>
                <w:color w:val="auto"/>
                <w:kern w:val="0"/>
                <w:sz w:val="21"/>
                <w:szCs w:val="21"/>
                <w:highlight w:val="none"/>
                <w:lang w:val="en-US" w:eastAsia="zh-CN"/>
              </w:rPr>
            </w:pPr>
            <w:r>
              <w:rPr>
                <w:rFonts w:hint="eastAsia" w:cs="Times New Roman" w:asciiTheme="minorEastAsia" w:hAnsiTheme="minorEastAsia"/>
                <w:b w:val="0"/>
                <w:bCs w:val="0"/>
                <w:color w:val="auto"/>
                <w:kern w:val="0"/>
                <w:sz w:val="21"/>
                <w:szCs w:val="21"/>
                <w:highlight w:val="none"/>
                <w:lang w:val="en-US" w:eastAsia="zh-CN"/>
              </w:rPr>
              <w:t>投标人承诺</w:t>
            </w:r>
            <w:r>
              <w:rPr>
                <w:rFonts w:hint="eastAsia" w:cs="Times New Roman" w:asciiTheme="minorEastAsia" w:hAnsiTheme="minorEastAsia" w:eastAsiaTheme="minorEastAsia"/>
                <w:b w:val="0"/>
                <w:bCs w:val="0"/>
                <w:color w:val="auto"/>
                <w:kern w:val="0"/>
                <w:sz w:val="21"/>
                <w:szCs w:val="21"/>
                <w:highlight w:val="none"/>
                <w:lang w:val="en-US" w:eastAsia="zh-CN"/>
              </w:rPr>
              <w:t>至少配置</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cs="Times New Roman" w:asciiTheme="minorEastAsia" w:hAnsiTheme="minorEastAsia" w:eastAsiaTheme="minorEastAsia"/>
                <w:b w:val="0"/>
                <w:bCs w:val="0"/>
                <w:color w:val="auto"/>
                <w:kern w:val="0"/>
                <w:sz w:val="21"/>
                <w:szCs w:val="21"/>
                <w:highlight w:val="none"/>
                <w:lang w:val="en-US" w:eastAsia="zh-CN"/>
              </w:rPr>
            </w:pPr>
            <w:r>
              <w:rPr>
                <w:rFonts w:hint="eastAsia" w:cs="Times New Roman" w:asciiTheme="minorEastAsia" w:hAnsiTheme="minorEastAsia"/>
                <w:b w:val="0"/>
                <w:bCs w:val="0"/>
                <w:color w:val="auto"/>
                <w:kern w:val="0"/>
                <w:sz w:val="21"/>
                <w:szCs w:val="21"/>
                <w:highlight w:val="none"/>
                <w:lang w:val="en-US" w:eastAsia="zh-CN"/>
              </w:rPr>
              <w:t>1、2</w:t>
            </w:r>
            <w:r>
              <w:rPr>
                <w:rFonts w:hint="eastAsia" w:cs="Times New Roman" w:asciiTheme="minorEastAsia" w:hAnsiTheme="minorEastAsia" w:eastAsiaTheme="minorEastAsia"/>
                <w:b w:val="0"/>
                <w:bCs w:val="0"/>
                <w:color w:val="auto"/>
                <w:kern w:val="0"/>
                <w:sz w:val="21"/>
                <w:szCs w:val="21"/>
                <w:highlight w:val="none"/>
                <w:lang w:val="en-US" w:eastAsia="zh-CN"/>
              </w:rPr>
              <w:t>台自卸垃圾车（4.5吨以上、新能源）</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cs="Times New Roman" w:asciiTheme="minorEastAsia" w:hAnsiTheme="minorEastAsia" w:eastAsiaTheme="minorEastAsia"/>
                <w:b w:val="0"/>
                <w:bCs w:val="0"/>
                <w:color w:val="auto"/>
                <w:kern w:val="0"/>
                <w:sz w:val="21"/>
                <w:szCs w:val="21"/>
                <w:highlight w:val="none"/>
                <w:lang w:val="en-US" w:eastAsia="zh-CN"/>
              </w:rPr>
            </w:pPr>
            <w:r>
              <w:rPr>
                <w:rFonts w:hint="eastAsia" w:cs="Times New Roman" w:asciiTheme="minorEastAsia" w:hAnsiTheme="minorEastAsia"/>
                <w:b w:val="0"/>
                <w:bCs w:val="0"/>
                <w:color w:val="auto"/>
                <w:kern w:val="0"/>
                <w:sz w:val="21"/>
                <w:szCs w:val="21"/>
                <w:highlight w:val="none"/>
                <w:lang w:val="en-US" w:eastAsia="zh-CN"/>
              </w:rPr>
              <w:t>2</w:t>
            </w:r>
            <w:r>
              <w:rPr>
                <w:rFonts w:hint="eastAsia" w:cs="Times New Roman" w:asciiTheme="minorEastAsia" w:hAnsiTheme="minorEastAsia" w:eastAsiaTheme="minorEastAsia"/>
                <w:b w:val="0"/>
                <w:bCs w:val="0"/>
                <w:color w:val="auto"/>
                <w:kern w:val="0"/>
                <w:sz w:val="21"/>
                <w:szCs w:val="21"/>
                <w:highlight w:val="none"/>
                <w:lang w:val="en-US" w:eastAsia="zh-CN"/>
              </w:rPr>
              <w:t>、</w:t>
            </w:r>
            <w:r>
              <w:rPr>
                <w:rFonts w:hint="eastAsia" w:cs="Times New Roman" w:asciiTheme="minorEastAsia" w:hAnsiTheme="minorEastAsia"/>
                <w:b w:val="0"/>
                <w:bCs w:val="0"/>
                <w:color w:val="auto"/>
                <w:kern w:val="0"/>
                <w:sz w:val="21"/>
                <w:szCs w:val="21"/>
                <w:highlight w:val="none"/>
                <w:lang w:val="en-US" w:eastAsia="zh-CN"/>
              </w:rPr>
              <w:t>2</w:t>
            </w:r>
            <w:r>
              <w:rPr>
                <w:rFonts w:hint="eastAsia" w:cs="Times New Roman" w:asciiTheme="minorEastAsia" w:hAnsiTheme="minorEastAsia" w:eastAsiaTheme="minorEastAsia"/>
                <w:b w:val="0"/>
                <w:bCs w:val="0"/>
                <w:color w:val="auto"/>
                <w:kern w:val="0"/>
                <w:sz w:val="21"/>
                <w:szCs w:val="21"/>
                <w:highlight w:val="none"/>
                <w:lang w:val="en-US" w:eastAsia="zh-CN"/>
              </w:rPr>
              <w:t>台水车（3吨以上、新能源，要求安装水量监测仪）</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cs="Times New Roman" w:asciiTheme="minorEastAsia" w:hAnsiTheme="minorEastAsia" w:eastAsiaTheme="minorEastAsia"/>
                <w:b w:val="0"/>
                <w:bCs w:val="0"/>
                <w:color w:val="auto"/>
                <w:kern w:val="0"/>
                <w:sz w:val="21"/>
                <w:szCs w:val="21"/>
                <w:highlight w:val="none"/>
                <w:lang w:val="en-US" w:eastAsia="zh-CN"/>
              </w:rPr>
            </w:pPr>
            <w:r>
              <w:rPr>
                <w:rFonts w:hint="eastAsia" w:cs="Times New Roman" w:asciiTheme="minorEastAsia" w:hAnsiTheme="minorEastAsia"/>
                <w:b w:val="0"/>
                <w:bCs w:val="0"/>
                <w:color w:val="auto"/>
                <w:kern w:val="0"/>
                <w:sz w:val="21"/>
                <w:szCs w:val="21"/>
                <w:highlight w:val="none"/>
                <w:lang w:val="en-US" w:eastAsia="zh-CN"/>
              </w:rPr>
              <w:t>3</w:t>
            </w:r>
            <w:r>
              <w:rPr>
                <w:rFonts w:hint="eastAsia" w:cs="Times New Roman" w:asciiTheme="minorEastAsia" w:hAnsiTheme="minorEastAsia" w:eastAsiaTheme="minorEastAsia"/>
                <w:b w:val="0"/>
                <w:bCs w:val="0"/>
                <w:color w:val="auto"/>
                <w:kern w:val="0"/>
                <w:sz w:val="21"/>
                <w:szCs w:val="21"/>
                <w:highlight w:val="none"/>
                <w:lang w:val="en-US" w:eastAsia="zh-CN"/>
              </w:rPr>
              <w:t>、</w:t>
            </w:r>
            <w:r>
              <w:rPr>
                <w:rFonts w:hint="eastAsia" w:cs="Times New Roman" w:asciiTheme="minorEastAsia" w:hAnsiTheme="minorEastAsia"/>
                <w:b w:val="0"/>
                <w:bCs w:val="0"/>
                <w:color w:val="auto"/>
                <w:kern w:val="0"/>
                <w:sz w:val="21"/>
                <w:szCs w:val="21"/>
                <w:highlight w:val="none"/>
                <w:lang w:val="en-US" w:eastAsia="zh-CN"/>
              </w:rPr>
              <w:t>1</w:t>
            </w:r>
            <w:r>
              <w:rPr>
                <w:rFonts w:hint="eastAsia" w:cs="Times New Roman" w:asciiTheme="minorEastAsia" w:hAnsiTheme="minorEastAsia" w:eastAsiaTheme="minorEastAsia"/>
                <w:b w:val="0"/>
                <w:bCs w:val="0"/>
                <w:color w:val="auto"/>
                <w:kern w:val="0"/>
                <w:sz w:val="21"/>
                <w:szCs w:val="21"/>
                <w:highlight w:val="none"/>
                <w:lang w:val="en-US" w:eastAsia="zh-CN"/>
              </w:rPr>
              <w:t>台管理用车（新能源）</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cs="Times New Roman" w:asciiTheme="minorEastAsia" w:hAnsiTheme="minorEastAsia" w:eastAsiaTheme="minorEastAsia"/>
                <w:b w:val="0"/>
                <w:bCs w:val="0"/>
                <w:color w:val="auto"/>
                <w:kern w:val="0"/>
                <w:sz w:val="21"/>
                <w:szCs w:val="21"/>
                <w:highlight w:val="none"/>
                <w:lang w:val="en-US" w:eastAsia="zh-CN"/>
              </w:rPr>
            </w:pPr>
            <w:r>
              <w:rPr>
                <w:rFonts w:hint="eastAsia" w:cs="Times New Roman" w:asciiTheme="minorEastAsia" w:hAnsiTheme="minorEastAsia"/>
                <w:b w:val="0"/>
                <w:bCs w:val="0"/>
                <w:color w:val="auto"/>
                <w:kern w:val="0"/>
                <w:sz w:val="21"/>
                <w:szCs w:val="21"/>
                <w:highlight w:val="none"/>
                <w:lang w:val="en-US" w:eastAsia="zh-CN"/>
              </w:rPr>
              <w:t>4</w:t>
            </w:r>
            <w:r>
              <w:rPr>
                <w:rFonts w:hint="eastAsia" w:cs="Times New Roman" w:asciiTheme="minorEastAsia" w:hAnsiTheme="minorEastAsia" w:eastAsiaTheme="minorEastAsia"/>
                <w:b w:val="0"/>
                <w:bCs w:val="0"/>
                <w:color w:val="auto"/>
                <w:kern w:val="0"/>
                <w:sz w:val="21"/>
                <w:szCs w:val="21"/>
                <w:highlight w:val="none"/>
                <w:lang w:val="en-US" w:eastAsia="zh-CN"/>
              </w:rPr>
              <w:t>、</w:t>
            </w:r>
            <w:r>
              <w:rPr>
                <w:rFonts w:hint="eastAsia" w:cs="Times New Roman" w:asciiTheme="minorEastAsia" w:hAnsiTheme="minorEastAsia"/>
                <w:b w:val="0"/>
                <w:bCs w:val="0"/>
                <w:color w:val="auto"/>
                <w:kern w:val="0"/>
                <w:sz w:val="21"/>
                <w:szCs w:val="21"/>
                <w:highlight w:val="none"/>
                <w:lang w:val="en-US" w:eastAsia="zh-CN"/>
              </w:rPr>
              <w:t>2</w:t>
            </w:r>
            <w:r>
              <w:rPr>
                <w:rFonts w:hint="eastAsia" w:cs="Times New Roman" w:asciiTheme="minorEastAsia" w:hAnsiTheme="minorEastAsia" w:eastAsiaTheme="minorEastAsia"/>
                <w:b w:val="0"/>
                <w:bCs w:val="0"/>
                <w:color w:val="auto"/>
                <w:kern w:val="0"/>
                <w:sz w:val="21"/>
                <w:szCs w:val="21"/>
                <w:highlight w:val="none"/>
                <w:lang w:val="en-US" w:eastAsia="zh-CN"/>
              </w:rPr>
              <w:t>台货车（新能源）</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cs="Times New Roman" w:asciiTheme="minorEastAsia" w:hAnsiTheme="minorEastAsia" w:eastAsiaTheme="minorEastAsia"/>
                <w:b w:val="0"/>
                <w:bCs w:val="0"/>
                <w:color w:val="auto"/>
                <w:kern w:val="0"/>
                <w:sz w:val="21"/>
                <w:szCs w:val="21"/>
                <w:highlight w:val="none"/>
                <w:lang w:val="en-US" w:eastAsia="zh-CN"/>
              </w:rPr>
            </w:pPr>
            <w:r>
              <w:rPr>
                <w:rFonts w:hint="eastAsia" w:cs="Times New Roman" w:asciiTheme="minorEastAsia" w:hAnsiTheme="minorEastAsia"/>
                <w:b w:val="0"/>
                <w:bCs w:val="0"/>
                <w:color w:val="auto"/>
                <w:kern w:val="0"/>
                <w:sz w:val="21"/>
                <w:szCs w:val="21"/>
                <w:highlight w:val="none"/>
                <w:lang w:val="en-US" w:eastAsia="zh-CN"/>
              </w:rPr>
              <w:t>5</w:t>
            </w:r>
            <w:r>
              <w:rPr>
                <w:rFonts w:hint="eastAsia" w:cs="Times New Roman" w:asciiTheme="minorEastAsia" w:hAnsiTheme="minorEastAsia" w:eastAsiaTheme="minorEastAsia"/>
                <w:b w:val="0"/>
                <w:bCs w:val="0"/>
                <w:color w:val="auto"/>
                <w:kern w:val="0"/>
                <w:sz w:val="21"/>
                <w:szCs w:val="21"/>
                <w:highlight w:val="none"/>
                <w:lang w:val="en-US" w:eastAsia="zh-CN"/>
              </w:rPr>
              <w:t>、</w:t>
            </w:r>
            <w:r>
              <w:rPr>
                <w:rFonts w:hint="eastAsia" w:cs="Times New Roman" w:asciiTheme="minorEastAsia" w:hAnsiTheme="minorEastAsia"/>
                <w:b w:val="0"/>
                <w:bCs w:val="0"/>
                <w:color w:val="auto"/>
                <w:kern w:val="0"/>
                <w:sz w:val="21"/>
                <w:szCs w:val="21"/>
                <w:highlight w:val="none"/>
                <w:lang w:val="en-US" w:eastAsia="zh-CN"/>
              </w:rPr>
              <w:t>3</w:t>
            </w:r>
            <w:r>
              <w:rPr>
                <w:rFonts w:hint="eastAsia" w:cs="Times New Roman" w:asciiTheme="minorEastAsia" w:hAnsiTheme="minorEastAsia" w:eastAsiaTheme="minorEastAsia"/>
                <w:b w:val="0"/>
                <w:bCs w:val="0"/>
                <w:color w:val="auto"/>
                <w:kern w:val="0"/>
                <w:sz w:val="21"/>
                <w:szCs w:val="21"/>
                <w:highlight w:val="none"/>
                <w:lang w:val="en-US" w:eastAsia="zh-CN"/>
              </w:rPr>
              <w:t>台高空作业车</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cs="Times New Roman" w:asciiTheme="minorEastAsia" w:hAnsiTheme="minorEastAsia" w:eastAsiaTheme="minorEastAsia"/>
                <w:b w:val="0"/>
                <w:bCs w:val="0"/>
                <w:color w:val="auto"/>
                <w:kern w:val="0"/>
                <w:sz w:val="21"/>
                <w:szCs w:val="21"/>
                <w:highlight w:val="none"/>
                <w:lang w:val="en-US" w:eastAsia="zh-CN"/>
              </w:rPr>
            </w:pPr>
            <w:r>
              <w:rPr>
                <w:rFonts w:hint="eastAsia" w:cs="Times New Roman" w:asciiTheme="minorEastAsia" w:hAnsiTheme="minorEastAsia"/>
                <w:b w:val="0"/>
                <w:bCs w:val="0"/>
                <w:color w:val="auto"/>
                <w:kern w:val="0"/>
                <w:sz w:val="21"/>
                <w:szCs w:val="21"/>
                <w:highlight w:val="none"/>
                <w:lang w:val="en-US" w:eastAsia="zh-CN"/>
              </w:rPr>
              <w:t>6</w:t>
            </w:r>
            <w:r>
              <w:rPr>
                <w:rFonts w:hint="eastAsia" w:cs="Times New Roman" w:asciiTheme="minorEastAsia" w:hAnsiTheme="minorEastAsia" w:eastAsiaTheme="minorEastAsia"/>
                <w:b w:val="0"/>
                <w:bCs w:val="0"/>
                <w:color w:val="auto"/>
                <w:kern w:val="0"/>
                <w:sz w:val="21"/>
                <w:szCs w:val="21"/>
                <w:highlight w:val="none"/>
                <w:lang w:val="en-US" w:eastAsia="zh-CN"/>
              </w:rPr>
              <w:t>、</w:t>
            </w:r>
            <w:r>
              <w:rPr>
                <w:rFonts w:hint="eastAsia" w:cs="Times New Roman" w:asciiTheme="minorEastAsia" w:hAnsiTheme="minorEastAsia"/>
                <w:b w:val="0"/>
                <w:bCs w:val="0"/>
                <w:color w:val="auto"/>
                <w:kern w:val="0"/>
                <w:sz w:val="21"/>
                <w:szCs w:val="21"/>
                <w:highlight w:val="none"/>
                <w:lang w:val="en-US" w:eastAsia="zh-CN"/>
              </w:rPr>
              <w:t>2</w:t>
            </w:r>
            <w:r>
              <w:rPr>
                <w:rFonts w:hint="eastAsia" w:cs="Times New Roman" w:asciiTheme="minorEastAsia" w:hAnsiTheme="minorEastAsia" w:eastAsiaTheme="minorEastAsia"/>
                <w:b w:val="0"/>
                <w:bCs w:val="0"/>
                <w:color w:val="auto"/>
                <w:kern w:val="0"/>
                <w:sz w:val="21"/>
                <w:szCs w:val="21"/>
                <w:highlight w:val="none"/>
                <w:lang w:val="en-US" w:eastAsia="zh-CN"/>
              </w:rPr>
              <w:t>台防撞车</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cs="Times New Roman" w:asciiTheme="minorEastAsia" w:hAnsiTheme="minorEastAsia" w:eastAsiaTheme="minorEastAsia"/>
                <w:b w:val="0"/>
                <w:bCs w:val="0"/>
                <w:color w:val="auto"/>
                <w:kern w:val="0"/>
                <w:sz w:val="21"/>
                <w:szCs w:val="21"/>
                <w:highlight w:val="none"/>
                <w:lang w:val="en-US" w:eastAsia="zh-CN"/>
              </w:rPr>
            </w:pPr>
            <w:r>
              <w:rPr>
                <w:rFonts w:hint="eastAsia" w:cs="Times New Roman" w:asciiTheme="minorEastAsia" w:hAnsiTheme="minorEastAsia"/>
                <w:b w:val="0"/>
                <w:bCs w:val="0"/>
                <w:color w:val="auto"/>
                <w:kern w:val="0"/>
                <w:sz w:val="21"/>
                <w:szCs w:val="21"/>
                <w:highlight w:val="none"/>
                <w:lang w:val="en-US" w:eastAsia="zh-CN"/>
              </w:rPr>
              <w:t>7</w:t>
            </w:r>
            <w:r>
              <w:rPr>
                <w:rFonts w:hint="eastAsia" w:cs="Times New Roman" w:asciiTheme="minorEastAsia" w:hAnsiTheme="minorEastAsia" w:eastAsiaTheme="minorEastAsia"/>
                <w:b w:val="0"/>
                <w:bCs w:val="0"/>
                <w:color w:val="auto"/>
                <w:kern w:val="0"/>
                <w:sz w:val="21"/>
                <w:szCs w:val="21"/>
                <w:highlight w:val="none"/>
                <w:lang w:val="en-US" w:eastAsia="zh-CN"/>
              </w:rPr>
              <w:t>、</w:t>
            </w:r>
            <w:r>
              <w:rPr>
                <w:rFonts w:hint="eastAsia" w:cs="Times New Roman" w:asciiTheme="minorEastAsia" w:hAnsiTheme="minorEastAsia"/>
                <w:b w:val="0"/>
                <w:bCs w:val="0"/>
                <w:color w:val="auto"/>
                <w:kern w:val="0"/>
                <w:sz w:val="21"/>
                <w:szCs w:val="21"/>
                <w:highlight w:val="none"/>
                <w:lang w:val="en-US" w:eastAsia="zh-CN"/>
              </w:rPr>
              <w:t>3</w:t>
            </w:r>
            <w:r>
              <w:rPr>
                <w:rFonts w:hint="eastAsia" w:cs="Times New Roman" w:asciiTheme="minorEastAsia" w:hAnsiTheme="minorEastAsia" w:eastAsiaTheme="minorEastAsia"/>
                <w:b w:val="0"/>
                <w:bCs w:val="0"/>
                <w:color w:val="auto"/>
                <w:kern w:val="0"/>
                <w:sz w:val="21"/>
                <w:szCs w:val="21"/>
                <w:highlight w:val="none"/>
                <w:lang w:val="en-US" w:eastAsia="zh-CN"/>
              </w:rPr>
              <w:t>台巡逻车（新能源）</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cs="Times New Roman" w:asciiTheme="minorEastAsia" w:hAnsiTheme="minorEastAsia" w:eastAsiaTheme="minorEastAsia"/>
                <w:b w:val="0"/>
                <w:bCs w:val="0"/>
                <w:color w:val="auto"/>
                <w:kern w:val="0"/>
                <w:sz w:val="21"/>
                <w:szCs w:val="21"/>
                <w:highlight w:val="none"/>
                <w:lang w:val="en-US" w:eastAsia="zh-CN"/>
              </w:rPr>
            </w:pPr>
            <w:r>
              <w:rPr>
                <w:rFonts w:hint="eastAsia" w:cs="Times New Roman" w:asciiTheme="minorEastAsia" w:hAnsiTheme="minorEastAsia"/>
                <w:b w:val="0"/>
                <w:bCs w:val="0"/>
                <w:color w:val="auto"/>
                <w:kern w:val="0"/>
                <w:sz w:val="21"/>
                <w:szCs w:val="21"/>
                <w:highlight w:val="none"/>
                <w:lang w:val="en-US" w:eastAsia="zh-CN"/>
              </w:rPr>
              <w:t>8、10</w:t>
            </w:r>
            <w:r>
              <w:rPr>
                <w:rFonts w:hint="eastAsia" w:cs="Times New Roman" w:asciiTheme="minorEastAsia" w:hAnsiTheme="minorEastAsia" w:eastAsiaTheme="minorEastAsia"/>
                <w:b w:val="0"/>
                <w:bCs w:val="0"/>
                <w:color w:val="auto"/>
                <w:kern w:val="0"/>
                <w:sz w:val="21"/>
                <w:szCs w:val="21"/>
                <w:highlight w:val="none"/>
                <w:lang w:val="en-US" w:eastAsia="zh-CN"/>
              </w:rPr>
              <w:t>台执法记录仪</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ascii="宋体" w:hAnsi="宋体" w:eastAsia="宋体" w:cs="宋体"/>
                <w:color w:val="auto"/>
                <w:szCs w:val="21"/>
              </w:rPr>
            </w:pPr>
            <w:r>
              <w:rPr>
                <w:rFonts w:hint="eastAsia" w:cs="Times New Roman" w:asciiTheme="minorEastAsia" w:hAnsiTheme="minorEastAsia"/>
                <w:b w:val="0"/>
                <w:bCs w:val="0"/>
                <w:color w:val="auto"/>
                <w:kern w:val="0"/>
                <w:sz w:val="21"/>
                <w:szCs w:val="21"/>
                <w:highlight w:val="none"/>
                <w:lang w:val="en-US" w:eastAsia="zh-CN"/>
              </w:rPr>
              <w:t>9</w:t>
            </w:r>
            <w:r>
              <w:rPr>
                <w:rFonts w:hint="eastAsia" w:cs="Times New Roman" w:asciiTheme="minorEastAsia" w:hAnsiTheme="minorEastAsia" w:eastAsiaTheme="minorEastAsia"/>
                <w:b w:val="0"/>
                <w:bCs w:val="0"/>
                <w:color w:val="auto"/>
                <w:kern w:val="0"/>
                <w:sz w:val="21"/>
                <w:szCs w:val="21"/>
                <w:highlight w:val="none"/>
                <w:lang w:val="en-US" w:eastAsia="zh-CN"/>
              </w:rPr>
              <w:t>、足量园林机械（剪草机、割灌机、油锯、高枝锯、户外吹风机、手推式草坪机、绿篱机、喷雾打药机等）、足量作业工具、足量GPS（人手一台、每车一台）</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ascii="宋体" w:hAnsi="宋体" w:eastAsia="宋体" w:cs="宋体"/>
                <w:b/>
                <w:bCs/>
                <w:color w:val="auto"/>
                <w:szCs w:val="21"/>
              </w:rPr>
            </w:pPr>
            <w:r>
              <w:rPr>
                <w:rFonts w:hint="eastAsia" w:ascii="宋体" w:hAnsi="宋体" w:eastAsia="宋体" w:cs="宋体"/>
                <w:b/>
                <w:bCs/>
                <w:color w:val="auto"/>
                <w:szCs w:val="21"/>
              </w:rPr>
              <w:t>（二）评分依据：</w:t>
            </w:r>
          </w:p>
          <w:p>
            <w:pPr>
              <w:jc w:val="left"/>
              <w:rPr>
                <w:rFonts w:hint="eastAsia" w:ascii="Times New Roman" w:hAnsi="Times New Roman" w:eastAsia="宋体" w:cs="Times New Roman"/>
                <w:color w:val="auto"/>
                <w:kern w:val="2"/>
                <w:sz w:val="21"/>
                <w:szCs w:val="24"/>
                <w:lang w:val="en-US" w:eastAsia="zh-CN" w:bidi="ar-SA"/>
              </w:rPr>
            </w:pPr>
            <w:r>
              <w:rPr>
                <w:rFonts w:hint="eastAsia" w:ascii="宋体" w:hAnsi="宋体" w:eastAsia="宋体" w:cs="宋体"/>
                <w:szCs w:val="21"/>
              </w:rPr>
              <w:t>投标人承诺以上全部的得100分，要求提供承诺（格式自定）作为得分依据，未提供承诺或承诺内容不满足要求不得分。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eastAsia="zh-CN"/>
              </w:rPr>
            </w:pPr>
            <w:r>
              <w:rPr>
                <w:rFonts w:hint="eastAsia" w:ascii="宋体" w:hAnsi="宋体" w:cs="宋体"/>
                <w:szCs w:val="21"/>
                <w:lang w:val="en-US" w:eastAsia="zh-CN"/>
              </w:rPr>
              <w:t>6</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szCs w:val="21"/>
              </w:rPr>
              <w:t>拟安排的项目负责人情况（仅限一人）</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eastAsia="zh-CN"/>
              </w:rPr>
            </w:pPr>
            <w:r>
              <w:rPr>
                <w:rFonts w:hint="eastAsia" w:ascii="宋体" w:hAnsi="宋体" w:cs="宋体"/>
                <w:szCs w:val="21"/>
                <w:lang w:val="en-US" w:eastAsia="zh-CN"/>
              </w:rPr>
              <w:t>8</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eastAsia="宋体"/>
                <w:b/>
                <w:bCs/>
                <w:color w:val="auto"/>
                <w:szCs w:val="21"/>
              </w:rPr>
            </w:pPr>
            <w:r>
              <w:rPr>
                <w:rFonts w:hint="eastAsia" w:ascii="宋体" w:hAnsi="宋体" w:eastAsia="宋体"/>
                <w:b/>
                <w:bCs/>
                <w:color w:val="auto"/>
                <w:szCs w:val="21"/>
              </w:rPr>
              <w:t>（一）评分内容：</w:t>
            </w:r>
          </w:p>
          <w:p>
            <w:pPr>
              <w:jc w:val="left"/>
              <w:rPr>
                <w:rFonts w:ascii="宋体" w:hAnsi="宋体" w:eastAsia="宋体"/>
                <w:color w:val="auto"/>
                <w:szCs w:val="21"/>
              </w:rPr>
            </w:pPr>
            <w:r>
              <w:rPr>
                <w:rFonts w:hint="eastAsia" w:ascii="宋体" w:hAnsi="宋体" w:eastAsia="宋体"/>
                <w:color w:val="auto"/>
                <w:szCs w:val="21"/>
              </w:rPr>
              <w:t>投标人拟安排的项目负责人需为自有员工，否则不得分，在此基础上：</w:t>
            </w:r>
          </w:p>
          <w:p>
            <w:pPr>
              <w:jc w:val="left"/>
              <w:rPr>
                <w:rFonts w:ascii="宋体" w:hAnsi="宋体" w:eastAsia="宋体"/>
                <w:color w:val="auto"/>
                <w:szCs w:val="21"/>
              </w:rPr>
            </w:pPr>
            <w:r>
              <w:rPr>
                <w:rFonts w:hint="eastAsia" w:ascii="宋体" w:hAnsi="宋体" w:eastAsia="宋体"/>
                <w:color w:val="auto"/>
                <w:szCs w:val="21"/>
              </w:rPr>
              <w:t>1.项目负责人具备园林或园艺类</w:t>
            </w:r>
            <w:r>
              <w:rPr>
                <w:rFonts w:hint="eastAsia" w:ascii="宋体" w:hAnsi="宋体" w:eastAsia="宋体"/>
                <w:color w:val="auto"/>
                <w:szCs w:val="21"/>
                <w:lang w:val="en-US" w:eastAsia="zh-CN"/>
              </w:rPr>
              <w:t>学历：</w:t>
            </w:r>
            <w:r>
              <w:rPr>
                <w:rFonts w:hint="eastAsia" w:ascii="宋体" w:hAnsi="宋体" w:eastAsia="宋体"/>
                <w:color w:val="auto"/>
                <w:szCs w:val="21"/>
              </w:rPr>
              <w:t>本科或以上学历得</w:t>
            </w:r>
            <w:r>
              <w:rPr>
                <w:rFonts w:ascii="宋体" w:hAnsi="宋体" w:eastAsia="宋体"/>
                <w:color w:val="auto"/>
                <w:szCs w:val="21"/>
              </w:rPr>
              <w:t>20</w:t>
            </w:r>
            <w:r>
              <w:rPr>
                <w:rFonts w:hint="eastAsia" w:ascii="宋体" w:hAnsi="宋体" w:eastAsia="宋体"/>
                <w:color w:val="auto"/>
                <w:szCs w:val="21"/>
              </w:rPr>
              <w:t>分，大专学历得</w:t>
            </w:r>
            <w:r>
              <w:rPr>
                <w:rFonts w:ascii="宋体" w:hAnsi="宋体" w:eastAsia="宋体"/>
                <w:color w:val="auto"/>
                <w:szCs w:val="21"/>
              </w:rPr>
              <w:t>10</w:t>
            </w:r>
            <w:r>
              <w:rPr>
                <w:rFonts w:hint="eastAsia" w:ascii="宋体" w:hAnsi="宋体" w:eastAsia="宋体"/>
                <w:color w:val="auto"/>
                <w:szCs w:val="21"/>
              </w:rPr>
              <w:t>分，本小项最高得20分；</w:t>
            </w:r>
          </w:p>
          <w:p>
            <w:pPr>
              <w:jc w:val="left"/>
              <w:rPr>
                <w:rFonts w:hint="eastAsia" w:ascii="宋体" w:hAnsi="宋体" w:eastAsia="宋体"/>
                <w:color w:val="auto"/>
                <w:szCs w:val="21"/>
              </w:rPr>
            </w:pPr>
            <w:r>
              <w:rPr>
                <w:rFonts w:hint="eastAsia" w:ascii="宋体" w:hAnsi="宋体" w:eastAsia="宋体"/>
                <w:color w:val="auto"/>
                <w:szCs w:val="21"/>
              </w:rPr>
              <w:t>2.</w:t>
            </w:r>
            <w:r>
              <w:rPr>
                <w:rFonts w:hint="eastAsia" w:ascii="宋体" w:hAnsi="宋体" w:eastAsia="宋体"/>
                <w:color w:val="auto"/>
                <w:szCs w:val="21"/>
                <w:lang w:val="en-US" w:eastAsia="zh-CN"/>
              </w:rPr>
              <w:t>项目负责人</w:t>
            </w:r>
            <w:r>
              <w:rPr>
                <w:rFonts w:hint="eastAsia" w:ascii="宋体" w:hAnsi="宋体" w:eastAsia="宋体"/>
                <w:color w:val="auto"/>
                <w:szCs w:val="21"/>
              </w:rPr>
              <w:t>具备园林或园艺类</w:t>
            </w:r>
            <w:r>
              <w:rPr>
                <w:rFonts w:hint="eastAsia" w:ascii="宋体" w:hAnsi="宋体" w:eastAsia="宋体"/>
                <w:color w:val="auto"/>
                <w:szCs w:val="21"/>
                <w:lang w:val="en-US" w:eastAsia="zh-CN"/>
              </w:rPr>
              <w:t>职称：</w:t>
            </w:r>
            <w:r>
              <w:rPr>
                <w:rFonts w:hint="eastAsia" w:ascii="宋体" w:hAnsi="宋体" w:eastAsia="宋体"/>
                <w:color w:val="auto"/>
                <w:szCs w:val="21"/>
              </w:rPr>
              <w:t>副高级或以上职称得</w:t>
            </w:r>
            <w:r>
              <w:rPr>
                <w:rFonts w:ascii="宋体" w:hAnsi="宋体" w:eastAsia="宋体"/>
                <w:color w:val="auto"/>
                <w:szCs w:val="21"/>
              </w:rPr>
              <w:t>20</w:t>
            </w:r>
            <w:r>
              <w:rPr>
                <w:rFonts w:hint="eastAsia" w:ascii="宋体" w:hAnsi="宋体" w:eastAsia="宋体"/>
                <w:color w:val="auto"/>
                <w:szCs w:val="21"/>
              </w:rPr>
              <w:t>分，中级职称得</w:t>
            </w:r>
            <w:r>
              <w:rPr>
                <w:rFonts w:ascii="宋体" w:hAnsi="宋体" w:eastAsia="宋体"/>
                <w:color w:val="auto"/>
                <w:szCs w:val="21"/>
              </w:rPr>
              <w:t>10</w:t>
            </w:r>
            <w:r>
              <w:rPr>
                <w:rFonts w:hint="eastAsia" w:ascii="宋体" w:hAnsi="宋体" w:eastAsia="宋体"/>
                <w:color w:val="auto"/>
                <w:szCs w:val="21"/>
              </w:rPr>
              <w:t>分，本小项最高得20分；</w:t>
            </w:r>
          </w:p>
          <w:p>
            <w:pPr>
              <w:jc w:val="left"/>
              <w:rPr>
                <w:rFonts w:ascii="宋体" w:hAnsi="宋体" w:eastAsia="宋体"/>
                <w:color w:val="auto"/>
                <w:szCs w:val="21"/>
              </w:rPr>
            </w:pPr>
            <w:r>
              <w:rPr>
                <w:rFonts w:hint="eastAsia" w:ascii="宋体" w:hAnsi="宋体"/>
                <w:color w:val="auto"/>
                <w:szCs w:val="21"/>
                <w:lang w:val="en-US" w:eastAsia="zh-CN"/>
              </w:rPr>
              <w:t>3</w:t>
            </w:r>
            <w:r>
              <w:rPr>
                <w:rFonts w:hint="eastAsia" w:ascii="宋体" w:hAnsi="宋体" w:eastAsia="宋体"/>
                <w:color w:val="auto"/>
                <w:szCs w:val="21"/>
              </w:rPr>
              <w:t>.具有住建部门颁发的安全生产考核合格B证(项目负责人)，得10分；</w:t>
            </w:r>
          </w:p>
          <w:p>
            <w:pPr>
              <w:jc w:val="left"/>
              <w:rPr>
                <w:rFonts w:ascii="宋体" w:hAnsi="宋体" w:eastAsia="宋体"/>
                <w:color w:val="auto"/>
                <w:szCs w:val="21"/>
              </w:rPr>
            </w:pPr>
            <w:r>
              <w:rPr>
                <w:rFonts w:hint="eastAsia" w:ascii="宋体" w:hAnsi="宋体"/>
                <w:color w:val="auto"/>
                <w:szCs w:val="21"/>
                <w:lang w:val="en-US" w:eastAsia="zh-CN"/>
              </w:rPr>
              <w:t>4</w:t>
            </w:r>
            <w:r>
              <w:rPr>
                <w:rFonts w:ascii="宋体" w:hAnsi="宋体" w:eastAsia="宋体"/>
                <w:color w:val="auto"/>
                <w:szCs w:val="21"/>
              </w:rPr>
              <w:t>.</w:t>
            </w:r>
            <w:r>
              <w:rPr>
                <w:rFonts w:ascii="宋体" w:hAnsi="宋体" w:eastAsia="宋体"/>
                <w:color w:val="auto"/>
                <w:szCs w:val="21"/>
                <w:highlight w:val="none"/>
              </w:rPr>
              <w:t>具有公园或绿地综合管理服务（服务内容涵盖绿化、保洁、安</w:t>
            </w:r>
            <w:r>
              <w:rPr>
                <w:rFonts w:hint="eastAsia" w:ascii="宋体" w:hAnsi="宋体" w:eastAsia="宋体"/>
                <w:color w:val="auto"/>
                <w:szCs w:val="21"/>
                <w:highlight w:val="none"/>
              </w:rPr>
              <w:t>全管理、设施维护中的任意三项即可，文字描述可以不完全一致）经验，且服务周期不少于</w:t>
            </w:r>
            <w:r>
              <w:rPr>
                <w:rFonts w:ascii="宋体" w:hAnsi="宋体" w:eastAsia="宋体"/>
                <w:color w:val="auto"/>
                <w:szCs w:val="21"/>
                <w:highlight w:val="none"/>
              </w:rPr>
              <w:t>1年</w:t>
            </w:r>
            <w:r>
              <w:rPr>
                <w:rFonts w:hint="eastAsia" w:ascii="宋体" w:hAnsi="宋体" w:eastAsia="宋体"/>
                <w:color w:val="auto"/>
                <w:szCs w:val="21"/>
                <w:highlight w:val="none"/>
              </w:rPr>
              <w:t>、单个项目管养规模不小于</w:t>
            </w:r>
            <w:r>
              <w:rPr>
                <w:rFonts w:hint="eastAsia" w:ascii="宋体" w:hAnsi="宋体" w:eastAsia="宋体"/>
                <w:color w:val="auto"/>
                <w:szCs w:val="21"/>
                <w:highlight w:val="none"/>
                <w:lang w:val="en-US" w:eastAsia="zh-CN"/>
              </w:rPr>
              <w:t>5</w:t>
            </w:r>
            <w:r>
              <w:rPr>
                <w:rFonts w:hint="eastAsia" w:ascii="宋体" w:hAnsi="宋体"/>
                <w:color w:val="auto"/>
                <w:szCs w:val="21"/>
                <w:highlight w:val="none"/>
                <w:lang w:val="en-US" w:eastAsia="zh-CN"/>
              </w:rPr>
              <w:t>0</w:t>
            </w:r>
            <w:r>
              <w:rPr>
                <w:rFonts w:hint="eastAsia" w:ascii="宋体" w:hAnsi="宋体" w:eastAsia="宋体"/>
                <w:color w:val="auto"/>
                <w:szCs w:val="21"/>
                <w:highlight w:val="none"/>
              </w:rPr>
              <w:t>万平方米</w:t>
            </w:r>
            <w:r>
              <w:rPr>
                <w:rFonts w:ascii="宋体" w:hAnsi="宋体" w:eastAsia="宋体"/>
                <w:color w:val="auto"/>
                <w:szCs w:val="21"/>
                <w:highlight w:val="none"/>
              </w:rPr>
              <w:t>的，每提供一项业绩</w:t>
            </w:r>
            <w:r>
              <w:rPr>
                <w:rFonts w:hint="eastAsia" w:ascii="宋体" w:hAnsi="宋体"/>
                <w:color w:val="auto"/>
                <w:szCs w:val="21"/>
                <w:highlight w:val="none"/>
                <w:lang w:val="en-US" w:eastAsia="zh-CN"/>
              </w:rPr>
              <w:t>10</w:t>
            </w:r>
            <w:r>
              <w:rPr>
                <w:rFonts w:ascii="宋体" w:hAnsi="宋体" w:eastAsia="宋体"/>
                <w:color w:val="auto"/>
                <w:szCs w:val="21"/>
                <w:highlight w:val="none"/>
              </w:rPr>
              <w:t>分，本小项最高得</w:t>
            </w:r>
            <w:r>
              <w:rPr>
                <w:rFonts w:hint="eastAsia" w:ascii="宋体" w:hAnsi="宋体"/>
                <w:color w:val="auto"/>
                <w:szCs w:val="21"/>
                <w:highlight w:val="none"/>
                <w:lang w:val="en-US" w:eastAsia="zh-CN"/>
              </w:rPr>
              <w:t>50</w:t>
            </w:r>
            <w:r>
              <w:rPr>
                <w:rFonts w:ascii="宋体" w:hAnsi="宋体" w:eastAsia="宋体"/>
                <w:color w:val="auto"/>
                <w:szCs w:val="21"/>
              </w:rPr>
              <w:t>分。</w:t>
            </w:r>
          </w:p>
          <w:p>
            <w:pPr>
              <w:jc w:val="left"/>
              <w:rPr>
                <w:rFonts w:ascii="宋体" w:hAnsi="宋体" w:eastAsia="宋体"/>
                <w:color w:val="auto"/>
                <w:szCs w:val="21"/>
              </w:rPr>
            </w:pPr>
            <w:r>
              <w:rPr>
                <w:rFonts w:hint="eastAsia" w:ascii="宋体" w:hAnsi="宋体" w:eastAsia="宋体"/>
                <w:color w:val="auto"/>
                <w:szCs w:val="21"/>
              </w:rPr>
              <w:t>以上</w:t>
            </w:r>
            <w:r>
              <w:rPr>
                <w:rFonts w:hint="eastAsia" w:ascii="宋体" w:hAnsi="宋体" w:eastAsia="宋体"/>
                <w:color w:val="auto"/>
                <w:szCs w:val="21"/>
                <w:lang w:eastAsia="zh-CN"/>
              </w:rPr>
              <w:t>五</w:t>
            </w:r>
            <w:r>
              <w:rPr>
                <w:rFonts w:hint="eastAsia" w:ascii="宋体" w:hAnsi="宋体" w:eastAsia="宋体"/>
                <w:color w:val="auto"/>
                <w:szCs w:val="21"/>
              </w:rPr>
              <w:t>项累计得分，本项最高得</w:t>
            </w:r>
            <w:r>
              <w:rPr>
                <w:rFonts w:ascii="宋体" w:hAnsi="宋体" w:eastAsia="宋体"/>
                <w:color w:val="auto"/>
                <w:szCs w:val="21"/>
              </w:rPr>
              <w:t>100分。</w:t>
            </w:r>
          </w:p>
          <w:p>
            <w:pPr>
              <w:jc w:val="left"/>
              <w:rPr>
                <w:rFonts w:ascii="宋体" w:hAnsi="宋体" w:eastAsia="宋体"/>
                <w:b/>
                <w:bCs/>
                <w:color w:val="auto"/>
                <w:szCs w:val="21"/>
              </w:rPr>
            </w:pPr>
            <w:r>
              <w:rPr>
                <w:rFonts w:hint="eastAsia" w:ascii="宋体" w:hAnsi="宋体" w:eastAsia="宋体"/>
                <w:b/>
                <w:bCs/>
                <w:color w:val="auto"/>
                <w:szCs w:val="21"/>
              </w:rPr>
              <w:t>（二）评分依据：</w:t>
            </w:r>
          </w:p>
          <w:p>
            <w:pPr>
              <w:rPr>
                <w:rFonts w:hint="eastAsia" w:ascii="宋体" w:hAnsi="宋体" w:eastAsia="宋体" w:cs="宋体"/>
              </w:rPr>
            </w:pPr>
            <w:r>
              <w:rPr>
                <w:rFonts w:hint="eastAsia" w:ascii="宋体" w:hAnsi="宋体" w:eastAsia="宋体" w:cs="宋体"/>
                <w:color w:val="auto"/>
                <w:szCs w:val="21"/>
              </w:rPr>
              <w:t>1.</w:t>
            </w:r>
            <w:r>
              <w:rPr>
                <w:rFonts w:hint="eastAsia" w:ascii="宋体" w:hAnsi="宋体" w:eastAsia="宋体" w:cs="宋体"/>
              </w:rPr>
              <w:t>涉及人员社保的，</w:t>
            </w:r>
            <w:r>
              <w:rPr>
                <w:rFonts w:hint="eastAsia" w:ascii="宋体" w:hAnsi="宋体" w:eastAsia="宋体" w:cs="宋体"/>
                <w:bCs/>
                <w:szCs w:val="21"/>
              </w:rPr>
              <w:t>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p>
          <w:p>
            <w:pPr>
              <w:widowControl/>
              <w:jc w:val="left"/>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涉及人员证书的，</w:t>
            </w:r>
            <w:r>
              <w:rPr>
                <w:rFonts w:hint="eastAsia" w:ascii="宋体" w:hAnsi="宋体" w:eastAsia="宋体" w:cs="宋体"/>
                <w:color w:val="auto"/>
                <w:szCs w:val="21"/>
              </w:rPr>
              <w:t>要求提供相关证书</w:t>
            </w:r>
            <w:r>
              <w:rPr>
                <w:rFonts w:hint="eastAsia" w:ascii="宋体" w:hAnsi="宋体" w:eastAsia="宋体" w:cs="宋体"/>
                <w:color w:val="auto"/>
                <w:szCs w:val="21"/>
                <w:lang w:val="en-US" w:eastAsia="zh-CN"/>
              </w:rPr>
              <w:t>扫描件</w:t>
            </w:r>
            <w:r>
              <w:rPr>
                <w:rFonts w:hint="eastAsia" w:ascii="宋体" w:hAnsi="宋体" w:eastAsia="宋体" w:cs="宋体"/>
                <w:color w:val="auto"/>
                <w:szCs w:val="21"/>
              </w:rPr>
              <w:t>作为得分依据。</w:t>
            </w:r>
            <w:r>
              <w:rPr>
                <w:rFonts w:hint="eastAsia" w:ascii="宋体" w:hAnsi="宋体" w:eastAsia="宋体" w:cs="宋体"/>
              </w:rPr>
              <w:t>若由行业协会</w:t>
            </w:r>
            <w:r>
              <w:rPr>
                <w:rFonts w:hint="eastAsia" w:ascii="宋体" w:hAnsi="宋体" w:eastAsia="宋体" w:cs="宋体"/>
                <w:bCs/>
              </w:rPr>
              <w:t>/社会组织</w:t>
            </w:r>
            <w:r>
              <w:rPr>
                <w:rFonts w:hint="eastAsia" w:ascii="宋体" w:hAnsi="宋体" w:eastAsia="宋体" w:cs="宋体"/>
              </w:rPr>
              <w:t>发证的，还需提供该行业协会</w:t>
            </w:r>
            <w:r>
              <w:rPr>
                <w:rFonts w:hint="eastAsia" w:ascii="宋体" w:hAnsi="宋体" w:eastAsia="宋体" w:cs="宋体"/>
                <w:bCs/>
              </w:rPr>
              <w:t>/社会组织</w:t>
            </w:r>
            <w:r>
              <w:rPr>
                <w:rFonts w:hint="eastAsia" w:ascii="宋体" w:hAnsi="宋体" w:eastAsia="宋体" w:cs="宋体"/>
              </w:rPr>
              <w:t>在中国社会组织政务服务平台查询正常截图（https://chinanpo.mca.gov.cn）。相关证书在公开渠道无法查询的，需提供颁发部门或者监管机构的证明材料，证明证书真实有效且为合法机构颁发。</w:t>
            </w:r>
          </w:p>
          <w:p>
            <w:pPr>
              <w:rPr>
                <w:rFonts w:hint="eastAsia" w:ascii="宋体" w:hAnsi="宋体" w:eastAsia="宋体" w:cs="宋体"/>
              </w:rPr>
            </w:pPr>
            <w:r>
              <w:rPr>
                <w:rFonts w:hint="eastAsia" w:ascii="宋体" w:hAnsi="宋体" w:eastAsia="宋体" w:cs="宋体"/>
                <w:color w:val="auto"/>
                <w:szCs w:val="21"/>
                <w:lang w:val="en-US" w:eastAsia="zh-CN"/>
              </w:rPr>
              <w:t>3.</w:t>
            </w:r>
            <w:r>
              <w:rPr>
                <w:rFonts w:hint="eastAsia" w:ascii="宋体" w:hAnsi="宋体" w:eastAsia="宋体" w:cs="宋体"/>
              </w:rPr>
              <w:t>涉及学历要求的，须提供学历证书扫描件以及学信网查询记录。对于较早颁发的学历证书，学信网无法查询的，要求提供学历证书扫描件和其他佐证材料（如毕业院校、人社部门等颁发机构或监管机构等单位出具的证明）作为得分的依据。</w:t>
            </w:r>
          </w:p>
          <w:p>
            <w:pPr>
              <w:widowControl/>
              <w:rPr>
                <w:rFonts w:hint="eastAsia" w:ascii="宋体" w:hAnsi="宋体" w:eastAsia="宋体" w:cs="宋体"/>
                <w:color w:val="auto"/>
                <w:kern w:val="0"/>
                <w:szCs w:val="21"/>
              </w:rPr>
            </w:pPr>
            <w:r>
              <w:rPr>
                <w:rFonts w:hint="eastAsia" w:ascii="宋体" w:hAnsi="宋体" w:eastAsia="宋体" w:cs="宋体"/>
              </w:rPr>
              <w:t>海外留学（含港澳台）人员学历无法通过学信网站查询的，应当提供教育部留学服务中心出具的国外学历学位认证证书以及教育部留学服务中心官网查询截图。若证明文件为其它语言，必须附中文译文，以中文译文为准。</w:t>
            </w:r>
          </w:p>
          <w:p>
            <w:pPr>
              <w:jc w:val="left"/>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w:t>
            </w:r>
            <w:r>
              <w:rPr>
                <w:rFonts w:hint="eastAsia" w:ascii="宋体" w:hAnsi="宋体" w:eastAsia="宋体" w:cs="宋体"/>
              </w:rPr>
              <w:t>涉及考察人员工作经验的，要求提供项目合同关键信息作为得分依据，通过合同关键信息无法判断是否得分的，还须同时提供合同甲方出具的证明文件。</w:t>
            </w:r>
            <w:r>
              <w:rPr>
                <w:rFonts w:hint="eastAsia" w:ascii="宋体" w:hAnsi="宋体" w:cs="宋体"/>
              </w:rPr>
              <w:t>同一中标来源的一招多年服务项目，仅计1个业绩，不重复计分。</w:t>
            </w:r>
          </w:p>
          <w:p>
            <w:pPr>
              <w:jc w:val="left"/>
              <w:rPr>
                <w:rFonts w:hint="eastAsia" w:ascii="宋体" w:hAnsi="宋体" w:cs="宋体"/>
                <w:szCs w:val="21"/>
              </w:rPr>
            </w:pPr>
            <w:r>
              <w:rPr>
                <w:rFonts w:hint="eastAsia" w:ascii="宋体" w:hAnsi="宋体" w:eastAsia="宋体" w:cs="宋体"/>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eastAsia="zh-CN"/>
              </w:rPr>
            </w:pPr>
            <w:r>
              <w:rPr>
                <w:rFonts w:hint="eastAsia" w:ascii="宋体" w:hAnsi="宋体" w:cs="宋体"/>
                <w:szCs w:val="21"/>
                <w:lang w:val="en-US" w:eastAsia="zh-CN"/>
              </w:rPr>
              <w:t>7</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kern w:val="2"/>
                <w:sz w:val="21"/>
                <w:szCs w:val="21"/>
                <w:lang w:val="en-US" w:eastAsia="zh-CN" w:bidi="ar-SA"/>
              </w:rPr>
            </w:pPr>
            <w:r>
              <w:rPr>
                <w:rFonts w:hint="eastAsia" w:ascii="宋体" w:hAnsi="宋体" w:cs="宋体"/>
                <w:kern w:val="0"/>
                <w:szCs w:val="21"/>
              </w:rPr>
              <w:t>拟安排的项目主要团队成员（主要技术人员）情况（项目负责人除外）</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12</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eastAsia="宋体"/>
                <w:b/>
                <w:bCs/>
                <w:color w:val="auto"/>
                <w:szCs w:val="21"/>
              </w:rPr>
            </w:pPr>
            <w:r>
              <w:rPr>
                <w:rFonts w:hint="eastAsia" w:ascii="宋体" w:hAnsi="宋体" w:eastAsia="宋体"/>
                <w:b/>
                <w:bCs/>
                <w:color w:val="auto"/>
                <w:szCs w:val="21"/>
              </w:rPr>
              <w:t>（一）评分内容：</w:t>
            </w:r>
          </w:p>
          <w:p>
            <w:pPr>
              <w:jc w:val="left"/>
              <w:rPr>
                <w:rFonts w:ascii="宋体" w:hAnsi="宋体" w:eastAsia="宋体"/>
                <w:color w:val="auto"/>
                <w:szCs w:val="21"/>
              </w:rPr>
            </w:pPr>
            <w:r>
              <w:rPr>
                <w:rFonts w:hint="eastAsia" w:ascii="宋体" w:hAnsi="宋体" w:eastAsia="宋体"/>
                <w:color w:val="auto"/>
                <w:szCs w:val="21"/>
              </w:rPr>
              <w:t>投标人拟安排的</w:t>
            </w:r>
            <w:r>
              <w:rPr>
                <w:rFonts w:hint="eastAsia" w:ascii="宋体" w:hAnsi="宋体" w:eastAsia="宋体"/>
                <w:color w:val="auto"/>
                <w:szCs w:val="21"/>
                <w:lang w:eastAsia="zh-CN"/>
              </w:rPr>
              <w:t>项目团队成员</w:t>
            </w:r>
            <w:r>
              <w:rPr>
                <w:rFonts w:hint="eastAsia" w:ascii="宋体" w:hAnsi="宋体" w:eastAsia="宋体"/>
                <w:color w:val="auto"/>
                <w:szCs w:val="21"/>
              </w:rPr>
              <w:t>需为自有员工，否则不得分，在此基础上：</w:t>
            </w:r>
          </w:p>
          <w:p>
            <w:pPr>
              <w:jc w:val="left"/>
              <w:rPr>
                <w:rFonts w:hint="eastAsia" w:ascii="宋体" w:hAnsi="宋体" w:eastAsia="宋体"/>
                <w:b/>
                <w:bCs/>
                <w:color w:val="auto"/>
                <w:szCs w:val="21"/>
              </w:rPr>
            </w:pPr>
            <w:r>
              <w:rPr>
                <w:rFonts w:hint="eastAsia" w:ascii="宋体" w:hAnsi="宋体" w:eastAsia="宋体"/>
                <w:b/>
                <w:bCs/>
                <w:color w:val="auto"/>
                <w:szCs w:val="21"/>
              </w:rPr>
              <w:t>1.现场主管（</w:t>
            </w:r>
            <w:r>
              <w:rPr>
                <w:rFonts w:hint="eastAsia" w:ascii="宋体" w:hAnsi="宋体" w:eastAsia="宋体"/>
                <w:b/>
                <w:bCs/>
                <w:color w:val="auto"/>
                <w:szCs w:val="21"/>
                <w:lang w:val="en-US" w:eastAsia="zh-CN"/>
              </w:rPr>
              <w:t>2名绿化主管、1名安保主管、1名有害生物防治主管</w:t>
            </w:r>
            <w:r>
              <w:rPr>
                <w:rFonts w:hint="eastAsia" w:ascii="宋体" w:hAnsi="宋体" w:eastAsia="宋体"/>
                <w:b/>
                <w:bCs/>
                <w:color w:val="auto"/>
                <w:szCs w:val="21"/>
              </w:rPr>
              <w:t>）：</w:t>
            </w:r>
          </w:p>
          <w:p>
            <w:pPr>
              <w:jc w:val="left"/>
              <w:rPr>
                <w:rFonts w:ascii="宋体" w:hAnsi="宋体" w:eastAsia="宋体"/>
                <w:color w:val="auto"/>
                <w:szCs w:val="21"/>
              </w:rPr>
            </w:pPr>
            <w:r>
              <w:rPr>
                <w:rFonts w:hint="eastAsia" w:ascii="宋体" w:hAnsi="宋体" w:eastAsia="宋体"/>
                <w:color w:val="auto"/>
                <w:szCs w:val="21"/>
              </w:rPr>
              <w:t>（1）具有园林绿化类</w:t>
            </w:r>
            <w:r>
              <w:rPr>
                <w:rFonts w:hint="eastAsia" w:ascii="宋体" w:hAnsi="宋体" w:eastAsia="宋体"/>
                <w:color w:val="auto"/>
                <w:szCs w:val="21"/>
                <w:lang w:val="en-US" w:eastAsia="zh-CN"/>
              </w:rPr>
              <w:t>职称：</w:t>
            </w:r>
            <w:r>
              <w:rPr>
                <w:rFonts w:hint="eastAsia" w:ascii="宋体" w:hAnsi="宋体" w:eastAsia="宋体"/>
                <w:color w:val="auto"/>
                <w:szCs w:val="21"/>
              </w:rPr>
              <w:t>副高级或以上职称的得</w:t>
            </w:r>
            <w:r>
              <w:rPr>
                <w:rFonts w:hint="eastAsia" w:ascii="宋体" w:hAnsi="宋体" w:eastAsia="宋体"/>
                <w:color w:val="auto"/>
                <w:szCs w:val="21"/>
                <w:lang w:val="en-US" w:eastAsia="zh-CN"/>
              </w:rPr>
              <w:t>8</w:t>
            </w:r>
            <w:r>
              <w:rPr>
                <w:rFonts w:ascii="宋体" w:hAnsi="宋体" w:eastAsia="宋体"/>
                <w:color w:val="auto"/>
                <w:szCs w:val="21"/>
              </w:rPr>
              <w:t>分，中级职称得</w:t>
            </w:r>
            <w:r>
              <w:rPr>
                <w:rFonts w:hint="eastAsia" w:ascii="宋体" w:hAnsi="宋体" w:eastAsia="宋体"/>
                <w:color w:val="auto"/>
                <w:szCs w:val="21"/>
                <w:lang w:val="en-US" w:eastAsia="zh-CN"/>
              </w:rPr>
              <w:t>5</w:t>
            </w:r>
            <w:r>
              <w:rPr>
                <w:rFonts w:ascii="宋体" w:hAnsi="宋体" w:eastAsia="宋体"/>
                <w:color w:val="auto"/>
                <w:szCs w:val="21"/>
              </w:rPr>
              <w:t>分，本小项最高得</w:t>
            </w:r>
            <w:r>
              <w:rPr>
                <w:rFonts w:hint="eastAsia" w:ascii="宋体" w:hAnsi="宋体" w:eastAsia="宋体"/>
                <w:color w:val="auto"/>
                <w:szCs w:val="21"/>
                <w:lang w:val="en-US" w:eastAsia="zh-CN"/>
              </w:rPr>
              <w:t>16</w:t>
            </w:r>
            <w:r>
              <w:rPr>
                <w:rFonts w:ascii="宋体" w:hAnsi="宋体" w:eastAsia="宋体"/>
                <w:color w:val="auto"/>
                <w:szCs w:val="21"/>
              </w:rPr>
              <w:t>分；</w:t>
            </w:r>
          </w:p>
          <w:p>
            <w:pPr>
              <w:jc w:val="left"/>
              <w:rPr>
                <w:rFonts w:hint="eastAsia" w:ascii="宋体" w:hAnsi="宋体" w:eastAsia="宋体"/>
                <w:color w:val="auto"/>
                <w:szCs w:val="21"/>
                <w:lang w:val="en-US" w:eastAsia="zh-CN"/>
              </w:rPr>
            </w:pPr>
            <w:r>
              <w:rPr>
                <w:rFonts w:hint="eastAsia" w:ascii="宋体" w:hAnsi="宋体" w:eastAsia="宋体"/>
                <w:color w:val="auto"/>
                <w:szCs w:val="21"/>
                <w:lang w:eastAsia="zh-CN"/>
              </w:rPr>
              <w:t>（</w:t>
            </w:r>
            <w:r>
              <w:rPr>
                <w:rFonts w:hint="eastAsia" w:ascii="宋体" w:hAnsi="宋体" w:eastAsia="宋体"/>
                <w:color w:val="auto"/>
                <w:szCs w:val="21"/>
                <w:lang w:val="en-US" w:eastAsia="zh-CN"/>
              </w:rPr>
              <w:t>2</w:t>
            </w:r>
            <w:r>
              <w:rPr>
                <w:rFonts w:hint="eastAsia" w:ascii="宋体" w:hAnsi="宋体" w:eastAsia="宋体"/>
                <w:color w:val="auto"/>
                <w:szCs w:val="21"/>
                <w:lang w:eastAsia="zh-CN"/>
              </w:rPr>
              <w:t>）具有</w:t>
            </w:r>
            <w:r>
              <w:rPr>
                <w:rFonts w:hint="eastAsia" w:ascii="宋体" w:hAnsi="宋体" w:eastAsia="宋体"/>
                <w:color w:val="auto"/>
                <w:szCs w:val="21"/>
              </w:rPr>
              <w:t>保安员职业技能等级证书</w:t>
            </w:r>
            <w:r>
              <w:rPr>
                <w:rFonts w:hint="eastAsia" w:ascii="宋体" w:hAnsi="宋体" w:eastAsia="宋体"/>
                <w:color w:val="auto"/>
                <w:szCs w:val="21"/>
                <w:lang w:eastAsia="zh-CN"/>
              </w:rPr>
              <w:t>（三级</w:t>
            </w:r>
            <w:r>
              <w:rPr>
                <w:rFonts w:hint="eastAsia" w:ascii="宋体" w:hAnsi="宋体" w:eastAsia="宋体"/>
                <w:color w:val="auto"/>
                <w:szCs w:val="21"/>
                <w:lang w:val="en-US" w:eastAsia="zh-CN"/>
              </w:rPr>
              <w:t>/</w:t>
            </w:r>
            <w:r>
              <w:rPr>
                <w:rFonts w:hint="eastAsia" w:ascii="宋体" w:hAnsi="宋体" w:eastAsia="宋体"/>
                <w:color w:val="auto"/>
                <w:szCs w:val="21"/>
                <w:lang w:eastAsia="zh-CN"/>
              </w:rPr>
              <w:t>高级工或以上）得</w:t>
            </w:r>
            <w:r>
              <w:rPr>
                <w:rFonts w:hint="eastAsia" w:ascii="宋体" w:hAnsi="宋体" w:eastAsia="宋体"/>
                <w:color w:val="auto"/>
                <w:szCs w:val="21"/>
                <w:lang w:val="en-US" w:eastAsia="zh-CN"/>
              </w:rPr>
              <w:t>8分，本小项最高得8分。</w:t>
            </w:r>
          </w:p>
          <w:p>
            <w:pPr>
              <w:jc w:val="left"/>
              <w:rPr>
                <w:rFonts w:hint="eastAsia" w:ascii="宋体" w:hAnsi="宋体" w:eastAsia="宋体"/>
                <w:b w:val="0"/>
                <w:bCs w:val="0"/>
                <w:color w:val="auto"/>
                <w:sz w:val="21"/>
                <w:szCs w:val="21"/>
                <w:lang w:eastAsia="zh-CN"/>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每提供1人具有林业有害生物防治员或有害生物防制员职业技能等级证书（</w:t>
            </w:r>
            <w:r>
              <w:rPr>
                <w:rFonts w:hint="eastAsia" w:ascii="宋体" w:hAnsi="宋体" w:eastAsia="宋体"/>
                <w:b w:val="0"/>
                <w:bCs w:val="0"/>
                <w:color w:val="auto"/>
                <w:sz w:val="21"/>
                <w:szCs w:val="21"/>
                <w:lang w:eastAsia="zh-CN"/>
              </w:rPr>
              <w:t>三</w:t>
            </w:r>
            <w:r>
              <w:rPr>
                <w:rFonts w:hint="eastAsia" w:ascii="宋体" w:hAnsi="宋体" w:eastAsia="宋体"/>
                <w:b w:val="0"/>
                <w:bCs w:val="0"/>
                <w:color w:val="auto"/>
                <w:sz w:val="21"/>
                <w:szCs w:val="21"/>
              </w:rPr>
              <w:t>级/</w:t>
            </w:r>
            <w:r>
              <w:rPr>
                <w:rFonts w:hint="eastAsia" w:ascii="宋体" w:hAnsi="宋体" w:eastAsia="宋体"/>
                <w:b w:val="0"/>
                <w:bCs w:val="0"/>
                <w:color w:val="auto"/>
                <w:sz w:val="21"/>
                <w:szCs w:val="21"/>
                <w:lang w:eastAsia="zh-CN"/>
              </w:rPr>
              <w:t>高</w:t>
            </w:r>
            <w:r>
              <w:rPr>
                <w:rFonts w:hint="eastAsia" w:ascii="宋体" w:hAnsi="宋体" w:eastAsia="宋体"/>
                <w:b w:val="0"/>
                <w:bCs w:val="0"/>
                <w:color w:val="auto"/>
                <w:sz w:val="21"/>
                <w:szCs w:val="21"/>
              </w:rPr>
              <w:t>级工或以上）得</w:t>
            </w:r>
            <w:r>
              <w:rPr>
                <w:rFonts w:hint="eastAsia" w:ascii="宋体" w:hAnsi="宋体" w:eastAsia="宋体"/>
                <w:b w:val="0"/>
                <w:bCs w:val="0"/>
                <w:color w:val="auto"/>
                <w:sz w:val="21"/>
                <w:szCs w:val="21"/>
                <w:lang w:val="en-US" w:eastAsia="zh-CN"/>
              </w:rPr>
              <w:t>8</w:t>
            </w:r>
            <w:r>
              <w:rPr>
                <w:rFonts w:hint="eastAsia" w:ascii="宋体" w:hAnsi="宋体" w:eastAsia="宋体"/>
                <w:b w:val="0"/>
                <w:bCs w:val="0"/>
                <w:color w:val="auto"/>
                <w:sz w:val="21"/>
                <w:szCs w:val="21"/>
              </w:rPr>
              <w:t>分</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本小项最高得8分</w:t>
            </w:r>
            <w:r>
              <w:rPr>
                <w:rFonts w:hint="eastAsia" w:ascii="宋体" w:hAnsi="宋体" w:eastAsia="宋体"/>
                <w:b w:val="0"/>
                <w:bCs w:val="0"/>
                <w:color w:val="auto"/>
                <w:sz w:val="21"/>
                <w:szCs w:val="21"/>
                <w:lang w:eastAsia="zh-CN"/>
              </w:rPr>
              <w:t>。</w:t>
            </w:r>
          </w:p>
          <w:p>
            <w:pPr>
              <w:jc w:val="left"/>
              <w:rPr>
                <w:rFonts w:ascii="宋体" w:hAnsi="宋体" w:eastAsia="宋体"/>
                <w:color w:val="auto"/>
                <w:szCs w:val="21"/>
              </w:rPr>
            </w:pPr>
            <w:r>
              <w:rPr>
                <w:rFonts w:hint="eastAsia" w:ascii="宋体" w:hAnsi="宋体" w:eastAsia="宋体"/>
                <w:color w:val="auto"/>
                <w:szCs w:val="21"/>
              </w:rPr>
              <w:t>（</w:t>
            </w:r>
            <w:r>
              <w:rPr>
                <w:rFonts w:hint="eastAsia" w:ascii="宋体" w:hAnsi="宋体" w:eastAsia="宋体"/>
                <w:color w:val="auto"/>
                <w:szCs w:val="21"/>
                <w:lang w:val="en-US" w:eastAsia="zh-CN"/>
              </w:rPr>
              <w:t>4</w:t>
            </w:r>
            <w:r>
              <w:rPr>
                <w:rFonts w:hint="eastAsia" w:ascii="宋体" w:hAnsi="宋体" w:eastAsia="宋体"/>
                <w:color w:val="auto"/>
                <w:szCs w:val="21"/>
              </w:rPr>
              <w:t>）具有</w:t>
            </w:r>
            <w:r>
              <w:rPr>
                <w:rFonts w:hint="eastAsia" w:ascii="宋体" w:hAnsi="宋体" w:eastAsia="宋体"/>
                <w:color w:val="auto"/>
                <w:szCs w:val="21"/>
                <w:lang w:val="en-US" w:eastAsia="zh-CN"/>
              </w:rPr>
              <w:t>2023年1月1日以来</w:t>
            </w:r>
            <w:r>
              <w:rPr>
                <w:rFonts w:hint="eastAsia" w:ascii="宋体" w:hAnsi="宋体" w:eastAsia="宋体"/>
                <w:color w:val="auto"/>
                <w:szCs w:val="21"/>
              </w:rPr>
              <w:t>公园或绿地综合管理服务（服务内容涵盖绿化、保洁、安全管理、设施维护中的任意三项即可，文字描述可以不完全一致）经验</w:t>
            </w:r>
            <w:r>
              <w:rPr>
                <w:rFonts w:ascii="宋体" w:hAnsi="宋体" w:eastAsia="宋体"/>
                <w:color w:val="auto"/>
                <w:szCs w:val="21"/>
              </w:rPr>
              <w:t>，每提供一项业绩得</w:t>
            </w:r>
            <w:r>
              <w:rPr>
                <w:rFonts w:hint="eastAsia" w:ascii="宋体" w:hAnsi="宋体" w:eastAsia="宋体"/>
                <w:color w:val="auto"/>
                <w:szCs w:val="21"/>
                <w:lang w:val="en-US" w:eastAsia="zh-CN"/>
              </w:rPr>
              <w:t>4</w:t>
            </w:r>
            <w:r>
              <w:rPr>
                <w:rFonts w:hint="eastAsia" w:ascii="宋体" w:hAnsi="宋体" w:eastAsia="宋体"/>
                <w:color w:val="auto"/>
                <w:szCs w:val="21"/>
              </w:rPr>
              <w:t>分，本小项最高</w:t>
            </w:r>
            <w:r>
              <w:rPr>
                <w:rFonts w:hint="eastAsia" w:ascii="宋体" w:hAnsi="宋体" w:eastAsia="宋体"/>
                <w:color w:val="auto"/>
                <w:szCs w:val="21"/>
                <w:lang w:val="en-US" w:eastAsia="zh-CN"/>
              </w:rPr>
              <w:t>的</w:t>
            </w:r>
            <w:r>
              <w:rPr>
                <w:rFonts w:hint="eastAsia" w:ascii="宋体" w:hAnsi="宋体" w:eastAsia="宋体"/>
                <w:color w:val="auto"/>
                <w:szCs w:val="21"/>
              </w:rPr>
              <w:t>得</w:t>
            </w:r>
            <w:r>
              <w:rPr>
                <w:rFonts w:hint="eastAsia" w:ascii="宋体" w:hAnsi="宋体" w:eastAsia="宋体"/>
                <w:color w:val="auto"/>
                <w:szCs w:val="21"/>
                <w:lang w:val="en-US" w:eastAsia="zh-CN"/>
              </w:rPr>
              <w:t>16</w:t>
            </w:r>
            <w:r>
              <w:rPr>
                <w:rFonts w:hint="eastAsia" w:ascii="宋体" w:hAnsi="宋体" w:eastAsia="宋体"/>
                <w:color w:val="auto"/>
                <w:szCs w:val="21"/>
              </w:rPr>
              <w:t>分。</w:t>
            </w:r>
          </w:p>
          <w:p>
            <w:pPr>
              <w:jc w:val="left"/>
              <w:rPr>
                <w:rFonts w:ascii="宋体" w:hAnsi="宋体" w:eastAsia="宋体"/>
                <w:color w:val="auto"/>
                <w:szCs w:val="21"/>
              </w:rPr>
            </w:pPr>
            <w:r>
              <w:rPr>
                <w:rFonts w:hint="eastAsia" w:ascii="宋体" w:hAnsi="宋体" w:eastAsia="宋体"/>
                <w:color w:val="auto"/>
                <w:szCs w:val="21"/>
              </w:rPr>
              <w:t>以上两小项累计得分，最高得分</w:t>
            </w:r>
            <w:r>
              <w:rPr>
                <w:rFonts w:hint="eastAsia" w:ascii="宋体" w:hAnsi="宋体" w:eastAsia="宋体"/>
                <w:color w:val="auto"/>
                <w:szCs w:val="21"/>
                <w:lang w:val="en-US" w:eastAsia="zh-CN"/>
              </w:rPr>
              <w:t>48</w:t>
            </w:r>
            <w:r>
              <w:rPr>
                <w:rFonts w:ascii="宋体" w:hAnsi="宋体" w:eastAsia="宋体"/>
                <w:color w:val="auto"/>
                <w:szCs w:val="21"/>
              </w:rPr>
              <w:t>分。</w:t>
            </w:r>
          </w:p>
          <w:p>
            <w:pPr>
              <w:jc w:val="left"/>
              <w:rPr>
                <w:rFonts w:ascii="宋体" w:hAnsi="宋体" w:eastAsia="宋体"/>
                <w:b/>
                <w:bCs/>
                <w:color w:val="auto"/>
                <w:szCs w:val="21"/>
              </w:rPr>
            </w:pPr>
            <w:r>
              <w:rPr>
                <w:rFonts w:ascii="宋体" w:hAnsi="宋体" w:eastAsia="宋体"/>
                <w:color w:val="auto"/>
                <w:szCs w:val="21"/>
              </w:rPr>
              <w:t>2.</w:t>
            </w:r>
            <w:r>
              <w:rPr>
                <w:rFonts w:hint="eastAsia" w:ascii="宋体" w:hAnsi="宋体" w:eastAsia="宋体"/>
                <w:b/>
                <w:bCs/>
                <w:color w:val="auto"/>
                <w:szCs w:val="21"/>
              </w:rPr>
              <w:t>安全管理员</w:t>
            </w:r>
            <w:r>
              <w:rPr>
                <w:rFonts w:ascii="宋体" w:hAnsi="宋体" w:eastAsia="宋体"/>
                <w:b/>
                <w:bCs/>
                <w:color w:val="auto"/>
                <w:szCs w:val="21"/>
              </w:rPr>
              <w:t>（</w:t>
            </w:r>
            <w:r>
              <w:rPr>
                <w:rFonts w:hint="eastAsia" w:ascii="宋体" w:hAnsi="宋体" w:eastAsia="宋体"/>
                <w:b/>
                <w:bCs/>
                <w:color w:val="auto"/>
                <w:szCs w:val="21"/>
                <w:lang w:val="en-US" w:eastAsia="zh-CN"/>
              </w:rPr>
              <w:t>4</w:t>
            </w:r>
            <w:r>
              <w:rPr>
                <w:rFonts w:ascii="宋体" w:hAnsi="宋体" w:eastAsia="宋体"/>
                <w:b/>
                <w:bCs/>
                <w:color w:val="auto"/>
                <w:szCs w:val="21"/>
              </w:rPr>
              <w:t>人）：</w:t>
            </w:r>
          </w:p>
          <w:p>
            <w:pPr>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每提供1人</w:t>
            </w:r>
            <w:r>
              <w:rPr>
                <w:rFonts w:hint="eastAsia" w:ascii="宋体" w:hAnsi="宋体" w:eastAsia="宋体" w:cs="宋体"/>
                <w:szCs w:val="21"/>
              </w:rPr>
              <w:t>具有救护员证</w:t>
            </w:r>
            <w:r>
              <w:rPr>
                <w:rFonts w:hint="eastAsia" w:ascii="宋体" w:hAnsi="宋体" w:eastAsia="宋体" w:cs="宋体"/>
                <w:szCs w:val="21"/>
                <w:lang w:val="en-US" w:eastAsia="zh-CN"/>
              </w:rPr>
              <w:t>或应急救援员证证书得</w:t>
            </w:r>
            <w:r>
              <w:rPr>
                <w:rFonts w:hint="eastAsia" w:ascii="宋体" w:hAnsi="宋体" w:cs="宋体"/>
                <w:szCs w:val="21"/>
                <w:lang w:val="en-US" w:eastAsia="zh-CN"/>
              </w:rPr>
              <w:t>4</w:t>
            </w:r>
            <w:r>
              <w:rPr>
                <w:rFonts w:hint="eastAsia" w:ascii="宋体" w:hAnsi="宋体" w:eastAsia="宋体" w:cs="宋体"/>
                <w:szCs w:val="21"/>
                <w:lang w:val="en-US" w:eastAsia="zh-CN"/>
              </w:rPr>
              <w:t>分，最高得</w:t>
            </w:r>
            <w:r>
              <w:rPr>
                <w:rFonts w:hint="eastAsia" w:ascii="宋体" w:hAnsi="宋体" w:cs="宋体"/>
                <w:szCs w:val="21"/>
                <w:lang w:val="en-US" w:eastAsia="zh-CN"/>
              </w:rPr>
              <w:t>16</w:t>
            </w:r>
            <w:r>
              <w:rPr>
                <w:rFonts w:hint="eastAsia" w:ascii="宋体" w:hAnsi="宋体" w:eastAsia="宋体" w:cs="宋体"/>
                <w:szCs w:val="21"/>
                <w:lang w:val="en-US" w:eastAsia="zh-CN"/>
              </w:rPr>
              <w:t>分；</w:t>
            </w:r>
          </w:p>
          <w:p>
            <w:pPr>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具有</w:t>
            </w:r>
            <w:r>
              <w:rPr>
                <w:rFonts w:hint="eastAsia" w:ascii="宋体" w:hAnsi="宋体" w:eastAsia="宋体"/>
                <w:color w:val="auto"/>
                <w:szCs w:val="21"/>
                <w:lang w:val="en-US" w:eastAsia="zh-CN"/>
              </w:rPr>
              <w:t>2023年1月1日以来</w:t>
            </w:r>
            <w:r>
              <w:rPr>
                <w:rFonts w:hint="eastAsia" w:ascii="宋体" w:hAnsi="宋体" w:eastAsia="宋体" w:cs="宋体"/>
                <w:color w:val="auto"/>
                <w:szCs w:val="21"/>
              </w:rPr>
              <w:t>公园或绿地综合服务（至少含安保服务内容，文字描述可以不完全一致）经验，每提供一项业绩得</w:t>
            </w:r>
            <w:r>
              <w:rPr>
                <w:rFonts w:hint="eastAsia" w:ascii="宋体" w:hAnsi="宋体" w:cs="宋体"/>
                <w:color w:val="auto"/>
                <w:szCs w:val="21"/>
                <w:lang w:val="en-US" w:eastAsia="zh-CN"/>
              </w:rPr>
              <w:t>4</w:t>
            </w:r>
            <w:r>
              <w:rPr>
                <w:rFonts w:hint="eastAsia" w:ascii="宋体" w:hAnsi="宋体" w:eastAsia="宋体" w:cs="宋体"/>
                <w:color w:val="auto"/>
                <w:szCs w:val="21"/>
              </w:rPr>
              <w:t>分，本小项最高得</w:t>
            </w:r>
            <w:r>
              <w:rPr>
                <w:rFonts w:hint="eastAsia" w:ascii="宋体" w:hAnsi="宋体" w:cs="宋体"/>
                <w:color w:val="auto"/>
                <w:szCs w:val="21"/>
                <w:lang w:val="en-US" w:eastAsia="zh-CN"/>
              </w:rPr>
              <w:t>16</w:t>
            </w:r>
            <w:r>
              <w:rPr>
                <w:rFonts w:hint="eastAsia" w:ascii="宋体" w:hAnsi="宋体" w:eastAsia="宋体" w:cs="宋体"/>
                <w:color w:val="auto"/>
                <w:szCs w:val="21"/>
              </w:rPr>
              <w:t>分。</w:t>
            </w:r>
          </w:p>
          <w:p>
            <w:pPr>
              <w:jc w:val="left"/>
              <w:rPr>
                <w:rFonts w:ascii="宋体" w:hAnsi="宋体" w:eastAsia="宋体"/>
                <w:color w:val="auto"/>
                <w:szCs w:val="21"/>
              </w:rPr>
            </w:pPr>
            <w:r>
              <w:rPr>
                <w:rFonts w:hint="eastAsia" w:ascii="宋体" w:hAnsi="宋体" w:eastAsia="宋体" w:cs="宋体"/>
                <w:color w:val="auto"/>
                <w:szCs w:val="21"/>
              </w:rPr>
              <w:t>以上两小项累计得分，最高得分</w:t>
            </w:r>
            <w:r>
              <w:rPr>
                <w:rFonts w:hint="eastAsia" w:ascii="宋体" w:hAnsi="宋体" w:cs="宋体"/>
                <w:color w:val="auto"/>
                <w:szCs w:val="21"/>
                <w:lang w:val="en-US" w:eastAsia="zh-CN"/>
              </w:rPr>
              <w:t>32</w:t>
            </w:r>
            <w:r>
              <w:rPr>
                <w:rFonts w:hint="eastAsia" w:ascii="宋体" w:hAnsi="宋体" w:eastAsia="宋体" w:cs="宋体"/>
                <w:color w:val="auto"/>
                <w:szCs w:val="21"/>
              </w:rPr>
              <w:t>分。</w:t>
            </w:r>
          </w:p>
          <w:p>
            <w:pPr>
              <w:numPr>
                <w:ilvl w:val="-1"/>
                <w:numId w:val="0"/>
              </w:numPr>
              <w:jc w:val="left"/>
              <w:rPr>
                <w:rFonts w:hint="eastAsia" w:ascii="宋体" w:hAnsi="宋体" w:eastAsia="宋体"/>
                <w:b/>
                <w:bCs/>
                <w:color w:val="auto"/>
                <w:szCs w:val="21"/>
              </w:rPr>
            </w:pPr>
            <w:r>
              <w:rPr>
                <w:rFonts w:hint="eastAsia" w:ascii="宋体" w:hAnsi="宋体"/>
                <w:color w:val="auto"/>
                <w:szCs w:val="21"/>
                <w:lang w:val="en-US" w:eastAsia="zh-CN"/>
              </w:rPr>
              <w:t>3.</w:t>
            </w:r>
            <w:r>
              <w:rPr>
                <w:rFonts w:ascii="宋体" w:hAnsi="宋体" w:eastAsia="宋体"/>
                <w:b/>
                <w:bCs/>
                <w:color w:val="auto"/>
                <w:szCs w:val="21"/>
              </w:rPr>
              <w:t>园林绿化技术人员（</w:t>
            </w:r>
            <w:r>
              <w:rPr>
                <w:rFonts w:hint="eastAsia" w:ascii="宋体" w:hAnsi="宋体" w:eastAsia="宋体"/>
                <w:b/>
                <w:bCs/>
                <w:color w:val="auto"/>
                <w:szCs w:val="21"/>
                <w:lang w:val="en-US" w:eastAsia="zh-CN"/>
              </w:rPr>
              <w:t>4</w:t>
            </w:r>
            <w:r>
              <w:rPr>
                <w:rFonts w:hint="eastAsia" w:ascii="宋体" w:hAnsi="宋体" w:eastAsia="宋体"/>
                <w:b/>
                <w:bCs/>
                <w:color w:val="auto"/>
                <w:szCs w:val="21"/>
              </w:rPr>
              <w:t>人）：</w:t>
            </w:r>
          </w:p>
          <w:p>
            <w:pPr>
              <w:numPr>
                <w:ilvl w:val="-1"/>
                <w:numId w:val="0"/>
              </w:numPr>
              <w:jc w:val="left"/>
              <w:rPr>
                <w:rFonts w:ascii="宋体" w:hAnsi="宋体" w:eastAsia="宋体"/>
                <w:color w:val="auto"/>
                <w:szCs w:val="21"/>
              </w:rPr>
            </w:pPr>
            <w:r>
              <w:rPr>
                <w:rFonts w:hint="eastAsia" w:ascii="宋体" w:hAnsi="宋体"/>
                <w:b/>
                <w:bCs/>
                <w:color w:val="auto"/>
                <w:szCs w:val="21"/>
                <w:lang w:eastAsia="zh-CN"/>
              </w:rPr>
              <w:t>（</w:t>
            </w:r>
            <w:r>
              <w:rPr>
                <w:rFonts w:hint="eastAsia" w:ascii="宋体" w:hAnsi="宋体"/>
                <w:b/>
                <w:bCs/>
                <w:color w:val="auto"/>
                <w:szCs w:val="21"/>
                <w:lang w:val="en-US" w:eastAsia="zh-CN"/>
              </w:rPr>
              <w:t>1</w:t>
            </w:r>
            <w:r>
              <w:rPr>
                <w:rFonts w:hint="eastAsia" w:ascii="宋体" w:hAnsi="宋体"/>
                <w:b/>
                <w:bCs/>
                <w:color w:val="auto"/>
                <w:szCs w:val="21"/>
                <w:lang w:eastAsia="zh-CN"/>
              </w:rPr>
              <w:t>）</w:t>
            </w:r>
            <w:r>
              <w:rPr>
                <w:rFonts w:hint="eastAsia" w:ascii="宋体" w:hAnsi="宋体" w:eastAsia="宋体"/>
                <w:color w:val="auto"/>
                <w:szCs w:val="21"/>
              </w:rPr>
              <w:t>每提供</w:t>
            </w:r>
            <w:r>
              <w:rPr>
                <w:rFonts w:ascii="宋体" w:hAnsi="宋体" w:eastAsia="宋体"/>
                <w:color w:val="auto"/>
                <w:szCs w:val="21"/>
              </w:rPr>
              <w:t>1人具有园林绿化类中级或以上职称的得</w:t>
            </w:r>
            <w:r>
              <w:rPr>
                <w:rFonts w:hint="eastAsia" w:ascii="宋体" w:hAnsi="宋体" w:eastAsia="宋体"/>
                <w:color w:val="auto"/>
                <w:szCs w:val="21"/>
                <w:lang w:val="en-US" w:eastAsia="zh-CN"/>
              </w:rPr>
              <w:t>5</w:t>
            </w:r>
            <w:r>
              <w:rPr>
                <w:rFonts w:ascii="宋体" w:hAnsi="宋体" w:eastAsia="宋体"/>
                <w:color w:val="auto"/>
                <w:szCs w:val="21"/>
              </w:rPr>
              <w:t>分，本小项最高得</w:t>
            </w:r>
            <w:r>
              <w:rPr>
                <w:rFonts w:hint="eastAsia" w:ascii="宋体" w:hAnsi="宋体"/>
                <w:color w:val="auto"/>
                <w:szCs w:val="21"/>
                <w:lang w:val="en-US" w:eastAsia="zh-CN"/>
              </w:rPr>
              <w:t>15</w:t>
            </w:r>
            <w:r>
              <w:rPr>
                <w:rFonts w:ascii="宋体" w:hAnsi="宋体" w:eastAsia="宋体"/>
                <w:color w:val="auto"/>
                <w:szCs w:val="21"/>
              </w:rPr>
              <w:t>分。</w:t>
            </w:r>
          </w:p>
          <w:p>
            <w:pPr>
              <w:numPr>
                <w:ilvl w:val="-1"/>
                <w:numId w:val="0"/>
              </w:numPr>
              <w:jc w:val="left"/>
              <w:rPr>
                <w:rFonts w:ascii="宋体" w:hAnsi="宋体" w:eastAsia="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每提供1人</w:t>
            </w:r>
            <w:r>
              <w:rPr>
                <w:rFonts w:hint="eastAsia" w:ascii="宋体" w:hAnsi="宋体" w:eastAsia="宋体" w:cs="宋体"/>
                <w:szCs w:val="21"/>
              </w:rPr>
              <w:t>具有林业有害生物防治员或有害生物防制员职业技能等级证书</w:t>
            </w:r>
            <w:r>
              <w:rPr>
                <w:rFonts w:hint="eastAsia" w:ascii="宋体" w:hAnsi="宋体" w:eastAsia="宋体" w:cs="宋体"/>
                <w:szCs w:val="21"/>
                <w:lang w:eastAsia="zh-CN"/>
              </w:rPr>
              <w:t>（</w:t>
            </w:r>
            <w:r>
              <w:rPr>
                <w:rFonts w:hint="eastAsia" w:ascii="宋体" w:hAnsi="宋体" w:eastAsia="宋体" w:cs="宋体"/>
                <w:szCs w:val="21"/>
              </w:rPr>
              <w:t>四级</w:t>
            </w:r>
            <w:r>
              <w:rPr>
                <w:rFonts w:hint="eastAsia" w:ascii="宋体" w:hAnsi="宋体" w:eastAsia="宋体" w:cs="宋体"/>
                <w:szCs w:val="21"/>
                <w:lang w:val="en-US" w:eastAsia="zh-CN"/>
              </w:rPr>
              <w:t>/</w:t>
            </w:r>
            <w:r>
              <w:rPr>
                <w:rFonts w:hint="eastAsia" w:ascii="宋体" w:hAnsi="宋体" w:eastAsia="宋体" w:cs="宋体"/>
                <w:szCs w:val="21"/>
              </w:rPr>
              <w:t>中级工及以上</w:t>
            </w:r>
            <w:r>
              <w:rPr>
                <w:rFonts w:hint="eastAsia" w:ascii="宋体" w:hAnsi="宋体" w:eastAsia="宋体" w:cs="宋体"/>
                <w:szCs w:val="21"/>
                <w:lang w:eastAsia="zh-CN"/>
              </w:rPr>
              <w:t>）</w:t>
            </w:r>
            <w:r>
              <w:rPr>
                <w:rFonts w:hint="eastAsia" w:ascii="宋体" w:hAnsi="宋体" w:eastAsia="宋体" w:cs="宋体"/>
                <w:szCs w:val="21"/>
                <w:lang w:val="en-US" w:eastAsia="zh-CN"/>
              </w:rPr>
              <w:t>得5分，最高得5分。</w:t>
            </w:r>
          </w:p>
          <w:p>
            <w:pPr>
              <w:jc w:val="left"/>
            </w:pPr>
            <w:r>
              <w:rPr>
                <w:rFonts w:hint="eastAsia" w:ascii="宋体" w:hAnsi="宋体" w:eastAsia="宋体"/>
                <w:color w:val="auto"/>
                <w:szCs w:val="21"/>
              </w:rPr>
              <w:t>以上两小项累计得分，最高得分</w:t>
            </w:r>
            <w:r>
              <w:rPr>
                <w:rFonts w:hint="eastAsia" w:ascii="宋体" w:hAnsi="宋体" w:eastAsia="宋体"/>
                <w:color w:val="auto"/>
                <w:szCs w:val="21"/>
                <w:lang w:val="en-US" w:eastAsia="zh-CN"/>
              </w:rPr>
              <w:t>20</w:t>
            </w:r>
            <w:r>
              <w:rPr>
                <w:rFonts w:ascii="宋体" w:hAnsi="宋体" w:eastAsia="宋体"/>
                <w:color w:val="auto"/>
                <w:szCs w:val="21"/>
              </w:rPr>
              <w:t>分。</w:t>
            </w:r>
          </w:p>
          <w:p>
            <w:pPr>
              <w:jc w:val="left"/>
              <w:rPr>
                <w:rFonts w:ascii="宋体" w:hAnsi="宋体" w:eastAsia="宋体"/>
                <w:color w:val="auto"/>
                <w:szCs w:val="21"/>
              </w:rPr>
            </w:pPr>
            <w:r>
              <w:rPr>
                <w:rFonts w:hint="eastAsia" w:ascii="宋体" w:hAnsi="宋体" w:eastAsia="宋体"/>
                <w:color w:val="auto"/>
                <w:szCs w:val="21"/>
              </w:rPr>
              <w:t>以上</w:t>
            </w:r>
            <w:r>
              <w:rPr>
                <w:rFonts w:hint="eastAsia" w:ascii="宋体" w:hAnsi="宋体"/>
                <w:color w:val="auto"/>
                <w:szCs w:val="21"/>
                <w:lang w:val="en-US" w:eastAsia="zh-CN"/>
              </w:rPr>
              <w:t>3</w:t>
            </w:r>
            <w:r>
              <w:rPr>
                <w:rFonts w:hint="eastAsia" w:ascii="宋体" w:hAnsi="宋体" w:eastAsia="宋体"/>
                <w:color w:val="auto"/>
                <w:szCs w:val="21"/>
              </w:rPr>
              <w:t>项累计得分，最高得</w:t>
            </w:r>
            <w:r>
              <w:rPr>
                <w:rFonts w:ascii="宋体" w:hAnsi="宋体" w:eastAsia="宋体"/>
                <w:color w:val="auto"/>
                <w:szCs w:val="21"/>
              </w:rPr>
              <w:t>100分。同一人员不可重复计分。同一人满足多个条件的，以得分最优的情况计算一次得分。</w:t>
            </w:r>
          </w:p>
          <w:p>
            <w:pPr>
              <w:jc w:val="left"/>
              <w:rPr>
                <w:rFonts w:hint="eastAsia" w:ascii="宋体" w:hAnsi="宋体" w:eastAsia="宋体" w:cs="宋体"/>
                <w:b/>
                <w:bCs/>
                <w:color w:val="auto"/>
                <w:szCs w:val="24"/>
              </w:rPr>
            </w:pPr>
            <w:r>
              <w:rPr>
                <w:rFonts w:hint="eastAsia" w:ascii="宋体" w:hAnsi="宋体" w:eastAsia="宋体" w:cs="宋体"/>
                <w:b/>
                <w:bCs/>
                <w:color w:val="auto"/>
                <w:szCs w:val="24"/>
              </w:rPr>
              <w:t>（二）评分依据：</w:t>
            </w:r>
          </w:p>
          <w:p>
            <w:pPr>
              <w:rPr>
                <w:rFonts w:hint="eastAsia" w:ascii="宋体" w:hAnsi="宋体" w:eastAsia="宋体" w:cs="宋体"/>
                <w:bCs/>
                <w:szCs w:val="21"/>
              </w:rPr>
            </w:pPr>
            <w:r>
              <w:rPr>
                <w:rFonts w:hint="eastAsia" w:ascii="宋体" w:hAnsi="宋体" w:eastAsia="宋体" w:cs="宋体"/>
                <w:color w:val="auto"/>
                <w:szCs w:val="21"/>
              </w:rPr>
              <w:t>1.</w:t>
            </w:r>
            <w:r>
              <w:rPr>
                <w:rFonts w:hint="eastAsia" w:ascii="宋体" w:hAnsi="宋体" w:eastAsia="宋体" w:cs="宋体"/>
              </w:rPr>
              <w:t>涉及人员社保的，</w:t>
            </w:r>
            <w:r>
              <w:rPr>
                <w:rFonts w:hint="eastAsia" w:ascii="宋体" w:hAnsi="宋体" w:eastAsia="宋体" w:cs="宋体"/>
                <w:bCs/>
                <w:szCs w:val="21"/>
              </w:rPr>
              <w:t>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p>
          <w:p>
            <w:pPr>
              <w:widowControl/>
              <w:jc w:val="left"/>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涉及人员证书的，</w:t>
            </w:r>
            <w:r>
              <w:rPr>
                <w:rFonts w:hint="eastAsia" w:ascii="宋体" w:hAnsi="宋体" w:eastAsia="宋体" w:cs="宋体"/>
                <w:color w:val="auto"/>
                <w:szCs w:val="21"/>
              </w:rPr>
              <w:t>要求提供相关证书</w:t>
            </w:r>
            <w:r>
              <w:rPr>
                <w:rFonts w:hint="eastAsia" w:ascii="宋体" w:hAnsi="宋体" w:eastAsia="宋体" w:cs="宋体"/>
                <w:color w:val="auto"/>
                <w:szCs w:val="21"/>
                <w:lang w:val="en-US" w:eastAsia="zh-CN"/>
              </w:rPr>
              <w:t>扫描件</w:t>
            </w:r>
            <w:r>
              <w:rPr>
                <w:rFonts w:hint="eastAsia" w:ascii="宋体" w:hAnsi="宋体" w:eastAsia="宋体" w:cs="宋体"/>
                <w:color w:val="auto"/>
                <w:szCs w:val="21"/>
              </w:rPr>
              <w:t>作为得分依据。</w:t>
            </w:r>
            <w:r>
              <w:rPr>
                <w:rFonts w:hint="eastAsia" w:ascii="宋体" w:hAnsi="宋体" w:eastAsia="宋体" w:cs="宋体"/>
              </w:rPr>
              <w:t>若由行业协会</w:t>
            </w:r>
            <w:r>
              <w:rPr>
                <w:rFonts w:hint="eastAsia" w:ascii="宋体" w:hAnsi="宋体" w:eastAsia="宋体" w:cs="宋体"/>
                <w:bCs/>
              </w:rPr>
              <w:t>/社会组织</w:t>
            </w:r>
            <w:r>
              <w:rPr>
                <w:rFonts w:hint="eastAsia" w:ascii="宋体" w:hAnsi="宋体" w:eastAsia="宋体" w:cs="宋体"/>
              </w:rPr>
              <w:t>发证的，还需提供该行业协会</w:t>
            </w:r>
            <w:r>
              <w:rPr>
                <w:rFonts w:hint="eastAsia" w:ascii="宋体" w:hAnsi="宋体" w:eastAsia="宋体" w:cs="宋体"/>
                <w:bCs/>
              </w:rPr>
              <w:t>/社会组织</w:t>
            </w:r>
            <w:r>
              <w:rPr>
                <w:rFonts w:hint="eastAsia" w:ascii="宋体" w:hAnsi="宋体" w:eastAsia="宋体" w:cs="宋体"/>
              </w:rPr>
              <w:t>在中国社会组织政务服务平台查询正常截图（https://chinanpo.mca.gov.cn）。相关证书在公开渠道无法查询的，需提供颁发部门或者监管机构的证明材料，证明证书真实有效且为合法机构颁发。</w:t>
            </w:r>
          </w:p>
          <w:p>
            <w:pPr>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rPr>
              <w:t>涉及考察人员工作经验的，要求提供项目合同关键信息作为得分依据，通过合同关键信息无法判断是否得分的，还须同时提供合同甲方出具的证明文件。同一中标来源的一招多年服务项目，仅计1个业绩，不重复计分</w:t>
            </w:r>
            <w:r>
              <w:rPr>
                <w:rFonts w:hint="eastAsia" w:ascii="宋体" w:hAnsi="宋体" w:eastAsia="宋体" w:cs="宋体"/>
                <w:lang w:eastAsia="zh-CN"/>
              </w:rPr>
              <w:t>。</w:t>
            </w:r>
          </w:p>
          <w:p>
            <w:pPr>
              <w:jc w:val="left"/>
              <w:rPr>
                <w:rFonts w:hint="eastAsia" w:ascii="宋体" w:hAnsi="宋体" w:eastAsia="宋体" w:cs="宋体"/>
                <w:kern w:val="2"/>
                <w:sz w:val="21"/>
                <w:szCs w:val="21"/>
                <w:lang w:val="en-US" w:eastAsia="zh-CN" w:bidi="ar-SA"/>
              </w:rPr>
            </w:pPr>
            <w:r>
              <w:rPr>
                <w:rFonts w:hint="eastAsia" w:ascii="宋体" w:hAnsi="宋体" w:eastAsia="宋体" w:cs="宋体"/>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8</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kern w:val="0"/>
                <w:szCs w:val="21"/>
              </w:rPr>
            </w:pPr>
            <w:r>
              <w:rPr>
                <w:rFonts w:hint="eastAsia" w:ascii="宋体" w:hAnsi="宋体"/>
                <w:szCs w:val="21"/>
              </w:rPr>
              <w:t>投标人同类项目业绩情况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10</w:t>
            </w:r>
          </w:p>
        </w:tc>
        <w:tc>
          <w:tcPr>
            <w:tcW w:w="419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color w:val="auto"/>
                <w:szCs w:val="21"/>
              </w:rPr>
            </w:pPr>
            <w:r>
              <w:rPr>
                <w:rFonts w:hint="eastAsia" w:ascii="宋体" w:hAnsi="宋体" w:eastAsia="宋体" w:cs="宋体"/>
                <w:b/>
                <w:bCs/>
                <w:color w:val="auto"/>
                <w:szCs w:val="21"/>
              </w:rPr>
              <w:t>（一）评分内容：</w:t>
            </w:r>
          </w:p>
          <w:p>
            <w:pPr>
              <w:jc w:val="left"/>
              <w:rPr>
                <w:rFonts w:hint="eastAsia" w:ascii="宋体" w:hAnsi="宋体" w:eastAsia="宋体" w:cs="宋体"/>
                <w:color w:val="auto"/>
                <w:szCs w:val="21"/>
              </w:rPr>
            </w:pPr>
            <w:r>
              <w:rPr>
                <w:rFonts w:hint="eastAsia" w:ascii="宋体" w:hAnsi="宋体" w:eastAsia="宋体"/>
                <w:color w:val="auto"/>
                <w:szCs w:val="21"/>
                <w:lang w:val="en-US" w:eastAsia="zh-CN"/>
              </w:rPr>
              <w:t>1.</w:t>
            </w:r>
            <w:r>
              <w:rPr>
                <w:rFonts w:hint="eastAsia" w:ascii="宋体" w:hAnsi="宋体" w:eastAsia="宋体"/>
                <w:color w:val="auto"/>
                <w:szCs w:val="21"/>
              </w:rPr>
              <w:t>投标人自</w:t>
            </w:r>
            <w:r>
              <w:rPr>
                <w:rFonts w:hint="eastAsia" w:ascii="宋体" w:hAnsi="宋体" w:eastAsia="宋体" w:cstheme="minorBidi"/>
                <w:b w:val="0"/>
                <w:bCs w:val="0"/>
                <w:color w:val="auto"/>
                <w:kern w:val="2"/>
                <w:szCs w:val="21"/>
                <w:lang w:val="en-US" w:eastAsia="zh-CN" w:bidi="ar"/>
              </w:rPr>
              <w:t>202</w:t>
            </w:r>
            <w:r>
              <w:rPr>
                <w:rFonts w:hint="eastAsia" w:ascii="宋体" w:hAnsi="宋体" w:cstheme="minorBidi"/>
                <w:b w:val="0"/>
                <w:bCs w:val="0"/>
                <w:color w:val="auto"/>
                <w:kern w:val="2"/>
                <w:szCs w:val="21"/>
                <w:lang w:val="en-US" w:eastAsia="zh-CN" w:bidi="ar"/>
              </w:rPr>
              <w:t>3</w:t>
            </w:r>
            <w:r>
              <w:rPr>
                <w:rFonts w:hint="eastAsia" w:ascii="宋体" w:hAnsi="宋体" w:eastAsia="宋体" w:cstheme="minorBidi"/>
                <w:b w:val="0"/>
                <w:bCs w:val="0"/>
                <w:color w:val="auto"/>
                <w:kern w:val="2"/>
                <w:szCs w:val="21"/>
                <w:lang w:bidi="ar"/>
              </w:rPr>
              <w:t>年</w:t>
            </w:r>
            <w:r>
              <w:rPr>
                <w:rFonts w:hint="eastAsia" w:ascii="宋体" w:hAnsi="宋体" w:eastAsia="宋体"/>
                <w:color w:val="auto"/>
                <w:szCs w:val="21"/>
              </w:rPr>
              <w:t>1月1日至本项目截标之日内所签订的</w:t>
            </w:r>
            <w:r>
              <w:rPr>
                <w:rFonts w:hint="eastAsia" w:ascii="宋体" w:hAnsi="宋体" w:eastAsia="宋体" w:cstheme="minorBidi"/>
                <w:color w:val="auto"/>
                <w:kern w:val="2"/>
                <w:szCs w:val="21"/>
              </w:rPr>
              <w:t>公共绿地养护（管养）</w:t>
            </w:r>
            <w:r>
              <w:rPr>
                <w:rFonts w:hint="eastAsia" w:ascii="宋体" w:hAnsi="宋体" w:eastAsia="宋体" w:cstheme="minorBidi"/>
                <w:color w:val="auto"/>
                <w:kern w:val="2"/>
                <w:szCs w:val="21"/>
                <w:lang w:val="en-US" w:eastAsia="zh-CN"/>
              </w:rPr>
              <w:t>类</w:t>
            </w:r>
            <w:r>
              <w:rPr>
                <w:rFonts w:hint="eastAsia" w:ascii="宋体" w:hAnsi="宋体" w:eastAsia="宋体" w:cstheme="minorBidi"/>
                <w:color w:val="auto"/>
                <w:kern w:val="2"/>
                <w:szCs w:val="21"/>
              </w:rPr>
              <w:t>项目</w:t>
            </w:r>
            <w:r>
              <w:rPr>
                <w:rFonts w:hint="eastAsia" w:ascii="宋体" w:hAnsi="宋体" w:eastAsia="宋体" w:cstheme="minorBidi"/>
                <w:color w:val="auto"/>
                <w:kern w:val="2"/>
                <w:szCs w:val="21"/>
                <w:lang w:eastAsia="zh-CN"/>
              </w:rPr>
              <w:t>（</w:t>
            </w:r>
            <w:r>
              <w:rPr>
                <w:rFonts w:hint="eastAsia" w:ascii="宋体" w:hAnsi="宋体" w:eastAsia="宋体"/>
                <w:color w:val="auto"/>
                <w:szCs w:val="21"/>
              </w:rPr>
              <w:t>服务范围包含绿化、保洁、安保、设施维护中的任意三项</w:t>
            </w:r>
            <w:r>
              <w:rPr>
                <w:rFonts w:hint="eastAsia" w:ascii="宋体" w:hAnsi="宋体" w:eastAsia="宋体"/>
                <w:color w:val="auto"/>
                <w:szCs w:val="21"/>
                <w:lang w:eastAsia="zh-CN"/>
              </w:rPr>
              <w:t>，</w:t>
            </w:r>
            <w:r>
              <w:rPr>
                <w:rFonts w:hint="eastAsia" w:ascii="宋体" w:hAnsi="宋体" w:eastAsia="宋体"/>
                <w:color w:val="auto"/>
                <w:szCs w:val="21"/>
              </w:rPr>
              <w:t>服务内容涵盖即可，文字描述可以不完全一致</w:t>
            </w:r>
            <w:r>
              <w:rPr>
                <w:rFonts w:hint="eastAsia" w:ascii="宋体" w:hAnsi="宋体" w:eastAsia="宋体" w:cstheme="minorBidi"/>
                <w:color w:val="auto"/>
                <w:kern w:val="2"/>
                <w:szCs w:val="21"/>
                <w:lang w:eastAsia="zh-CN"/>
              </w:rPr>
              <w:t>）</w:t>
            </w:r>
            <w:r>
              <w:rPr>
                <w:rFonts w:hint="eastAsia" w:ascii="宋体" w:hAnsi="宋体" w:eastAsia="宋体" w:cs="宋体"/>
                <w:color w:val="auto"/>
                <w:szCs w:val="21"/>
              </w:rPr>
              <w:t>项目合同（以合同签订日期为准）</w:t>
            </w:r>
            <w:r>
              <w:rPr>
                <w:rFonts w:hint="eastAsia" w:ascii="宋体" w:hAnsi="宋体" w:eastAsia="宋体" w:cs="宋体"/>
                <w:color w:val="auto"/>
                <w:szCs w:val="21"/>
                <w:lang w:eastAsia="zh-CN"/>
              </w:rPr>
              <w:t>，</w:t>
            </w:r>
            <w:r>
              <w:rPr>
                <w:rFonts w:hint="eastAsia" w:ascii="宋体" w:hAnsi="宋体" w:eastAsia="宋体" w:cs="宋体"/>
                <w:color w:val="auto"/>
                <w:szCs w:val="21"/>
              </w:rPr>
              <w:t>且服务周期不少于1年、单个项目管养规模不小于50万平方米的，每提供1个同类业绩得</w:t>
            </w:r>
            <w:r>
              <w:rPr>
                <w:rFonts w:hint="eastAsia" w:ascii="宋体" w:hAnsi="宋体" w:eastAsia="宋体" w:cs="宋体"/>
                <w:color w:val="auto"/>
                <w:szCs w:val="21"/>
                <w:lang w:val="en-US" w:eastAsia="zh-CN"/>
              </w:rPr>
              <w:t>16</w:t>
            </w:r>
            <w:r>
              <w:rPr>
                <w:rFonts w:hint="eastAsia" w:ascii="宋体" w:hAnsi="宋体" w:eastAsia="宋体" w:cs="宋体"/>
                <w:b w:val="0"/>
                <w:bCs w:val="0"/>
                <w:color w:val="auto"/>
                <w:kern w:val="2"/>
                <w:szCs w:val="21"/>
                <w:lang w:bidi="ar"/>
              </w:rPr>
              <w:t>分</w:t>
            </w:r>
            <w:r>
              <w:rPr>
                <w:rFonts w:hint="eastAsia" w:ascii="宋体" w:hAnsi="宋体" w:eastAsia="宋体" w:cs="宋体"/>
                <w:color w:val="auto"/>
                <w:szCs w:val="21"/>
              </w:rPr>
              <w:t>，最高得</w:t>
            </w:r>
            <w:r>
              <w:rPr>
                <w:rFonts w:hint="eastAsia" w:ascii="宋体" w:hAnsi="宋体" w:eastAsia="宋体" w:cs="宋体"/>
                <w:color w:val="auto"/>
                <w:szCs w:val="21"/>
                <w:lang w:val="en-US" w:eastAsia="zh-CN"/>
              </w:rPr>
              <w:t>80</w:t>
            </w:r>
            <w:r>
              <w:rPr>
                <w:rFonts w:hint="eastAsia" w:ascii="宋体" w:hAnsi="宋体" w:eastAsia="宋体" w:cs="宋体"/>
                <w:color w:val="auto"/>
                <w:szCs w:val="21"/>
              </w:rPr>
              <w:t>分。</w:t>
            </w:r>
          </w:p>
          <w:p>
            <w:pPr>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投标人自</w:t>
            </w:r>
            <w:r>
              <w:rPr>
                <w:rFonts w:hint="eastAsia" w:ascii="宋体" w:hAnsi="宋体" w:eastAsia="宋体" w:cs="宋体"/>
                <w:b w:val="0"/>
                <w:bCs w:val="0"/>
                <w:color w:val="auto"/>
                <w:kern w:val="2"/>
                <w:szCs w:val="21"/>
                <w:lang w:val="en-US" w:eastAsia="zh-CN" w:bidi="ar"/>
              </w:rPr>
              <w:t>202</w:t>
            </w:r>
            <w:r>
              <w:rPr>
                <w:rFonts w:hint="eastAsia" w:ascii="宋体" w:hAnsi="宋体" w:cs="宋体"/>
                <w:b w:val="0"/>
                <w:bCs w:val="0"/>
                <w:color w:val="auto"/>
                <w:kern w:val="2"/>
                <w:szCs w:val="21"/>
                <w:lang w:val="en-US" w:eastAsia="zh-CN" w:bidi="ar"/>
              </w:rPr>
              <w:t>3</w:t>
            </w:r>
            <w:r>
              <w:rPr>
                <w:rFonts w:hint="eastAsia" w:ascii="宋体" w:hAnsi="宋体" w:eastAsia="宋体" w:cs="宋体"/>
                <w:b w:val="0"/>
                <w:bCs w:val="0"/>
                <w:color w:val="auto"/>
                <w:kern w:val="2"/>
                <w:szCs w:val="21"/>
                <w:lang w:bidi="ar"/>
              </w:rPr>
              <w:t>年</w:t>
            </w:r>
            <w:r>
              <w:rPr>
                <w:rFonts w:hint="eastAsia" w:ascii="宋体" w:hAnsi="宋体" w:eastAsia="宋体" w:cs="宋体"/>
                <w:color w:val="auto"/>
                <w:szCs w:val="21"/>
              </w:rPr>
              <w:t>1月1日至本项目截标之日内所签订的</w:t>
            </w:r>
            <w:r>
              <w:rPr>
                <w:rFonts w:hint="eastAsia" w:ascii="宋体" w:hAnsi="宋体" w:eastAsia="宋体" w:cs="宋体"/>
                <w:szCs w:val="21"/>
              </w:rPr>
              <w:t>绿道（或碧道、登山道、海滨栈道）管理服务（服务内容需涵盖绿化、保洁、安全管理、设施维护</w:t>
            </w:r>
            <w:r>
              <w:rPr>
                <w:rFonts w:hint="eastAsia" w:ascii="宋体" w:hAnsi="宋体" w:eastAsia="宋体" w:cs="宋体"/>
                <w:color w:val="auto"/>
                <w:szCs w:val="21"/>
              </w:rPr>
              <w:t>中的任意三项</w:t>
            </w:r>
            <w:r>
              <w:rPr>
                <w:rFonts w:hint="eastAsia" w:ascii="宋体" w:hAnsi="宋体" w:eastAsia="宋体" w:cs="宋体"/>
                <w:szCs w:val="21"/>
              </w:rPr>
              <w:t>，</w:t>
            </w:r>
            <w:r>
              <w:rPr>
                <w:rFonts w:hint="eastAsia" w:ascii="宋体" w:hAnsi="宋体" w:eastAsia="宋体" w:cs="宋体"/>
                <w:color w:val="auto"/>
                <w:szCs w:val="21"/>
              </w:rPr>
              <w:t>服务内容涵盖即可，</w:t>
            </w:r>
            <w:r>
              <w:rPr>
                <w:rFonts w:hint="eastAsia" w:ascii="宋体" w:hAnsi="宋体" w:eastAsia="宋体" w:cs="宋体"/>
                <w:szCs w:val="21"/>
              </w:rPr>
              <w:t>文字描述可以不完全一致）</w:t>
            </w:r>
            <w:r>
              <w:rPr>
                <w:rFonts w:hint="eastAsia" w:ascii="宋体" w:hAnsi="宋体" w:eastAsia="宋体" w:cs="宋体"/>
                <w:color w:val="auto"/>
                <w:szCs w:val="21"/>
              </w:rPr>
              <w:t>项目合同（以合同签订日期为准）且服务周期不少于1年，每提供1个同类业绩得</w:t>
            </w:r>
            <w:r>
              <w:rPr>
                <w:rFonts w:hint="eastAsia" w:ascii="宋体" w:hAnsi="宋体" w:eastAsia="宋体" w:cs="宋体"/>
                <w:color w:val="auto"/>
                <w:szCs w:val="21"/>
                <w:lang w:val="en-US" w:eastAsia="zh-CN"/>
              </w:rPr>
              <w:t>10</w:t>
            </w:r>
            <w:r>
              <w:rPr>
                <w:rFonts w:hint="eastAsia" w:ascii="宋体" w:hAnsi="宋体" w:eastAsia="宋体" w:cs="宋体"/>
                <w:b w:val="0"/>
                <w:bCs w:val="0"/>
                <w:color w:val="auto"/>
                <w:kern w:val="2"/>
                <w:szCs w:val="21"/>
                <w:lang w:bidi="ar"/>
              </w:rPr>
              <w:t>分</w:t>
            </w:r>
            <w:r>
              <w:rPr>
                <w:rFonts w:hint="eastAsia" w:ascii="宋体" w:hAnsi="宋体" w:eastAsia="宋体" w:cs="宋体"/>
                <w:color w:val="auto"/>
                <w:szCs w:val="21"/>
              </w:rPr>
              <w:t>，最高得</w:t>
            </w:r>
            <w:r>
              <w:rPr>
                <w:rFonts w:hint="eastAsia" w:ascii="宋体" w:hAnsi="宋体" w:eastAsia="宋体" w:cs="宋体"/>
                <w:color w:val="auto"/>
                <w:szCs w:val="21"/>
                <w:lang w:val="en-US" w:eastAsia="zh-CN"/>
              </w:rPr>
              <w:t>20</w:t>
            </w:r>
            <w:r>
              <w:rPr>
                <w:rFonts w:hint="eastAsia" w:ascii="宋体" w:hAnsi="宋体" w:eastAsia="宋体" w:cs="宋体"/>
                <w:color w:val="auto"/>
                <w:szCs w:val="21"/>
              </w:rPr>
              <w:t>分。</w:t>
            </w:r>
          </w:p>
          <w:p>
            <w:pPr>
              <w:jc w:val="left"/>
              <w:rPr>
                <w:rFonts w:hint="eastAsia" w:ascii="宋体" w:hAnsi="宋体" w:eastAsia="宋体" w:cs="宋体"/>
                <w:b/>
                <w:bCs/>
                <w:color w:val="auto"/>
                <w:szCs w:val="21"/>
              </w:rPr>
            </w:pPr>
            <w:r>
              <w:rPr>
                <w:rFonts w:hint="eastAsia" w:ascii="宋体" w:hAnsi="宋体" w:eastAsia="宋体" w:cs="宋体"/>
                <w:b/>
                <w:bCs/>
                <w:color w:val="auto"/>
                <w:szCs w:val="21"/>
              </w:rPr>
              <w:t>（二）评分依据：</w:t>
            </w:r>
          </w:p>
          <w:p>
            <w:pPr>
              <w:rPr>
                <w:rFonts w:hint="eastAsia" w:ascii="宋体" w:hAnsi="宋体" w:eastAsia="宋体" w:cs="宋体"/>
              </w:rPr>
            </w:pPr>
            <w:r>
              <w:rPr>
                <w:rFonts w:hint="eastAsia" w:ascii="宋体" w:hAnsi="宋体" w:eastAsia="宋体" w:cs="宋体"/>
              </w:rPr>
              <w:t>要求提供合同关键信息</w:t>
            </w:r>
            <w:r>
              <w:rPr>
                <w:rFonts w:hint="eastAsia" w:ascii="宋体" w:hAnsi="宋体" w:eastAsia="宋体" w:cs="宋体"/>
                <w:szCs w:val="21"/>
              </w:rPr>
              <w:t>（包括但不限于合同标的、签订时间、双方签章页）</w:t>
            </w:r>
            <w:r>
              <w:rPr>
                <w:rFonts w:hint="eastAsia" w:ascii="宋体" w:hAnsi="宋体" w:eastAsia="宋体" w:cs="宋体"/>
              </w:rPr>
              <w:t>作为得分依据，通过合同关键信息无法判断是否得分的，还须同时提供能证明得分的其它证明资料，如合同甲方出具的证明文件或项目报告。同一中标来源的一招多年服务项目，仅计1个业绩，不重复计分</w:t>
            </w:r>
          </w:p>
          <w:p>
            <w:pPr>
              <w:wordWrap w:val="0"/>
              <w:rPr>
                <w:rFonts w:hint="eastAsia" w:ascii="宋体" w:hAnsi="宋体" w:cs="宋体" w:eastAsiaTheme="minorEastAsia"/>
                <w:kern w:val="2"/>
                <w:sz w:val="21"/>
                <w:szCs w:val="21"/>
                <w:lang w:val="en-US" w:eastAsia="zh-CN" w:bidi="ar-SA"/>
              </w:rPr>
            </w:pPr>
            <w:r>
              <w:rPr>
                <w:rFonts w:hint="eastAsia" w:ascii="宋体" w:hAnsi="宋体" w:eastAsia="宋体" w:cs="宋体"/>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9</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szCs w:val="21"/>
              </w:rPr>
            </w:pPr>
            <w:r>
              <w:rPr>
                <w:rFonts w:hint="eastAsia" w:ascii="宋体" w:hAnsi="宋体"/>
                <w:szCs w:val="21"/>
              </w:rPr>
              <w:t>履约评价</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5</w:t>
            </w:r>
          </w:p>
        </w:tc>
        <w:tc>
          <w:tcPr>
            <w:tcW w:w="419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color w:val="auto"/>
                <w:szCs w:val="21"/>
              </w:rPr>
            </w:pPr>
            <w:r>
              <w:rPr>
                <w:rFonts w:hint="eastAsia" w:ascii="宋体" w:hAnsi="宋体" w:eastAsia="宋体" w:cs="宋体"/>
                <w:b/>
                <w:bCs/>
                <w:color w:val="auto"/>
                <w:szCs w:val="21"/>
              </w:rPr>
              <w:t>（一）评分内容：</w:t>
            </w:r>
          </w:p>
          <w:p>
            <w:pPr>
              <w:rPr>
                <w:rFonts w:hint="eastAsia" w:ascii="宋体" w:hAnsi="宋体" w:eastAsia="宋体" w:cs="宋体"/>
              </w:rPr>
            </w:pPr>
            <w:r>
              <w:rPr>
                <w:rFonts w:hint="eastAsia" w:ascii="宋体" w:hAnsi="宋体" w:eastAsia="宋体" w:cs="宋体"/>
              </w:rPr>
              <w:t>投标人提供符合“</w:t>
            </w:r>
            <w:r>
              <w:rPr>
                <w:rFonts w:hint="eastAsia" w:ascii="宋体" w:hAnsi="宋体" w:eastAsia="宋体" w:cs="宋体"/>
                <w:lang w:val="en-US" w:eastAsia="zh-CN"/>
              </w:rPr>
              <w:t>8</w:t>
            </w:r>
            <w:r>
              <w:rPr>
                <w:rFonts w:hint="eastAsia" w:ascii="宋体" w:hAnsi="宋体" w:eastAsia="宋体" w:cs="宋体"/>
              </w:rPr>
              <w:t>.投标人同类项目业绩情况”合同甲方出具评价为优/优秀/满意或最高评价的</w:t>
            </w:r>
            <w:r>
              <w:rPr>
                <w:rFonts w:hint="eastAsia" w:ascii="宋体" w:hAnsi="宋体" w:eastAsia="宋体" w:cs="宋体"/>
                <w:kern w:val="0"/>
              </w:rPr>
              <w:t>履约评价或验收合格证明文件</w:t>
            </w:r>
            <w:r>
              <w:rPr>
                <w:rFonts w:hint="eastAsia" w:ascii="宋体" w:hAnsi="宋体" w:eastAsia="宋体" w:cs="宋体"/>
              </w:rPr>
              <w:t>，每提供一份得</w:t>
            </w:r>
            <w:r>
              <w:rPr>
                <w:rFonts w:hint="eastAsia" w:ascii="宋体" w:hAnsi="宋体" w:cs="宋体"/>
                <w:lang w:val="en-US" w:eastAsia="zh-CN"/>
              </w:rPr>
              <w:t>20</w:t>
            </w:r>
            <w:r>
              <w:rPr>
                <w:rFonts w:hint="eastAsia" w:ascii="宋体" w:hAnsi="宋体" w:eastAsia="宋体" w:cs="宋体"/>
                <w:b/>
                <w:bCs/>
                <w:color w:val="0000FF"/>
                <w:kern w:val="0"/>
                <w:szCs w:val="21"/>
                <w:lang w:bidi="ar"/>
              </w:rPr>
              <w:t>分</w:t>
            </w:r>
            <w:r>
              <w:rPr>
                <w:rFonts w:hint="eastAsia" w:ascii="宋体" w:hAnsi="宋体" w:eastAsia="宋体" w:cs="宋体"/>
              </w:rPr>
              <w:t>，最高得100分。</w:t>
            </w:r>
          </w:p>
          <w:p>
            <w:pPr>
              <w:jc w:val="left"/>
              <w:rPr>
                <w:rFonts w:hint="eastAsia" w:ascii="宋体" w:hAnsi="宋体" w:eastAsia="宋体" w:cs="宋体"/>
                <w:b/>
                <w:bCs/>
                <w:color w:val="auto"/>
                <w:szCs w:val="21"/>
              </w:rPr>
            </w:pPr>
            <w:r>
              <w:rPr>
                <w:rFonts w:hint="eastAsia" w:ascii="宋体" w:hAnsi="宋体" w:eastAsia="宋体" w:cs="宋体"/>
                <w:b/>
                <w:bCs/>
                <w:color w:val="auto"/>
                <w:szCs w:val="21"/>
              </w:rPr>
              <w:t>（二）评分依据：</w:t>
            </w:r>
          </w:p>
          <w:p>
            <w:pPr>
              <w:widowControl/>
              <w:wordWrap w:val="0"/>
              <w:jc w:val="left"/>
              <w:textAlignment w:val="top"/>
              <w:rPr>
                <w:rFonts w:hint="eastAsia" w:ascii="宋体" w:hAnsi="宋体" w:eastAsia="宋体" w:cs="宋体"/>
              </w:rPr>
            </w:pPr>
            <w:r>
              <w:rPr>
                <w:rFonts w:hint="eastAsia" w:ascii="宋体" w:hAnsi="宋体" w:eastAsia="宋体" w:cs="宋体"/>
              </w:rPr>
              <w:t>提供加盖合同甲方公章（或甲方业务章）项目</w:t>
            </w:r>
            <w:r>
              <w:rPr>
                <w:rFonts w:hint="eastAsia" w:ascii="宋体" w:hAnsi="宋体" w:eastAsia="宋体" w:cs="宋体"/>
                <w:kern w:val="0"/>
              </w:rPr>
              <w:t>履约评价或验收合格证明文件</w:t>
            </w:r>
            <w:r>
              <w:rPr>
                <w:rFonts w:hint="eastAsia" w:ascii="宋体" w:hAnsi="宋体" w:eastAsia="宋体" w:cs="宋体"/>
              </w:rPr>
              <w:t>清晰扫描件（出具证明的签署日期需在项目合同服务结束时间之后，即履约评价或验收的出具日期至少为服务期的最后一天或服务期满之后）。</w:t>
            </w:r>
          </w:p>
          <w:p>
            <w:pPr>
              <w:wordWrap w:val="0"/>
              <w:rPr>
                <w:rFonts w:hint="eastAsia" w:ascii="宋体" w:hAnsi="宋体" w:cs="宋体" w:eastAsiaTheme="minorEastAsia"/>
                <w:kern w:val="2"/>
                <w:sz w:val="21"/>
                <w:szCs w:val="21"/>
                <w:lang w:val="en-US" w:eastAsia="zh-CN" w:bidi="ar-SA"/>
              </w:rPr>
            </w:pPr>
            <w:r>
              <w:rPr>
                <w:rFonts w:hint="eastAsia" w:ascii="宋体" w:hAnsi="宋体" w:eastAsia="宋体" w:cs="宋体"/>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0" w:type="dxa"/>
            <w:vMerge w:val="continue"/>
            <w:tcBorders>
              <w:left w:val="single" w:color="000000" w:sz="8" w:space="0"/>
              <w:bottom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10</w:t>
            </w:r>
          </w:p>
        </w:tc>
        <w:tc>
          <w:tcPr>
            <w:tcW w:w="283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olor w:val="auto"/>
                <w:szCs w:val="21"/>
              </w:rPr>
              <w:t>项目完成后的服务承诺</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2</w:t>
            </w:r>
          </w:p>
        </w:tc>
        <w:tc>
          <w:tcPr>
            <w:tcW w:w="419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color w:val="auto"/>
                <w:szCs w:val="21"/>
                <w:u w:val="none"/>
              </w:rPr>
            </w:pPr>
            <w:r>
              <w:rPr>
                <w:rFonts w:hint="eastAsia" w:ascii="宋体" w:hAnsi="宋体" w:eastAsia="宋体" w:cs="宋体"/>
                <w:b/>
                <w:bCs/>
                <w:color w:val="auto"/>
                <w:szCs w:val="21"/>
              </w:rPr>
              <w:t>（一）评分内容：</w:t>
            </w:r>
          </w:p>
          <w:p>
            <w:pPr>
              <w:jc w:val="left"/>
              <w:rPr>
                <w:rFonts w:ascii="宋体" w:hAnsi="宋体" w:eastAsia="宋体"/>
                <w:color w:val="auto"/>
                <w:szCs w:val="21"/>
              </w:rPr>
            </w:pPr>
            <w:r>
              <w:rPr>
                <w:rFonts w:hint="eastAsia" w:ascii="宋体" w:hAnsi="宋体" w:eastAsia="宋体"/>
                <w:color w:val="auto"/>
                <w:szCs w:val="21"/>
              </w:rPr>
              <w:t>1.服务期满后主动离岗；</w:t>
            </w:r>
          </w:p>
          <w:p>
            <w:pPr>
              <w:jc w:val="left"/>
              <w:rPr>
                <w:rFonts w:ascii="宋体" w:hAnsi="宋体" w:eastAsia="宋体"/>
                <w:color w:val="auto"/>
                <w:szCs w:val="21"/>
              </w:rPr>
            </w:pPr>
            <w:r>
              <w:rPr>
                <w:rFonts w:hint="eastAsia" w:ascii="宋体" w:hAnsi="宋体" w:eastAsia="宋体"/>
                <w:color w:val="auto"/>
                <w:szCs w:val="21"/>
              </w:rPr>
              <w:t>2.与后续服务公司进行交接；</w:t>
            </w:r>
          </w:p>
          <w:p>
            <w:pPr>
              <w:jc w:val="left"/>
              <w:rPr>
                <w:rFonts w:ascii="宋体" w:hAnsi="宋体" w:eastAsia="宋体"/>
                <w:color w:val="auto"/>
                <w:szCs w:val="21"/>
              </w:rPr>
            </w:pPr>
            <w:r>
              <w:rPr>
                <w:rFonts w:hint="eastAsia" w:ascii="宋体" w:hAnsi="宋体" w:eastAsia="宋体"/>
                <w:color w:val="auto"/>
                <w:szCs w:val="21"/>
              </w:rPr>
              <w:t>3.服务期满，后续服务公司未到位前仍按原合同服务承诺提供服务。</w:t>
            </w:r>
          </w:p>
          <w:p>
            <w:pPr>
              <w:jc w:val="left"/>
              <w:rPr>
                <w:rFonts w:hint="eastAsia" w:ascii="宋体" w:hAnsi="宋体" w:eastAsia="宋体" w:cs="宋体"/>
                <w:b/>
                <w:bCs/>
                <w:color w:val="auto"/>
                <w:szCs w:val="21"/>
              </w:rPr>
            </w:pPr>
            <w:r>
              <w:rPr>
                <w:rFonts w:hint="eastAsia" w:ascii="宋体" w:hAnsi="宋体" w:eastAsia="宋体" w:cs="宋体"/>
                <w:b/>
                <w:bCs/>
                <w:color w:val="auto"/>
                <w:szCs w:val="21"/>
              </w:rPr>
              <w:t>（二）评分依据：</w:t>
            </w:r>
          </w:p>
          <w:p>
            <w:pPr>
              <w:jc w:val="left"/>
              <w:rPr>
                <w:rFonts w:hint="eastAsia" w:ascii="宋体" w:hAnsi="宋体" w:eastAsia="宋体" w:cs="Times New Roman"/>
                <w:color w:val="auto"/>
                <w:kern w:val="2"/>
                <w:sz w:val="21"/>
                <w:szCs w:val="21"/>
                <w:lang w:val="en-US" w:eastAsia="zh-CN" w:bidi="ar-SA"/>
              </w:rPr>
            </w:pPr>
            <w:r>
              <w:rPr>
                <w:rFonts w:hint="eastAsia" w:ascii="宋体" w:hAnsi="宋体" w:eastAsia="宋体" w:cs="宋体"/>
                <w:szCs w:val="21"/>
              </w:rPr>
              <w:t>投标人承诺以上全部三项的得100分，要求提供承诺（格式自定）作为得分依据，未提供承诺或承诺内容不满足要求不得分。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restart"/>
            <w:tcBorders>
              <w:top w:val="single" w:color="000000" w:sz="8" w:space="0"/>
              <w:left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3</w:t>
            </w:r>
          </w:p>
        </w:tc>
        <w:tc>
          <w:tcPr>
            <w:tcW w:w="4196" w:type="dxa"/>
            <w:gridSpan w:val="3"/>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商务部分</w:t>
            </w:r>
          </w:p>
        </w:tc>
        <w:tc>
          <w:tcPr>
            <w:tcW w:w="4196"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Cs w:val="21"/>
                <w:lang w:val="en-US" w:eastAsia="zh-CN"/>
              </w:rPr>
              <w:t>13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vAlign w:val="center"/>
          </w:tcPr>
          <w:p>
            <w:pPr>
              <w:wordWrap w:val="0"/>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shd w:val="clear" w:color="auto" w:fill="E6EFFA"/>
            <w:vAlign w:val="center"/>
          </w:tcPr>
          <w:p>
            <w:pPr>
              <w:rPr>
                <w:rFonts w:hint="eastAsia"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ascii="宋体" w:hAnsi="宋体" w:cs="宋体"/>
                <w:szCs w:val="21"/>
              </w:rPr>
              <w:t>1</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szCs w:val="21"/>
              </w:rPr>
              <w:t>体系认证情况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w:t>
            </w:r>
            <w:r>
              <w:rPr>
                <w:rFonts w:hint="eastAsia" w:ascii="宋体" w:hAnsi="宋体" w:eastAsia="宋体" w:cs="宋体"/>
                <w:color w:val="auto"/>
                <w:szCs w:val="21"/>
              </w:rPr>
              <w:t>投标人具有质量管理体系认证证书</w:t>
            </w:r>
            <w:r>
              <w:rPr>
                <w:rFonts w:hint="eastAsia" w:ascii="宋体" w:hAnsi="宋体" w:eastAsia="宋体" w:cs="宋体"/>
                <w:color w:val="auto"/>
                <w:szCs w:val="21"/>
                <w:lang w:eastAsia="zh-CN"/>
              </w:rPr>
              <w:t>（且认证范围包含园林绿化养护服务或园林绿化综合性养护）</w:t>
            </w:r>
            <w:r>
              <w:rPr>
                <w:rFonts w:hint="eastAsia" w:ascii="宋体" w:hAnsi="宋体" w:eastAsia="宋体" w:cs="宋体"/>
                <w:color w:val="auto"/>
                <w:szCs w:val="21"/>
                <w:lang w:val="en-US" w:eastAsia="zh-CN"/>
              </w:rPr>
              <w:t>得20分</w:t>
            </w:r>
            <w:r>
              <w:rPr>
                <w:rFonts w:hint="eastAsia" w:ascii="宋体" w:hAnsi="宋体" w:eastAsia="宋体" w:cs="宋体"/>
                <w:color w:val="auto"/>
                <w:szCs w:val="21"/>
              </w:rPr>
              <w:t>：</w:t>
            </w:r>
          </w:p>
          <w:p>
            <w:pPr>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投标人具有环境管理体系</w:t>
            </w:r>
            <w:r>
              <w:rPr>
                <w:rFonts w:hint="eastAsia" w:ascii="宋体" w:hAnsi="宋体" w:eastAsia="宋体" w:cs="宋体"/>
                <w:color w:val="auto"/>
                <w:szCs w:val="21"/>
                <w:lang w:val="en-US" w:eastAsia="zh-CN"/>
              </w:rPr>
              <w:t>认</w:t>
            </w:r>
            <w:r>
              <w:rPr>
                <w:rFonts w:hint="eastAsia" w:ascii="宋体" w:hAnsi="宋体" w:eastAsia="宋体" w:cs="宋体"/>
                <w:color w:val="auto"/>
                <w:szCs w:val="21"/>
              </w:rPr>
              <w:t>证证书</w:t>
            </w:r>
            <w:r>
              <w:rPr>
                <w:rFonts w:hint="eastAsia" w:ascii="宋体" w:hAnsi="宋体" w:eastAsia="宋体" w:cs="宋体"/>
                <w:color w:val="auto"/>
                <w:szCs w:val="21"/>
                <w:lang w:eastAsia="zh-CN"/>
              </w:rPr>
              <w:t>（且认证范围包含园林绿化养护服务或园林绿化综合性养护）</w:t>
            </w:r>
            <w:r>
              <w:rPr>
                <w:rFonts w:hint="eastAsia" w:ascii="宋体" w:hAnsi="宋体" w:eastAsia="宋体" w:cs="宋体"/>
                <w:color w:val="auto"/>
                <w:szCs w:val="21"/>
                <w:lang w:val="en-US" w:eastAsia="zh-CN"/>
              </w:rPr>
              <w:t>得20分</w:t>
            </w:r>
            <w:r>
              <w:rPr>
                <w:rFonts w:hint="eastAsia" w:ascii="宋体" w:hAnsi="宋体" w:eastAsia="宋体" w:cs="宋体"/>
                <w:color w:val="auto"/>
                <w:szCs w:val="21"/>
              </w:rPr>
              <w:t>；</w:t>
            </w:r>
          </w:p>
          <w:p>
            <w:pPr>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投标人具有职业健康安全管理体系</w:t>
            </w:r>
            <w:r>
              <w:rPr>
                <w:rFonts w:hint="eastAsia" w:ascii="宋体" w:hAnsi="宋体" w:eastAsia="宋体" w:cs="宋体"/>
                <w:color w:val="auto"/>
                <w:szCs w:val="21"/>
                <w:lang w:val="en-US" w:eastAsia="zh-CN"/>
              </w:rPr>
              <w:t>认</w:t>
            </w:r>
            <w:r>
              <w:rPr>
                <w:rFonts w:hint="eastAsia" w:ascii="宋体" w:hAnsi="宋体" w:eastAsia="宋体" w:cs="宋体"/>
                <w:color w:val="auto"/>
                <w:szCs w:val="21"/>
              </w:rPr>
              <w:t>证证书</w:t>
            </w:r>
            <w:r>
              <w:rPr>
                <w:rFonts w:hint="eastAsia" w:ascii="宋体" w:hAnsi="宋体" w:eastAsia="宋体" w:cs="宋体"/>
                <w:color w:val="auto"/>
                <w:szCs w:val="21"/>
                <w:lang w:eastAsia="zh-CN"/>
              </w:rPr>
              <w:t>（且认证范围包含园林绿化养护服务或园林绿化综合性养护）</w:t>
            </w:r>
            <w:r>
              <w:rPr>
                <w:rFonts w:hint="eastAsia" w:ascii="宋体" w:hAnsi="宋体" w:eastAsia="宋体" w:cs="宋体"/>
                <w:color w:val="auto"/>
                <w:szCs w:val="21"/>
                <w:lang w:val="en-US" w:eastAsia="zh-CN"/>
              </w:rPr>
              <w:t>得20分</w:t>
            </w:r>
            <w:r>
              <w:rPr>
                <w:rFonts w:hint="eastAsia" w:ascii="宋体" w:hAnsi="宋体" w:eastAsia="宋体" w:cs="宋体"/>
                <w:color w:val="auto"/>
                <w:szCs w:val="21"/>
              </w:rPr>
              <w:t>；</w:t>
            </w:r>
          </w:p>
          <w:p>
            <w:pPr>
              <w:jc w:val="left"/>
              <w:rPr>
                <w:rFonts w:hint="eastAsia" w:ascii="宋体" w:hAnsi="宋体" w:eastAsia="宋体" w:cs="宋体"/>
                <w:color w:val="auto"/>
                <w:szCs w:val="21"/>
                <w:lang w:eastAsia="zh-CN"/>
              </w:rPr>
            </w:pPr>
            <w:r>
              <w:rPr>
                <w:rFonts w:hint="eastAsia" w:ascii="宋体" w:hAnsi="宋体" w:cs="宋体"/>
                <w:color w:val="auto"/>
                <w:szCs w:val="21"/>
                <w:lang w:val="en-US" w:eastAsia="zh-CN"/>
              </w:rPr>
              <w:t>4.</w:t>
            </w:r>
            <w:r>
              <w:rPr>
                <w:rFonts w:hint="eastAsia" w:ascii="宋体" w:hAnsi="宋体" w:eastAsia="宋体" w:cs="宋体"/>
                <w:color w:val="auto"/>
                <w:szCs w:val="21"/>
              </w:rPr>
              <w:t>投标人具有园林绿化</w:t>
            </w:r>
            <w:r>
              <w:rPr>
                <w:rFonts w:hint="eastAsia" w:ascii="宋体" w:hAnsi="宋体" w:eastAsia="宋体" w:cs="宋体"/>
                <w:color w:val="auto"/>
                <w:szCs w:val="21"/>
                <w:lang w:eastAsia="zh-CN"/>
              </w:rPr>
              <w:t>养护</w:t>
            </w:r>
            <w:r>
              <w:rPr>
                <w:rFonts w:hint="eastAsia" w:ascii="宋体" w:hAnsi="宋体" w:eastAsia="宋体" w:cs="宋体"/>
                <w:color w:val="auto"/>
                <w:szCs w:val="21"/>
              </w:rPr>
              <w:t>服务认证证书得</w:t>
            </w:r>
            <w:r>
              <w:rPr>
                <w:rFonts w:hint="eastAsia" w:ascii="宋体" w:hAnsi="宋体" w:cs="宋体"/>
                <w:color w:val="auto"/>
                <w:szCs w:val="21"/>
                <w:lang w:val="en-US" w:eastAsia="zh-CN"/>
              </w:rPr>
              <w:t>2</w:t>
            </w:r>
            <w:r>
              <w:rPr>
                <w:rFonts w:hint="eastAsia" w:ascii="宋体" w:hAnsi="宋体" w:eastAsia="宋体" w:cs="宋体"/>
                <w:color w:val="auto"/>
                <w:szCs w:val="21"/>
                <w:lang w:val="en-US" w:eastAsia="zh-CN"/>
              </w:rPr>
              <w:t>0</w:t>
            </w:r>
            <w:r>
              <w:rPr>
                <w:rFonts w:hint="eastAsia" w:ascii="宋体" w:hAnsi="宋体" w:eastAsia="宋体" w:cs="宋体"/>
                <w:color w:val="auto"/>
                <w:szCs w:val="21"/>
              </w:rPr>
              <w:t>分；</w:t>
            </w:r>
          </w:p>
          <w:p>
            <w:pPr>
              <w:rPr>
                <w:rFonts w:hint="eastAsia" w:ascii="宋体" w:hAnsi="宋体" w:eastAsia="宋体" w:cs="宋体"/>
                <w:color w:val="auto"/>
                <w:szCs w:val="21"/>
              </w:rPr>
            </w:pPr>
            <w:r>
              <w:rPr>
                <w:rFonts w:hint="eastAsia" w:ascii="宋体" w:hAnsi="宋体" w:cs="宋体"/>
                <w:color w:val="auto"/>
                <w:szCs w:val="21"/>
                <w:lang w:val="en-US" w:eastAsia="zh-CN"/>
              </w:rPr>
              <w:t>5.</w:t>
            </w:r>
            <w:r>
              <w:rPr>
                <w:rFonts w:hint="eastAsia" w:ascii="宋体" w:hAnsi="宋体" w:eastAsia="宋体" w:cs="宋体"/>
                <w:color w:val="auto"/>
                <w:szCs w:val="21"/>
              </w:rPr>
              <w:t>投标人具有有害生物防制类证书得</w:t>
            </w:r>
            <w:r>
              <w:rPr>
                <w:rFonts w:hint="eastAsia" w:ascii="宋体" w:hAnsi="宋体" w:cs="宋体"/>
                <w:color w:val="auto"/>
                <w:szCs w:val="21"/>
                <w:lang w:val="en-US" w:eastAsia="zh-CN"/>
              </w:rPr>
              <w:t>20</w:t>
            </w:r>
            <w:r>
              <w:rPr>
                <w:rFonts w:hint="eastAsia" w:ascii="宋体" w:hAnsi="宋体" w:eastAsia="宋体" w:cs="宋体"/>
                <w:color w:val="auto"/>
                <w:szCs w:val="21"/>
              </w:rPr>
              <w:t>分。</w:t>
            </w:r>
          </w:p>
          <w:p>
            <w:pPr>
              <w:rPr>
                <w:rFonts w:hint="eastAsia" w:ascii="宋体" w:hAnsi="宋体" w:eastAsia="宋体" w:cs="宋体"/>
              </w:rPr>
            </w:pPr>
            <w:r>
              <w:rPr>
                <w:rFonts w:hint="eastAsia" w:ascii="宋体" w:hAnsi="宋体" w:eastAsia="宋体" w:cs="宋体"/>
              </w:rPr>
              <w:t>以上</w:t>
            </w:r>
            <w:r>
              <w:rPr>
                <w:rFonts w:hint="eastAsia" w:ascii="宋体" w:hAnsi="宋体" w:cs="宋体"/>
                <w:lang w:val="en-US" w:eastAsia="zh-CN"/>
              </w:rPr>
              <w:t>5</w:t>
            </w:r>
            <w:r>
              <w:rPr>
                <w:rFonts w:hint="eastAsia" w:ascii="宋体" w:hAnsi="宋体" w:eastAsia="宋体" w:cs="宋体"/>
                <w:u w:val="none"/>
              </w:rPr>
              <w:t>项</w:t>
            </w:r>
            <w:r>
              <w:rPr>
                <w:rFonts w:hint="eastAsia" w:ascii="宋体" w:hAnsi="宋体" w:eastAsia="宋体" w:cs="宋体"/>
              </w:rPr>
              <w:t>累加计分，最高得100分。</w:t>
            </w:r>
          </w:p>
          <w:p>
            <w:pPr>
              <w:jc w:val="left"/>
              <w:rPr>
                <w:rFonts w:hint="eastAsia" w:ascii="宋体" w:hAnsi="宋体" w:eastAsia="宋体" w:cs="宋体"/>
                <w:b/>
                <w:bCs/>
                <w:color w:val="auto"/>
                <w:szCs w:val="24"/>
              </w:rPr>
            </w:pPr>
            <w:r>
              <w:rPr>
                <w:rFonts w:hint="eastAsia" w:ascii="宋体" w:hAnsi="宋体" w:eastAsia="宋体" w:cs="宋体"/>
                <w:b/>
                <w:bCs/>
                <w:color w:val="auto"/>
                <w:szCs w:val="24"/>
              </w:rPr>
              <w:t>（二）评分依据：</w:t>
            </w:r>
          </w:p>
          <w:p>
            <w:pPr>
              <w:jc w:val="left"/>
              <w:rPr>
                <w:rFonts w:hint="eastAsia" w:ascii="宋体" w:hAnsi="宋体" w:eastAsia="宋体" w:cs="宋体"/>
              </w:rPr>
            </w:pPr>
            <w:r>
              <w:rPr>
                <w:rFonts w:hint="eastAsia" w:ascii="宋体" w:hAnsi="宋体" w:eastAsia="宋体" w:cs="宋体"/>
              </w:rPr>
              <w:t>要求提供有效的认证证书作为得分依据。其中体系认证同时需提供“全国认证认可信息公共服务平台”（网址http://cx.cnca.cn/CertECloud/index/index/page）互联网查询网址链接地址及查询截图（证书状态为有效）且编号一致，如未提供则不得分。。如投标人成立时间不足三个月，可承诺中标后按招标文件要求获取有关认证证书，每承诺获取一项</w:t>
            </w:r>
            <w:r>
              <w:rPr>
                <w:rFonts w:hint="eastAsia" w:ascii="宋体" w:hAnsi="宋体" w:eastAsia="宋体" w:cs="宋体"/>
                <w:lang w:val="en-US" w:eastAsia="zh-CN"/>
              </w:rPr>
              <w:t>按照评分内容对应证书得分</w:t>
            </w:r>
            <w:r>
              <w:rPr>
                <w:rFonts w:hint="eastAsia" w:ascii="宋体" w:hAnsi="宋体" w:eastAsia="宋体" w:cs="宋体"/>
              </w:rPr>
              <w:t>，投标人提供《承诺函》（格式自拟）作为证明材料。</w:t>
            </w:r>
          </w:p>
          <w:p>
            <w:pPr>
              <w:jc w:val="left"/>
              <w:rPr>
                <w:rFonts w:hint="eastAsia" w:ascii="宋体" w:hAnsi="宋体" w:eastAsia="宋体" w:cs="宋体"/>
              </w:rPr>
            </w:pPr>
          </w:p>
          <w:p>
            <w:pPr>
              <w:jc w:val="left"/>
              <w:rPr>
                <w:rFonts w:hint="eastAsia" w:ascii="宋体" w:hAnsi="宋体" w:cs="宋体"/>
                <w:szCs w:val="21"/>
              </w:rPr>
            </w:pPr>
            <w:r>
              <w:rPr>
                <w:rFonts w:hint="eastAsia" w:ascii="宋体" w:hAnsi="宋体" w:eastAsia="宋体" w:cs="宋体"/>
              </w:rPr>
              <w:t>备注：评分中出现无证明资料或证书过期或专家无法凭所提供资料判断是否得分的情况，一律作不得分处理。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2835" w:type="dxa"/>
            <w:tcBorders>
              <w:top w:val="single" w:color="000000" w:sz="8" w:space="0"/>
              <w:left w:val="single" w:color="000000" w:sz="8" w:space="0"/>
              <w:bottom w:val="single" w:color="000000" w:sz="8" w:space="0"/>
              <w:right w:val="single" w:color="000000" w:sz="8" w:space="0"/>
            </w:tcBorders>
            <w:vAlign w:val="center"/>
          </w:tcPr>
          <w:p>
            <w:pPr>
              <w:jc w:val="center"/>
              <w:rPr>
                <w:rFonts w:hint="eastAsia" w:ascii="宋体" w:hAnsi="宋体" w:cs="宋体"/>
                <w:szCs w:val="21"/>
              </w:rPr>
            </w:pPr>
            <w:r>
              <w:rPr>
                <w:rFonts w:hint="eastAsia" w:ascii="宋体" w:hAnsi="宋体" w:eastAsia="宋体"/>
                <w:color w:val="auto"/>
                <w:szCs w:val="21"/>
              </w:rPr>
              <w:t>投标人自主知识产权产品（创新、设计）情况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cs="宋体"/>
                <w:szCs w:val="21"/>
              </w:rPr>
              <w:t>5</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eastAsia="宋体"/>
                <w:b/>
                <w:bCs/>
                <w:color w:val="auto"/>
                <w:szCs w:val="21"/>
              </w:rPr>
            </w:pPr>
            <w:r>
              <w:rPr>
                <w:rFonts w:hint="eastAsia" w:ascii="宋体" w:hAnsi="宋体" w:eastAsia="宋体"/>
                <w:b/>
                <w:bCs/>
                <w:color w:val="auto"/>
                <w:szCs w:val="21"/>
              </w:rPr>
              <w:t>（一）评分内容：</w:t>
            </w:r>
          </w:p>
          <w:p>
            <w:pPr>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供应商需承诺后续中标后将投标时提供的</w:t>
            </w:r>
            <w:r>
              <w:rPr>
                <w:rFonts w:hint="eastAsia" w:ascii="宋体" w:hAnsi="宋体" w:eastAsia="宋体" w:cs="宋体"/>
                <w:color w:val="auto"/>
                <w:szCs w:val="21"/>
              </w:rPr>
              <w:t>自主知识产权产品（创新、设计）</w:t>
            </w:r>
            <w:r>
              <w:rPr>
                <w:rFonts w:hint="eastAsia" w:ascii="宋体" w:hAnsi="宋体" w:eastAsia="宋体" w:cs="宋体"/>
                <w:color w:val="auto"/>
                <w:szCs w:val="21"/>
                <w:lang w:val="en-US" w:eastAsia="zh-CN"/>
              </w:rPr>
              <w:t>投入到本项目中使用</w:t>
            </w:r>
            <w:r>
              <w:rPr>
                <w:rFonts w:hint="eastAsia" w:ascii="宋体" w:hAnsi="宋体" w:eastAsia="宋体"/>
                <w:color w:val="auto"/>
                <w:szCs w:val="21"/>
                <w:lang w:val="en-US" w:eastAsia="zh-CN"/>
              </w:rPr>
              <w:t>（</w:t>
            </w:r>
            <w:r>
              <w:rPr>
                <w:rFonts w:hint="eastAsia" w:ascii="宋体" w:hAnsi="宋体" w:eastAsia="宋体"/>
                <w:b/>
                <w:bCs/>
                <w:color w:val="auto"/>
                <w:szCs w:val="21"/>
                <w:lang w:val="en-US" w:eastAsia="zh-CN"/>
              </w:rPr>
              <w:t>提供承诺函，格式自拟</w:t>
            </w:r>
            <w:r>
              <w:rPr>
                <w:rFonts w:hint="eastAsia" w:ascii="宋体" w:hAnsi="宋体" w:eastAsia="宋体"/>
                <w:color w:val="auto"/>
                <w:szCs w:val="21"/>
                <w:lang w:val="en-US" w:eastAsia="zh-CN"/>
              </w:rPr>
              <w:t>）</w:t>
            </w:r>
            <w:r>
              <w:rPr>
                <w:rFonts w:hint="eastAsia" w:ascii="宋体" w:hAnsi="宋体" w:eastAsia="宋体" w:cs="宋体"/>
                <w:color w:val="auto"/>
                <w:szCs w:val="21"/>
                <w:lang w:val="en-US" w:eastAsia="zh-CN"/>
              </w:rPr>
              <w:t>，如未提供承诺函的，本项不得分，在此基础上：</w:t>
            </w:r>
          </w:p>
          <w:p>
            <w:pPr>
              <w:jc w:val="left"/>
              <w:rPr>
                <w:rFonts w:hint="eastAsia" w:ascii="宋体" w:hAnsi="宋体" w:eastAsia="宋体" w:cs="宋体"/>
                <w:color w:val="auto"/>
                <w:szCs w:val="21"/>
                <w:lang w:val="en-US" w:eastAsia="zh-CN"/>
              </w:rPr>
            </w:pPr>
            <w:r>
              <w:rPr>
                <w:rFonts w:hint="eastAsia" w:ascii="宋体" w:hAnsi="宋体" w:eastAsia="宋体" w:cs="宋体"/>
                <w:color w:val="auto"/>
                <w:szCs w:val="21"/>
              </w:rPr>
              <w:t>每具有一个与园林绿化</w:t>
            </w:r>
            <w:r>
              <w:rPr>
                <w:rFonts w:hint="eastAsia" w:ascii="宋体" w:hAnsi="宋体" w:eastAsia="宋体" w:cs="宋体"/>
                <w:color w:val="auto"/>
                <w:szCs w:val="21"/>
                <w:lang w:val="en-US" w:eastAsia="zh-CN"/>
              </w:rPr>
              <w:t>类或安保类或</w:t>
            </w:r>
            <w:r>
              <w:rPr>
                <w:rFonts w:hint="eastAsia" w:ascii="宋体" w:hAnsi="宋体" w:eastAsia="宋体" w:cs="宋体"/>
                <w:szCs w:val="21"/>
              </w:rPr>
              <w:t>有害植物</w:t>
            </w:r>
            <w:r>
              <w:rPr>
                <w:rFonts w:hint="eastAsia" w:ascii="宋体" w:hAnsi="宋体" w:eastAsia="宋体" w:cs="宋体"/>
                <w:szCs w:val="21"/>
                <w:lang w:val="en-US" w:eastAsia="zh-CN"/>
              </w:rPr>
              <w:t>类</w:t>
            </w:r>
            <w:r>
              <w:rPr>
                <w:rFonts w:hint="eastAsia" w:ascii="宋体" w:hAnsi="宋体" w:eastAsia="宋体" w:cs="宋体"/>
                <w:szCs w:val="21"/>
              </w:rPr>
              <w:t>或有害生物</w:t>
            </w:r>
            <w:r>
              <w:rPr>
                <w:rFonts w:hint="eastAsia" w:ascii="宋体" w:hAnsi="宋体" w:eastAsia="宋体" w:cs="宋体"/>
                <w:szCs w:val="21"/>
                <w:lang w:val="en-US" w:eastAsia="zh-CN"/>
              </w:rPr>
              <w:t>类</w:t>
            </w:r>
            <w:r>
              <w:rPr>
                <w:rFonts w:hint="eastAsia" w:ascii="宋体" w:hAnsi="宋体" w:eastAsia="宋体" w:cs="宋体"/>
                <w:color w:val="auto"/>
                <w:szCs w:val="21"/>
              </w:rPr>
              <w:t>技术应用相关的自主知识产权产品（创新、设计）得25分，满分100分。</w:t>
            </w:r>
          </w:p>
          <w:p>
            <w:pPr>
              <w:jc w:val="left"/>
              <w:rPr>
                <w:rFonts w:ascii="宋体" w:hAnsi="宋体" w:eastAsia="宋体"/>
                <w:color w:val="auto"/>
                <w:szCs w:val="21"/>
              </w:rPr>
            </w:pPr>
            <w:r>
              <w:rPr>
                <w:rFonts w:hint="eastAsia" w:ascii="宋体" w:hAnsi="宋体" w:eastAsia="宋体"/>
                <w:b/>
                <w:bCs/>
                <w:color w:val="auto"/>
                <w:szCs w:val="21"/>
              </w:rPr>
              <w:t>（二）评分依据：</w:t>
            </w:r>
          </w:p>
          <w:p>
            <w:pPr>
              <w:jc w:val="left"/>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若为</w:t>
            </w:r>
            <w:r>
              <w:rPr>
                <w:rFonts w:hint="eastAsia" w:ascii="宋体" w:hAnsi="宋体" w:eastAsia="宋体" w:cs="宋体"/>
                <w:color w:val="auto"/>
                <w:szCs w:val="21"/>
              </w:rPr>
              <w:t>自主开发的</w:t>
            </w:r>
            <w:r>
              <w:rPr>
                <w:rFonts w:hint="eastAsia" w:ascii="宋体" w:hAnsi="宋体" w:eastAsia="宋体" w:cs="宋体"/>
                <w:color w:val="auto"/>
                <w:szCs w:val="21"/>
                <w:lang w:eastAsia="zh-CN"/>
              </w:rPr>
              <w:t>，</w:t>
            </w:r>
            <w:r>
              <w:rPr>
                <w:rFonts w:hint="eastAsia" w:ascii="宋体" w:hAnsi="宋体" w:eastAsia="宋体" w:cs="宋体"/>
                <w:color w:val="auto"/>
                <w:szCs w:val="21"/>
              </w:rPr>
              <w:t>提供专利证书或软件著作权登记证书（著作权人须为投标人），原件备查。</w:t>
            </w:r>
          </w:p>
          <w:p>
            <w:pPr>
              <w:jc w:val="left"/>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若为</w:t>
            </w:r>
            <w:r>
              <w:rPr>
                <w:rFonts w:hint="eastAsia" w:ascii="宋体" w:hAnsi="宋体" w:eastAsia="宋体" w:cs="宋体"/>
                <w:color w:val="auto"/>
                <w:szCs w:val="21"/>
              </w:rPr>
              <w:t>购买或租赁的</w:t>
            </w:r>
            <w:r>
              <w:rPr>
                <w:rFonts w:hint="eastAsia" w:ascii="宋体" w:hAnsi="宋体" w:eastAsia="宋体" w:cs="宋体"/>
                <w:color w:val="auto"/>
                <w:szCs w:val="21"/>
                <w:lang w:eastAsia="zh-CN"/>
              </w:rPr>
              <w:t>，</w:t>
            </w:r>
            <w:r>
              <w:rPr>
                <w:rFonts w:hint="eastAsia" w:ascii="宋体" w:hAnsi="宋体" w:eastAsia="宋体" w:cs="宋体"/>
                <w:color w:val="auto"/>
                <w:szCs w:val="21"/>
              </w:rPr>
              <w:t xml:space="preserve">提供专利证书或软件著作权登记证书（著作权人须为出售/出租方）和购买合同（或租赁合同）。 </w:t>
            </w:r>
          </w:p>
          <w:p>
            <w:pPr>
              <w:jc w:val="left"/>
              <w:rPr>
                <w:rFonts w:hint="eastAsia"/>
              </w:rPr>
            </w:pPr>
            <w:r>
              <w:rPr>
                <w:rFonts w:hint="eastAsia" w:ascii="宋体" w:hAnsi="宋体" w:eastAsia="宋体" w:cs="宋体"/>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bottom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3</w:t>
            </w:r>
          </w:p>
        </w:tc>
        <w:tc>
          <w:tcPr>
            <w:tcW w:w="2835" w:type="dxa"/>
            <w:tcBorders>
              <w:top w:val="single" w:color="000000" w:sz="8" w:space="0"/>
              <w:left w:val="single" w:color="000000" w:sz="8" w:space="0"/>
              <w:bottom w:val="single" w:color="000000" w:sz="8" w:space="0"/>
              <w:right w:val="single" w:color="000000" w:sz="8" w:space="0"/>
            </w:tcBorders>
            <w:vAlign w:val="center"/>
          </w:tcPr>
          <w:p>
            <w:pPr>
              <w:jc w:val="center"/>
              <w:rPr>
                <w:rFonts w:hint="eastAsia" w:ascii="宋体" w:hAnsi="宋体" w:eastAsia="宋体" w:cs="宋体"/>
                <w:kern w:val="2"/>
                <w:sz w:val="21"/>
                <w:szCs w:val="21"/>
                <w:lang w:val="en-US" w:eastAsia="zh-CN" w:bidi="ar-SA"/>
              </w:rPr>
            </w:pPr>
            <w:r>
              <w:rPr>
                <w:rFonts w:hint="eastAsia" w:cs="宋体" w:asciiTheme="minorHAnsi" w:hAnsiTheme="minorHAnsi"/>
                <w:szCs w:val="22"/>
              </w:rPr>
              <w:t>本地化服务能力</w:t>
            </w:r>
          </w:p>
        </w:tc>
        <w:tc>
          <w:tcPr>
            <w:tcW w:w="681"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w:t>
            </w:r>
          </w:p>
        </w:tc>
        <w:tc>
          <w:tcPr>
            <w:tcW w:w="4196" w:type="dxa"/>
            <w:tcBorders>
              <w:top w:val="single" w:color="000000" w:sz="8" w:space="0"/>
              <w:left w:val="single" w:color="000000" w:sz="8" w:space="0"/>
              <w:bottom w:val="single" w:color="000000" w:sz="8" w:space="0"/>
              <w:right w:val="single" w:color="000000" w:sz="8" w:space="0"/>
            </w:tcBorders>
            <w:vAlign w:val="center"/>
          </w:tcPr>
          <w:p>
            <w:pPr>
              <w:rPr>
                <w:b/>
              </w:rPr>
            </w:pPr>
            <w:r>
              <w:rPr>
                <w:rFonts w:hint="eastAsia"/>
                <w:b/>
              </w:rPr>
              <w:t>（一） 评分内容：</w:t>
            </w:r>
          </w:p>
          <w:p>
            <w:r>
              <w:rPr>
                <w:rFonts w:hint="eastAsia"/>
              </w:rPr>
              <w:t>投标人承诺中标后提供本地化服务，得100分。</w:t>
            </w:r>
          </w:p>
          <w:p>
            <w:r>
              <w:t>本项最高可得100分。</w:t>
            </w:r>
          </w:p>
          <w:p>
            <w:pPr>
              <w:rPr>
                <w:b/>
              </w:rPr>
            </w:pPr>
            <w:r>
              <w:rPr>
                <w:rFonts w:hint="eastAsia"/>
                <w:b/>
              </w:rPr>
              <w:t>（二）评分依据：</w:t>
            </w:r>
          </w:p>
          <w:p>
            <w:r>
              <w:rPr>
                <w:rFonts w:hint="eastAsia"/>
              </w:rPr>
              <w:t>投标人需提供承诺函（格式自拟）。</w:t>
            </w:r>
          </w:p>
          <w:p>
            <w:pPr>
              <w:widowControl/>
              <w:jc w:val="left"/>
              <w:rPr>
                <w:rFonts w:hint="eastAsia" w:ascii="宋体" w:hAnsi="宋体" w:eastAsia="宋体" w:cs="宋体"/>
                <w:color w:val="FF0000"/>
                <w:kern w:val="2"/>
                <w:sz w:val="21"/>
                <w:szCs w:val="21"/>
                <w:lang w:val="en-US" w:eastAsia="zh-CN" w:bidi="ar-SA"/>
              </w:rPr>
            </w:pPr>
            <w:r>
              <w:rPr>
                <w:rFonts w:hint="eastAsia"/>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restart"/>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4</w:t>
            </w:r>
          </w:p>
        </w:tc>
        <w:tc>
          <w:tcPr>
            <w:tcW w:w="4196" w:type="dxa"/>
            <w:gridSpan w:val="3"/>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诚信情况</w:t>
            </w:r>
          </w:p>
        </w:tc>
        <w:tc>
          <w:tcPr>
            <w:tcW w:w="4196"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rFonts w:hint="eastAsia"/>
                <w:b/>
                <w:bCs/>
                <w:color w:val="0000FF"/>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vAlign w:val="center"/>
          </w:tcPr>
          <w:p>
            <w:pPr>
              <w:wordWrap w:val="0"/>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hint="eastAsia"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szCs w:val="21"/>
              </w:rPr>
              <w:t>1</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szCs w:val="21"/>
              </w:rPr>
              <w:t>诚信情况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idowControl/>
              <w:wordWrap/>
              <w:jc w:val="center"/>
              <w:textAlignment w:val="auto"/>
              <w:rPr>
                <w:rFonts w:hint="eastAsia" w:ascii="宋体" w:hAnsi="宋体" w:cs="宋体"/>
                <w:szCs w:val="21"/>
              </w:rPr>
            </w:pPr>
            <w:r>
              <w:rPr>
                <w:rFonts w:hint="eastAsia" w:ascii="宋体" w:hAnsi="宋体" w:cs="宋体"/>
                <w:szCs w:val="21"/>
              </w:rPr>
              <w:t>5</w:t>
            </w:r>
          </w:p>
        </w:tc>
        <w:tc>
          <w:tcPr>
            <w:tcW w:w="4196" w:type="dxa"/>
            <w:tcBorders>
              <w:top w:val="single" w:color="000000" w:sz="8" w:space="0"/>
              <w:left w:val="single" w:color="000000" w:sz="8" w:space="0"/>
              <w:bottom w:val="single" w:color="000000" w:sz="8" w:space="0"/>
              <w:right w:val="single" w:color="000000" w:sz="8" w:space="0"/>
            </w:tcBorders>
            <w:vAlign w:val="center"/>
          </w:tcPr>
          <w:p>
            <w:pPr>
              <w:pStyle w:val="2"/>
              <w:wordWrap w:val="0"/>
              <w:spacing w:line="240" w:lineRule="auto"/>
              <w:ind w:firstLine="420" w:firstLineChars="200"/>
              <w:rPr>
                <w:rFonts w:hint="eastAsia" w:ascii="宋体" w:hAnsi="宋体" w:eastAsia="宋体" w:cs="宋体"/>
                <w:b w:val="0"/>
                <w:bCs w:val="0"/>
                <w:sz w:val="21"/>
                <w:szCs w:val="21"/>
              </w:rPr>
            </w:pPr>
            <w:bookmarkStart w:id="1" w:name="OLE_LINK3"/>
            <w:r>
              <w:rPr>
                <w:rFonts w:hint="eastAsia" w:ascii="宋体" w:hAnsi="宋体" w:eastAsia="宋体" w:cs="宋体"/>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pStyle w:val="2"/>
              <w:wordWrap w:val="0"/>
              <w:spacing w:line="240" w:lineRule="auto"/>
              <w:ind w:firstLine="420" w:firstLineChars="200"/>
              <w:rPr>
                <w:rFonts w:hint="eastAsia" w:ascii="宋体" w:hAnsi="宋体" w:cs="宋体"/>
                <w:szCs w:val="21"/>
              </w:rPr>
            </w:pPr>
            <w:r>
              <w:rPr>
                <w:rFonts w:hint="eastAsia" w:ascii="宋体" w:hAnsi="宋体" w:eastAsia="宋体" w:cs="宋体"/>
                <w:b w:val="0"/>
                <w:bCs w:val="0"/>
                <w:sz w:val="21"/>
                <w:szCs w:val="21"/>
              </w:rPr>
              <w:t>查询渠道：通过“信用中国”（www.creditchina.gov.cn，下载信用信息报告）、“中国政府采购网”（www.ccgp.gov.cn）、“深圳市政府采购监管网”（http://zfcg.sz.gov.cn）以及深圳市、区财政部门认可的“供应商诚信档案库”查询供应商信用信息，信用信息以开标当日的查询结果为准。</w:t>
            </w:r>
            <w:bookmarkEnd w:id="1"/>
          </w:p>
        </w:tc>
      </w:tr>
    </w:tbl>
    <w:p>
      <w:pPr>
        <w:sectPr>
          <w:pgSz w:w="11907" w:h="16840"/>
          <w:pgMar w:top="1440" w:right="1417" w:bottom="1440" w:left="1417" w:header="851" w:footer="992" w:gutter="0"/>
          <w:cols w:space="425" w:num="1"/>
          <w:titlePg/>
          <w:docGrid w:linePitch="462" w:charSpace="0"/>
        </w:sectPr>
      </w:pPr>
    </w:p>
    <w:p>
      <w:pPr>
        <w:jc w:val="center"/>
        <w:rPr>
          <w:b/>
          <w:sz w:val="120"/>
          <w:szCs w:val="120"/>
        </w:rPr>
      </w:pPr>
    </w:p>
    <w:p>
      <w:pPr>
        <w:jc w:val="center"/>
        <w:rPr>
          <w:b/>
          <w:sz w:val="120"/>
          <w:szCs w:val="120"/>
        </w:rPr>
      </w:pPr>
    </w:p>
    <w:p>
      <w:pPr>
        <w:jc w:val="center"/>
        <w:rPr>
          <w:b/>
          <w:sz w:val="120"/>
          <w:szCs w:val="120"/>
        </w:rPr>
      </w:pPr>
    </w:p>
    <w:p>
      <w:pPr>
        <w:jc w:val="center"/>
        <w:rPr>
          <w:b/>
          <w:sz w:val="120"/>
          <w:szCs w:val="120"/>
        </w:rPr>
      </w:pPr>
      <w:r>
        <w:rPr>
          <w:rFonts w:hint="eastAsia"/>
          <w:b/>
          <w:sz w:val="120"/>
          <w:szCs w:val="120"/>
        </w:rPr>
        <w:t>政府采购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（服务类）</w:t>
      </w: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bookmarkStart w:id="2" w:name="_Hlk71465316"/>
      <w:r>
        <w:rPr>
          <w:rFonts w:hint="eastAsia"/>
          <w:b/>
          <w:sz w:val="44"/>
          <w:szCs w:val="44"/>
        </w:rPr>
        <w:t>深圳公共资源交易中心</w:t>
      </w:r>
    </w:p>
    <w:p>
      <w:pPr>
        <w:jc w:val="center"/>
        <w:rPr>
          <w:sz w:val="28"/>
          <w:szCs w:val="28"/>
        </w:rPr>
      </w:pPr>
      <w:r>
        <w:rPr>
          <w:rFonts w:hint="eastAsia"/>
          <w:b/>
          <w:sz w:val="28"/>
          <w:szCs w:val="28"/>
        </w:rPr>
        <w:t>（</w:t>
      </w:r>
      <w:r>
        <w:rPr>
          <w:b/>
          <w:sz w:val="28"/>
          <w:szCs w:val="28"/>
        </w:rPr>
        <w:t>20</w:t>
      </w:r>
      <w:r>
        <w:rPr>
          <w:rFonts w:hint="eastAsia"/>
          <w:b/>
          <w:sz w:val="28"/>
          <w:szCs w:val="28"/>
        </w:rPr>
        <w:t>2</w:t>
      </w:r>
      <w:r>
        <w:rPr>
          <w:b/>
          <w:sz w:val="28"/>
          <w:szCs w:val="28"/>
        </w:rPr>
        <w:t>6</w:t>
      </w:r>
      <w:r>
        <w:rPr>
          <w:rFonts w:hint="eastAsia"/>
          <w:b/>
          <w:sz w:val="28"/>
          <w:szCs w:val="28"/>
        </w:rPr>
        <w:t>）</w:t>
      </w:r>
      <w:bookmarkEnd w:id="2"/>
    </w:p>
    <w:p>
      <w:pPr>
        <w:ind w:firstLine="420" w:firstLineChars="200"/>
      </w:pPr>
      <w:r>
        <w:rPr>
          <w:rFonts w:hint="eastAsia"/>
        </w:rPr>
        <w:br w:type="page"/>
      </w:r>
    </w:p>
    <w:p>
      <w:pPr>
        <w:pStyle w:val="4"/>
      </w:pPr>
      <w:r>
        <w:rPr>
          <w:rFonts w:hint="eastAsia"/>
        </w:rPr>
        <w:t>目   录</w:t>
      </w:r>
    </w:p>
    <w:p>
      <w:pPr>
        <w:rPr>
          <w:b/>
          <w:sz w:val="24"/>
        </w:rPr>
      </w:pPr>
      <w:r>
        <w:rPr>
          <w:rFonts w:hint="eastAsia"/>
          <w:b/>
          <w:sz w:val="24"/>
        </w:rPr>
        <w:t>第一册  专用条款</w:t>
      </w:r>
    </w:p>
    <w:p>
      <w:pPr>
        <w:ind w:firstLine="960" w:firstLineChars="400"/>
        <w:rPr>
          <w:sz w:val="24"/>
        </w:rPr>
      </w:pPr>
      <w:r>
        <w:rPr>
          <w:rFonts w:hint="eastAsia"/>
          <w:sz w:val="24"/>
        </w:rPr>
        <w:t>关键信息</w:t>
      </w:r>
    </w:p>
    <w:p>
      <w:pPr>
        <w:ind w:left="630" w:leftChars="300" w:firstLine="630" w:firstLineChars="300"/>
        <w:rPr>
          <w:rFonts w:ascii="宋体" w:hAnsi="宋体"/>
          <w:szCs w:val="21"/>
        </w:rPr>
      </w:pPr>
      <w:r>
        <w:rPr>
          <w:rFonts w:hint="eastAsia" w:ascii="宋体" w:hAnsi="宋体"/>
          <w:szCs w:val="21"/>
        </w:rPr>
        <w:t>第一章  招标公告</w:t>
      </w:r>
    </w:p>
    <w:p>
      <w:pPr>
        <w:ind w:left="630" w:leftChars="300" w:firstLine="630" w:firstLineChars="300"/>
        <w:rPr>
          <w:rFonts w:ascii="宋体" w:hAnsi="宋体"/>
          <w:szCs w:val="21"/>
        </w:rPr>
      </w:pPr>
      <w:r>
        <w:rPr>
          <w:rFonts w:hint="eastAsia" w:ascii="宋体" w:hAnsi="宋体"/>
          <w:szCs w:val="21"/>
        </w:rPr>
        <w:t xml:space="preserve">第二章  </w:t>
      </w:r>
      <w:bookmarkStart w:id="3" w:name="_Hlk71994379"/>
      <w:r>
        <w:rPr>
          <w:rFonts w:hint="eastAsia" w:ascii="宋体" w:hAnsi="宋体"/>
          <w:szCs w:val="21"/>
        </w:rPr>
        <w:t>对通用条款的补充内容及其他关键信息</w:t>
      </w:r>
      <w:bookmarkEnd w:id="3"/>
    </w:p>
    <w:p>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630" w:firstLineChars="300"/>
        <w:rPr>
          <w:rFonts w:ascii="宋体" w:hAnsi="宋体"/>
          <w:szCs w:val="21"/>
        </w:rPr>
      </w:pPr>
      <w:r>
        <w:rPr>
          <w:rFonts w:hint="eastAsia" w:ascii="宋体" w:hAnsi="宋体"/>
          <w:szCs w:val="21"/>
        </w:rPr>
        <w:t>第五章  合同条款及格式</w:t>
      </w:r>
    </w:p>
    <w:p>
      <w:pPr>
        <w:rPr>
          <w:b/>
          <w:sz w:val="24"/>
        </w:rPr>
      </w:pPr>
    </w:p>
    <w:p>
      <w:pPr>
        <w:rPr>
          <w:b/>
          <w:sz w:val="24"/>
        </w:rPr>
      </w:pPr>
      <w:r>
        <w:rPr>
          <w:rFonts w:hint="eastAsia"/>
          <w:b/>
          <w:sz w:val="24"/>
        </w:rPr>
        <w:t>第二册  通用条款</w:t>
      </w:r>
    </w:p>
    <w:p>
      <w:pPr>
        <w:ind w:left="630" w:leftChars="300" w:firstLine="411" w:firstLineChars="196"/>
        <w:rPr>
          <w:rFonts w:ascii="宋体" w:hAnsi="宋体"/>
          <w:szCs w:val="21"/>
        </w:rPr>
      </w:pPr>
      <w:r>
        <w:rPr>
          <w:rFonts w:hint="eastAsia" w:ascii="宋体" w:hAnsi="宋体"/>
          <w:szCs w:val="21"/>
        </w:rPr>
        <w:t>第一章  总则</w:t>
      </w:r>
    </w:p>
    <w:p>
      <w:pPr>
        <w:ind w:left="630" w:leftChars="300" w:firstLine="411" w:firstLineChars="196"/>
        <w:rPr>
          <w:rFonts w:ascii="宋体" w:hAnsi="宋体"/>
          <w:szCs w:val="21"/>
        </w:rPr>
      </w:pPr>
      <w:r>
        <w:rPr>
          <w:rFonts w:hint="eastAsia" w:ascii="宋体" w:hAnsi="宋体"/>
          <w:szCs w:val="21"/>
        </w:rPr>
        <w:t>第二章  招标文件</w:t>
      </w:r>
    </w:p>
    <w:p>
      <w:pPr>
        <w:ind w:left="630" w:leftChars="300" w:firstLine="411" w:firstLineChars="196"/>
        <w:rPr>
          <w:rFonts w:ascii="宋体" w:hAnsi="宋体"/>
          <w:szCs w:val="21"/>
        </w:rPr>
      </w:pPr>
      <w:r>
        <w:rPr>
          <w:rFonts w:hint="eastAsia" w:ascii="宋体" w:hAnsi="宋体"/>
          <w:szCs w:val="21"/>
        </w:rPr>
        <w:t>第三章  投标文件的编制</w:t>
      </w:r>
    </w:p>
    <w:p>
      <w:pPr>
        <w:ind w:left="630" w:leftChars="300" w:firstLine="411" w:firstLineChars="196"/>
        <w:rPr>
          <w:rFonts w:ascii="宋体" w:hAnsi="宋体"/>
          <w:szCs w:val="21"/>
        </w:rPr>
      </w:pPr>
      <w:r>
        <w:rPr>
          <w:rFonts w:hint="eastAsia" w:ascii="宋体" w:hAnsi="宋体"/>
          <w:szCs w:val="21"/>
        </w:rPr>
        <w:t>第四章  投标文件的递交</w:t>
      </w:r>
    </w:p>
    <w:p>
      <w:pPr>
        <w:ind w:left="630" w:leftChars="300" w:firstLine="411" w:firstLineChars="196"/>
        <w:rPr>
          <w:rFonts w:ascii="宋体" w:hAnsi="宋体"/>
          <w:szCs w:val="21"/>
        </w:rPr>
      </w:pPr>
      <w:r>
        <w:rPr>
          <w:rFonts w:hint="eastAsia" w:ascii="宋体" w:hAnsi="宋体"/>
          <w:szCs w:val="21"/>
        </w:rPr>
        <w:t>第五章  开标</w:t>
      </w:r>
    </w:p>
    <w:p>
      <w:pPr>
        <w:ind w:left="630" w:leftChars="300" w:firstLine="411" w:firstLineChars="196"/>
        <w:rPr>
          <w:rFonts w:ascii="宋体" w:hAnsi="宋体"/>
          <w:szCs w:val="21"/>
        </w:rPr>
      </w:pPr>
      <w:r>
        <w:rPr>
          <w:rFonts w:hint="eastAsia" w:ascii="宋体" w:hAnsi="宋体"/>
          <w:szCs w:val="21"/>
        </w:rPr>
        <w:t>第六章  评审要求</w:t>
      </w:r>
    </w:p>
    <w:p>
      <w:pPr>
        <w:ind w:left="630" w:leftChars="300" w:firstLine="411" w:firstLineChars="196"/>
        <w:rPr>
          <w:rFonts w:ascii="宋体" w:hAnsi="宋体"/>
          <w:szCs w:val="21"/>
        </w:rPr>
      </w:pPr>
      <w:r>
        <w:rPr>
          <w:rFonts w:hint="eastAsia" w:ascii="宋体" w:hAnsi="宋体"/>
          <w:szCs w:val="21"/>
        </w:rPr>
        <w:t>第七章  评审程序及评审方法</w:t>
      </w:r>
    </w:p>
    <w:p>
      <w:pPr>
        <w:ind w:left="630" w:leftChars="300" w:firstLine="411" w:firstLineChars="196"/>
        <w:rPr>
          <w:rFonts w:ascii="宋体" w:hAnsi="宋体"/>
          <w:szCs w:val="21"/>
        </w:rPr>
      </w:pPr>
      <w:r>
        <w:rPr>
          <w:rFonts w:hint="eastAsia" w:ascii="宋体" w:hAnsi="宋体"/>
          <w:szCs w:val="21"/>
        </w:rPr>
        <w:t>第八章  定标及公示</w:t>
      </w:r>
    </w:p>
    <w:p>
      <w:pPr>
        <w:ind w:left="630" w:leftChars="300" w:firstLine="411" w:firstLineChars="196"/>
        <w:rPr>
          <w:rFonts w:ascii="宋体" w:hAnsi="宋体"/>
          <w:szCs w:val="21"/>
        </w:rPr>
      </w:pPr>
      <w:r>
        <w:rPr>
          <w:rFonts w:hint="eastAsia" w:ascii="宋体" w:hAnsi="宋体"/>
          <w:szCs w:val="21"/>
        </w:rPr>
        <w:t>第九章  公开招标失败的后续处理</w:t>
      </w:r>
    </w:p>
    <w:p>
      <w:pPr>
        <w:ind w:left="630" w:leftChars="300" w:firstLine="411" w:firstLineChars="196"/>
        <w:rPr>
          <w:rFonts w:ascii="宋体" w:hAnsi="宋体"/>
          <w:szCs w:val="21"/>
        </w:rPr>
      </w:pPr>
      <w:r>
        <w:rPr>
          <w:rFonts w:hint="eastAsia" w:ascii="宋体" w:hAnsi="宋体"/>
          <w:szCs w:val="21"/>
        </w:rPr>
        <w:t>第十章  合同的授予与备案</w:t>
      </w:r>
    </w:p>
    <w:p>
      <w:pPr>
        <w:ind w:firstLine="1050" w:firstLineChars="500"/>
        <w:rPr>
          <w:b/>
          <w:sz w:val="24"/>
        </w:rPr>
      </w:pPr>
      <w:r>
        <w:rPr>
          <w:rFonts w:hint="eastAsia" w:ascii="宋体" w:hAnsi="宋体"/>
          <w:szCs w:val="21"/>
        </w:rPr>
        <w:t>第十一章  质疑处理</w:t>
      </w:r>
    </w:p>
    <w:p>
      <w:pPr>
        <w:spacing w:line="360" w:lineRule="auto"/>
        <w:ind w:firstLine="420" w:firstLineChars="200"/>
        <w:jc w:val="left"/>
        <w:rPr>
          <w:rFonts w:ascii="宋体" w:hAnsi="宋体"/>
          <w:szCs w:val="21"/>
        </w:rPr>
      </w:pPr>
    </w:p>
    <w:p>
      <w:pPr>
        <w:pStyle w:val="4"/>
        <w:rPr>
          <w:sz w:val="24"/>
        </w:rPr>
      </w:pPr>
      <w:r>
        <w:br w:type="page"/>
      </w:r>
      <w:bookmarkStart w:id="4" w:name="bt说明"/>
      <w:bookmarkEnd w:id="4"/>
      <w:bookmarkStart w:id="5" w:name="bt其他资料2"/>
      <w:bookmarkEnd w:id="5"/>
      <w:bookmarkStart w:id="6" w:name="bt投标函"/>
      <w:bookmarkEnd w:id="6"/>
      <w:bookmarkStart w:id="7" w:name="bt项目管理班子配备情况"/>
      <w:bookmarkEnd w:id="7"/>
      <w:bookmarkStart w:id="8" w:name="bt商务标投标文件格式"/>
      <w:bookmarkEnd w:id="8"/>
      <w:bookmarkStart w:id="9" w:name="bt投标报价汇总表"/>
      <w:bookmarkEnd w:id="9"/>
      <w:bookmarkStart w:id="10" w:name="bt开标一览表"/>
      <w:bookmarkEnd w:id="10"/>
      <w:bookmarkStart w:id="11" w:name="bt合同条款"/>
      <w:bookmarkEnd w:id="11"/>
      <w:bookmarkStart w:id="12" w:name="bt合同格式"/>
      <w:bookmarkEnd w:id="12"/>
      <w:bookmarkStart w:id="13" w:name="bt技术标投标文件格式"/>
      <w:bookmarkEnd w:id="13"/>
      <w:bookmarkStart w:id="14" w:name="合同格式"/>
      <w:bookmarkEnd w:id="14"/>
      <w:bookmarkStart w:id="15" w:name="bt其他资料由投标人自定"/>
      <w:bookmarkEnd w:id="15"/>
      <w:bookmarkStart w:id="16" w:name="bt合同条款及格式"/>
      <w:bookmarkEnd w:id="16"/>
      <w:bookmarkStart w:id="17" w:name="bt投标人情况介绍"/>
      <w:bookmarkEnd w:id="17"/>
      <w:bookmarkStart w:id="18" w:name="bt投标文件签署授权委托书"/>
      <w:bookmarkEnd w:id="18"/>
      <w:bookmarkStart w:id="19" w:name="bt投标人须知"/>
      <w:bookmarkEnd w:id="19"/>
      <w:bookmarkStart w:id="20" w:name="bt本工程承诺书"/>
      <w:bookmarkEnd w:id="20"/>
      <w:r>
        <w:rPr>
          <w:rFonts w:hint="eastAsia"/>
        </w:rPr>
        <w:t>第一册  专用条款</w:t>
      </w:r>
    </w:p>
    <w:p>
      <w:pPr>
        <w:pStyle w:val="7"/>
        <w:rPr>
          <w:sz w:val="28"/>
          <w:szCs w:val="28"/>
        </w:rPr>
      </w:pPr>
      <w:r>
        <w:rPr>
          <w:rFonts w:hint="eastAsia"/>
          <w:sz w:val="28"/>
          <w:szCs w:val="28"/>
        </w:rPr>
        <w:t>第一章  招标公告</w:t>
      </w:r>
    </w:p>
    <w:tbl>
      <w:tblPr>
        <w:tblStyle w:val="42"/>
        <w:tblW w:w="8193" w:type="dxa"/>
        <w:jc w:val="center"/>
        <w:tblCellSpacing w:w="0" w:type="dxa"/>
        <w:tblLayout w:type="fixed"/>
        <w:tblCellMar>
          <w:top w:w="0" w:type="dxa"/>
          <w:left w:w="0" w:type="dxa"/>
          <w:bottom w:w="0" w:type="dxa"/>
          <w:right w:w="0" w:type="dxa"/>
        </w:tblCellMar>
      </w:tblPr>
      <w:tblGrid>
        <w:gridCol w:w="8193"/>
      </w:tblGrid>
      <w:tr>
        <w:tblPrEx>
          <w:tblCellMar>
            <w:top w:w="0" w:type="dxa"/>
            <w:left w:w="0" w:type="dxa"/>
            <w:bottom w:w="0" w:type="dxa"/>
            <w:right w:w="0" w:type="dxa"/>
          </w:tblCellMar>
        </w:tblPrEx>
        <w:trPr>
          <w:tblCellSpacing w:w="0" w:type="dxa"/>
          <w:jc w:val="center"/>
        </w:trPr>
        <w:tc>
          <w:tcPr>
            <w:tcW w:w="8193" w:type="dxa"/>
            <w:vAlign w:val="center"/>
          </w:tcPr>
          <w:tbl>
            <w:tblPr>
              <w:tblStyle w:val="42"/>
              <w:tblW w:w="8147" w:type="dxa"/>
              <w:jc w:val="center"/>
              <w:tblCellSpacing w:w="0" w:type="dxa"/>
              <w:tblLayout w:type="fixed"/>
              <w:tblCellMar>
                <w:top w:w="30" w:type="dxa"/>
                <w:left w:w="30" w:type="dxa"/>
                <w:bottom w:w="30" w:type="dxa"/>
                <w:right w:w="30" w:type="dxa"/>
              </w:tblCellMar>
            </w:tblPr>
            <w:tblGrid>
              <w:gridCol w:w="8147"/>
            </w:tblGrid>
            <w:tr>
              <w:tblPrEx>
                <w:tblCellMar>
                  <w:top w:w="30" w:type="dxa"/>
                  <w:left w:w="30" w:type="dxa"/>
                  <w:bottom w:w="30" w:type="dxa"/>
                  <w:right w:w="30" w:type="dxa"/>
                </w:tblCellMar>
              </w:tblPrEx>
              <w:trPr>
                <w:tblCellSpacing w:w="0" w:type="dxa"/>
                <w:jc w:val="center"/>
              </w:trPr>
              <w:tc>
                <w:tcPr>
                  <w:tcW w:w="8147" w:type="dxa"/>
                </w:tcPr>
                <w:p>
                  <w:pPr>
                    <w:spacing w:line="360" w:lineRule="auto"/>
                    <w:rPr>
                      <w:rFonts w:ascii="宋体" w:hAnsi="宋体" w:cs="宋体"/>
                      <w:b/>
                      <w:bCs/>
                      <w:kern w:val="0"/>
                      <w:szCs w:val="21"/>
                    </w:rPr>
                  </w:pPr>
                  <w:r>
                    <w:rPr>
                      <w:rFonts w:hint="eastAsia" w:ascii="宋体" w:hAnsi="宋体" w:cs="宋体"/>
                      <w:b/>
                      <w:bCs/>
                      <w:kern w:val="0"/>
                      <w:szCs w:val="21"/>
                    </w:rPr>
                    <w:t>申请人的</w:t>
                  </w:r>
                  <w:bookmarkStart w:id="21" w:name="_Hlk235714141"/>
                  <w:r>
                    <w:rPr>
                      <w:rFonts w:hint="eastAsia" w:ascii="宋体" w:hAnsi="宋体" w:cs="宋体"/>
                      <w:b/>
                      <w:bCs/>
                      <w:kern w:val="0"/>
                      <w:szCs w:val="21"/>
                    </w:rPr>
                    <w:t>资格要求</w:t>
                  </w:r>
                  <w:bookmarkEnd w:id="21"/>
                  <w:r>
                    <w:rPr>
                      <w:rFonts w:hint="eastAsia" w:ascii="宋体" w:hAnsi="宋体" w:cs="宋体"/>
                      <w:b/>
                      <w:bCs/>
                      <w:kern w:val="0"/>
                      <w:szCs w:val="21"/>
                    </w:rPr>
                    <w:t>：</w:t>
                  </w:r>
                </w:p>
                <w:p>
                  <w:pPr>
                    <w:ind w:firstLine="420" w:firstLineChars="200"/>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bookmarkStart w:id="22" w:name="_Hlk72162904"/>
                  <w:r>
                    <w:rPr>
                      <w:rFonts w:hint="eastAsia" w:ascii="宋体" w:hAnsi="宋体" w:cs="宋体"/>
                      <w:kern w:val="0"/>
                      <w:szCs w:val="21"/>
                    </w:rPr>
                    <w:t>具有独立承担民事责任的能力（提供营业执照或事业单位法人证书等证明资料扫描件，原件备查，分支机构参与投标的，须同时提供分支机构营业执照、其总公司的营业执照及总公司授权文件且授权书载明其民事责任由总公司承担）</w:t>
                  </w:r>
                  <w:bookmarkEnd w:id="22"/>
                  <w:r>
                    <w:rPr>
                      <w:rFonts w:hint="eastAsia"/>
                    </w:rPr>
                    <w:t>；</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r>
                    <w:rPr>
                      <w:rFonts w:hint="eastAsia" w:ascii="宋体" w:hAnsi="宋体" w:cs="宋体"/>
                      <w:color w:val="FF0000"/>
                      <w:kern w:val="0"/>
                      <w:szCs w:val="21"/>
                    </w:rPr>
                    <w:t>本项目接受联合体投标（由供应商在《政府采购投标及履约承诺函》中作出声明）</w:t>
                  </w:r>
                  <w:r>
                    <w:rPr>
                      <w:rFonts w:hint="eastAsia" w:ascii="宋体" w:hAnsi="宋体" w:cs="宋体"/>
                      <w:color w:val="FF0000"/>
                      <w:kern w:val="0"/>
                      <w:szCs w:val="21"/>
                      <w:lang w:eastAsia="zh-CN"/>
                    </w:rPr>
                    <w:t>，</w:t>
                  </w:r>
                  <w:r>
                    <w:rPr>
                      <w:rFonts w:hint="eastAsia" w:ascii="宋体" w:hAnsi="宋体" w:cs="宋体"/>
                      <w:color w:val="FF0000"/>
                      <w:kern w:val="0"/>
                      <w:szCs w:val="21"/>
                    </w:rPr>
                    <w:t>，组成联合体参加本项目的投标人不得超过2家且必须提供联合体协议书；</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参与本项目政府采购活动时不存在被有关部门禁止参与政府采购活动且在有效期内的情况（由供应商在《政府采购投标及履约承诺函》中作出声明）；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具备《中华人民共和国政府采购法》第二十二条第一款的条件（由供应商在《政府采购投标及履约承诺函》中作出声明）；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未被列入失信被执行人、重大税收违法案件当事人名单、政府采购严重违法失信行为记录名单（由供应商在《政府采购投标及履约承诺函》中作出声明）；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6.不存在《深圳市财政局政府采购供应商信用信息管理办法》（深财规〔2023〕3号）列明的严重违法失信行为（由供应商在《政府采购投标及履约承诺函》中作出声明）；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7.为采购项目提供整体设计、规范编制或者项目管理、监理、检测等服务的供应商，不得再参加该采购项目的其他采购活动（由供应商在《政府采购投标及履约承诺函》中作出声明）；</w:t>
                  </w:r>
                </w:p>
                <w:p>
                  <w:pPr>
                    <w:pStyle w:val="192"/>
                    <w:ind w:firstLine="420" w:firstLineChars="200"/>
                    <w:rPr>
                      <w:color w:val="000000" w:themeColor="text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pStyle w:val="192"/>
                    <w:ind w:firstLine="420" w:firstLineChars="200"/>
                    <w:rPr>
                      <w:rFonts w:hint="eastAsia"/>
                    </w:rPr>
                  </w:pPr>
                  <w:r>
                    <w:rPr>
                      <w:rFonts w:hint="eastAsia"/>
                    </w:rPr>
                    <w:t>9.本项目不专门面向中小企业采购。</w:t>
                  </w:r>
                </w:p>
                <w:p>
                  <w:pPr>
                    <w:pStyle w:val="192"/>
                    <w:ind w:firstLine="420" w:firstLineChars="200"/>
                    <w:rPr>
                      <w:rFonts w:hint="eastAsia"/>
                    </w:rPr>
                  </w:pPr>
                  <w:r>
                    <w:rPr>
                      <w:rFonts w:hint="eastAsia"/>
                    </w:rPr>
                    <w:t>10.本项目允许投标人将</w:t>
                  </w:r>
                  <w:r>
                    <w:rPr>
                      <w:rFonts w:hint="eastAsia"/>
                      <w:lang w:eastAsia="zh-CN"/>
                    </w:rPr>
                    <w:t>电梯维保</w:t>
                  </w:r>
                  <w:r>
                    <w:rPr>
                      <w:rFonts w:hint="eastAsia"/>
                    </w:rPr>
                    <w:t>工作分包：</w:t>
                  </w:r>
                </w:p>
                <w:p>
                  <w:pPr>
                    <w:pStyle w:val="192"/>
                    <w:ind w:firstLine="420" w:firstLineChars="200"/>
                    <w:rPr>
                      <w:rFonts w:hint="eastAsia"/>
                    </w:rPr>
                  </w:pPr>
                  <w:r>
                    <w:rPr>
                      <w:rFonts w:hint="eastAsia"/>
                    </w:rPr>
                    <w:t>（1）若不分包，投标人须具有特种设备维护保养相应许可。</w:t>
                  </w:r>
                </w:p>
                <w:p>
                  <w:pPr>
                    <w:pStyle w:val="192"/>
                    <w:ind w:firstLine="420" w:firstLineChars="200"/>
                    <w:rPr>
                      <w:rFonts w:hint="eastAsia"/>
                    </w:rPr>
                  </w:pPr>
                  <w:r>
                    <w:rPr>
                      <w:rFonts w:hint="eastAsia"/>
                    </w:rPr>
                    <w:t>（2）若投标人选择分包的，分包承担主体不多于1家，且分包承担主体不得再次分包：</w:t>
                  </w:r>
                </w:p>
                <w:p>
                  <w:pPr>
                    <w:pStyle w:val="192"/>
                    <w:ind w:firstLine="420" w:firstLineChars="200"/>
                    <w:rPr>
                      <w:rFonts w:hint="eastAsia"/>
                    </w:rPr>
                  </w:pPr>
                  <w:r>
                    <w:rPr>
                      <w:rFonts w:hint="eastAsia"/>
                    </w:rPr>
                    <w:t>①须提供《分包意向协议》（格式自拟，须载明分包承担主体且加盖投标人与各分包承担主体的公章）；</w:t>
                  </w:r>
                </w:p>
                <w:p>
                  <w:pPr>
                    <w:pStyle w:val="192"/>
                    <w:ind w:firstLine="420" w:firstLineChars="200"/>
                    <w:rPr>
                      <w:rFonts w:hint="eastAsia"/>
                    </w:rPr>
                  </w:pPr>
                  <w:r>
                    <w:rPr>
                      <w:rFonts w:hint="eastAsia"/>
                    </w:rPr>
                    <w:t>②分包承担主体须具备有效的特种设备维护保养相应许可。提供证明文件扫描件，原件备查。</w:t>
                  </w:r>
                </w:p>
                <w:p>
                  <w:pPr>
                    <w:wordWrap w:val="0"/>
                    <w:ind w:firstLine="420" w:firstLineChars="200"/>
                    <w:rPr>
                      <w:rFonts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深圳市政府采购监管网”（http://zfcg.sz.gov.cn）</w:t>
                  </w:r>
                  <w:r>
                    <w:rPr>
                      <w:rFonts w:hint="eastAsia" w:asciiTheme="minorEastAsia" w:hAnsiTheme="minorEastAsia" w:eastAsiaTheme="minorEastAsia" w:cstheme="minorEastAsia"/>
                      <w:szCs w:val="21"/>
                    </w:rPr>
                    <w:t>以及深圳市、区财政部门认可的“供应商诚信档案库”</w:t>
                  </w:r>
                  <w:r>
                    <w:rPr>
                      <w:rFonts w:hint="eastAsia" w:ascii="宋体" w:hAnsi="宋体" w:cs="宋体"/>
                      <w:kern w:val="0"/>
                      <w:szCs w:val="21"/>
                    </w:rPr>
                    <w:t>为供应商信用信息的查询渠道，相关信息以开标当日的查询结果为准；</w:t>
                  </w:r>
                </w:p>
                <w:p>
                  <w:pPr>
                    <w:ind w:firstLine="420" w:firstLineChars="200"/>
                    <w:rPr>
                      <w:rFonts w:ascii="宋体" w:hAnsi="宋体"/>
                    </w:rPr>
                  </w:pPr>
                  <w:r>
                    <w:rPr>
                      <w:rFonts w:hint="eastAsia" w:ascii="宋体" w:hAnsi="宋体"/>
                    </w:rPr>
                    <w:t>（2）供应商投标（上传投标文件）必须先行办理注册手续，具体请按照本公告“六、其他补充事宜</w:t>
                  </w:r>
                  <w:r>
                    <w:rPr>
                      <w:rFonts w:ascii="宋体" w:hAnsi="宋体"/>
                    </w:rPr>
                    <w:t>”</w:t>
                  </w:r>
                  <w:r>
                    <w:rPr>
                      <w:rFonts w:hint="eastAsia" w:ascii="宋体" w:hAnsi="宋体"/>
                    </w:rPr>
                    <w:t>相关内容指引办理。</w:t>
                  </w:r>
                </w:p>
                <w:p>
                  <w:pPr>
                    <w:spacing w:beforeAutospacing="1" w:afterAutospacing="1"/>
                    <w:ind w:firstLine="441" w:firstLineChars="200"/>
                    <w:rPr>
                      <w:rFonts w:ascii="宋体" w:hAnsi="宋体" w:cs="宋体"/>
                      <w:sz w:val="24"/>
                    </w:rPr>
                  </w:pPr>
                  <w:r>
                    <w:rPr>
                      <w:rFonts w:hint="eastAsia"/>
                      <w:b/>
                      <w:sz w:val="22"/>
                      <w:szCs w:val="18"/>
                    </w:rPr>
                    <w:t>完整公告内容详见：深圳公共资源交易网（</w:t>
                  </w:r>
                  <w:r>
                    <w:rPr>
                      <w:b/>
                      <w:sz w:val="22"/>
                      <w:szCs w:val="18"/>
                    </w:rPr>
                    <w:t>https://www.szggzy.com</w:t>
                  </w:r>
                  <w:r>
                    <w:rPr>
                      <w:rFonts w:hint="eastAsia"/>
                      <w:b/>
                      <w:sz w:val="22"/>
                      <w:szCs w:val="18"/>
                    </w:rPr>
                    <w:t>）</w:t>
                  </w:r>
                </w:p>
              </w:tc>
            </w:tr>
          </w:tbl>
          <w:p>
            <w:pPr>
              <w:rPr>
                <w:rFonts w:ascii="宋体" w:hAnsi="宋体" w:cs="宋体"/>
                <w:sz w:val="24"/>
              </w:rPr>
            </w:pPr>
          </w:p>
        </w:tc>
      </w:tr>
    </w:tbl>
    <w:p/>
    <w:p>
      <w:pPr>
        <w:pStyle w:val="7"/>
        <w:rPr>
          <w:sz w:val="28"/>
          <w:szCs w:val="28"/>
        </w:rPr>
      </w:pPr>
      <w:r>
        <w:rPr>
          <w:rFonts w:hint="eastAsia"/>
          <w:sz w:val="28"/>
          <w:szCs w:val="28"/>
        </w:rPr>
        <w:t>第二章 对通用条款的补充内容及其他关键信息</w:t>
      </w:r>
    </w:p>
    <w:p>
      <w:pPr>
        <w:pStyle w:val="7"/>
        <w:spacing w:before="120" w:beforeLines="50" w:after="120" w:afterLines="50"/>
        <w:rPr>
          <w:sz w:val="28"/>
          <w:szCs w:val="28"/>
        </w:rPr>
      </w:pPr>
      <w:bookmarkStart w:id="23" w:name="_Toc73518117"/>
      <w:bookmarkStart w:id="24" w:name="_Toc73521547"/>
      <w:bookmarkStart w:id="25" w:name="_Toc73517639"/>
      <w:bookmarkStart w:id="26" w:name="_Toc60560625"/>
      <w:bookmarkStart w:id="27" w:name="_Toc100052364"/>
      <w:bookmarkStart w:id="28" w:name="_Toc101074876"/>
      <w:bookmarkStart w:id="29" w:name="_Toc73521635"/>
      <w:bookmarkStart w:id="30" w:name="_Toc60631620"/>
      <w:r>
        <w:rPr>
          <w:rFonts w:hint="eastAsia"/>
          <w:szCs w:val="24"/>
        </w:rPr>
        <w:t>一、对通用条款的补充内容</w:t>
      </w:r>
    </w:p>
    <w:bookmarkEnd w:id="23"/>
    <w:bookmarkEnd w:id="24"/>
    <w:bookmarkEnd w:id="25"/>
    <w:bookmarkEnd w:id="26"/>
    <w:bookmarkEnd w:id="27"/>
    <w:bookmarkEnd w:id="28"/>
    <w:bookmarkEnd w:id="29"/>
    <w:bookmarkEnd w:id="30"/>
    <w:tbl>
      <w:tblPr>
        <w:tblStyle w:val="42"/>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b/>
                <w:bCs/>
              </w:rPr>
            </w:pPr>
            <w:r>
              <w:rPr>
                <w:rFonts w:hint="eastAsia" w:ascii="宋体" w:hAnsi="宋体"/>
                <w:b/>
                <w:bCs/>
              </w:rPr>
              <w:t>通用条款序号</w:t>
            </w:r>
          </w:p>
        </w:tc>
        <w:tc>
          <w:tcPr>
            <w:tcW w:w="2409" w:type="dxa"/>
            <w:vAlign w:val="center"/>
          </w:tcPr>
          <w:p>
            <w:pPr>
              <w:jc w:val="center"/>
              <w:rPr>
                <w:rFonts w:ascii="宋体" w:hAnsi="宋体"/>
                <w:b/>
                <w:bCs/>
              </w:rPr>
            </w:pPr>
            <w:r>
              <w:rPr>
                <w:rFonts w:hint="eastAsia" w:ascii="宋体" w:hAnsi="宋体"/>
                <w:b/>
                <w:bCs/>
              </w:rPr>
              <w:t>涉及事项</w:t>
            </w:r>
          </w:p>
        </w:tc>
        <w:tc>
          <w:tcPr>
            <w:tcW w:w="4980" w:type="dxa"/>
            <w:vAlign w:val="center"/>
          </w:tcPr>
          <w:p>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.1</w:t>
            </w:r>
          </w:p>
        </w:tc>
        <w:tc>
          <w:tcPr>
            <w:tcW w:w="2409" w:type="dxa"/>
            <w:vAlign w:val="center"/>
          </w:tcPr>
          <w:p>
            <w:pPr>
              <w:jc w:val="center"/>
            </w:pPr>
            <w:r>
              <w:rPr>
                <w:rFonts w:hint="eastAsia"/>
              </w:rPr>
              <w:t>采购人</w:t>
            </w:r>
          </w:p>
        </w:tc>
        <w:tc>
          <w:tcPr>
            <w:tcW w:w="4980" w:type="dxa"/>
            <w:vAlign w:val="center"/>
          </w:tcPr>
          <w:p>
            <w:pPr>
              <w:jc w:val="left"/>
              <w:rPr>
                <w:rFonts w:ascii="宋体" w:hAnsi="宋体"/>
              </w:rPr>
            </w:pPr>
            <w:r>
              <w:rPr>
                <w:rFonts w:hint="eastAsia" w:ascii="宋体" w:hAnsi="宋体"/>
              </w:rPr>
              <w:t>深圳市盐田区城市管理和综合执法局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.2</w:t>
            </w:r>
          </w:p>
        </w:tc>
        <w:tc>
          <w:tcPr>
            <w:tcW w:w="2409" w:type="dxa"/>
            <w:vAlign w:val="center"/>
          </w:tcPr>
          <w:p>
            <w:pPr>
              <w:jc w:val="center"/>
              <w:rPr>
                <w:rFonts w:ascii="宋体" w:hAnsi="宋体"/>
              </w:rPr>
            </w:pPr>
            <w:r>
              <w:rPr>
                <w:rFonts w:hint="eastAsia" w:ascii="宋体" w:hAnsi="宋体"/>
              </w:rPr>
              <w:t>政府集中采购机构</w:t>
            </w:r>
          </w:p>
        </w:tc>
        <w:tc>
          <w:tcPr>
            <w:tcW w:w="4980" w:type="dxa"/>
            <w:vAlign w:val="center"/>
          </w:tcPr>
          <w:p>
            <w:pPr>
              <w:jc w:val="left"/>
              <w:rPr>
                <w:rFonts w:ascii="宋体" w:hAnsi="宋体" w:cs="宋体"/>
                <w:kern w:val="0"/>
                <w:szCs w:val="21"/>
              </w:rPr>
            </w:pPr>
            <w:r>
              <w:rPr>
                <w:rFonts w:hint="eastAsia" w:ascii="宋体" w:hAnsi="宋体" w:cs="宋体"/>
                <w:kern w:val="0"/>
                <w:szCs w:val="21"/>
              </w:rPr>
              <w:t>深圳公共资源交易中心</w:t>
            </w:r>
          </w:p>
          <w:p>
            <w:pPr>
              <w:jc w:val="left"/>
              <w:rPr>
                <w:rFonts w:ascii="宋体" w:hAnsi="宋体"/>
              </w:rPr>
            </w:pPr>
            <w:r>
              <w:rPr>
                <w:rFonts w:hint="eastAsia" w:ascii="宋体" w:hAnsi="宋体" w:cs="宋体"/>
                <w:kern w:val="0"/>
                <w:szCs w:val="21"/>
              </w:rPr>
              <w:t>（深圳交易集团有限公司</w:t>
            </w:r>
            <w:r>
              <w:rPr>
                <w:rFonts w:hint="eastAsia" w:ascii="宋体" w:hAnsi="宋体" w:cs="宋体"/>
                <w:kern w:val="0"/>
                <w:szCs w:val="21"/>
                <w:lang w:eastAsia="zh-CN"/>
              </w:rPr>
              <w:t>盐田</w:t>
            </w:r>
            <w:r>
              <w:rPr>
                <w:rFonts w:hint="eastAsia" w:ascii="宋体" w:hAnsi="宋体" w:cs="宋体"/>
                <w:kern w:val="0"/>
                <w:szCs w:val="21"/>
              </w:rPr>
              <w:t>分公司）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9</w:t>
            </w:r>
          </w:p>
        </w:tc>
        <w:tc>
          <w:tcPr>
            <w:tcW w:w="2409" w:type="dxa"/>
            <w:vAlign w:val="center"/>
          </w:tcPr>
          <w:p>
            <w:pPr>
              <w:jc w:val="center"/>
              <w:rPr>
                <w:rFonts w:ascii="宋体" w:hAnsi="宋体"/>
              </w:rPr>
            </w:pPr>
            <w:r>
              <w:rPr>
                <w:rFonts w:hint="eastAsia" w:ascii="宋体" w:hAnsi="宋体"/>
              </w:rPr>
              <w:t>踏勘现场</w:t>
            </w:r>
          </w:p>
        </w:tc>
        <w:tc>
          <w:tcPr>
            <w:tcW w:w="4980" w:type="dxa"/>
            <w:vAlign w:val="center"/>
          </w:tcPr>
          <w:p>
            <w:pPr>
              <w:jc w:val="left"/>
              <w:rPr>
                <w:rFonts w:ascii="宋体" w:hAnsi="宋体"/>
              </w:rPr>
            </w:pPr>
            <w:r>
              <w:rPr>
                <w:rFonts w:ascii="宋体" w:hAnsi="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1</w:t>
            </w:r>
            <w:r>
              <w:rPr>
                <w:rFonts w:ascii="宋体" w:hAnsi="宋体"/>
              </w:rPr>
              <w:t>0</w:t>
            </w:r>
          </w:p>
        </w:tc>
        <w:tc>
          <w:tcPr>
            <w:tcW w:w="2409" w:type="dxa"/>
            <w:vAlign w:val="center"/>
          </w:tcPr>
          <w:p>
            <w:pPr>
              <w:jc w:val="center"/>
              <w:rPr>
                <w:rFonts w:ascii="宋体" w:hAnsi="宋体"/>
              </w:rPr>
            </w:pPr>
            <w:r>
              <w:rPr>
                <w:rFonts w:hint="eastAsia" w:ascii="宋体" w:hAnsi="宋体"/>
              </w:rPr>
              <w:t>标前会议</w:t>
            </w:r>
          </w:p>
        </w:tc>
        <w:tc>
          <w:tcPr>
            <w:tcW w:w="4980" w:type="dxa"/>
            <w:vAlign w:val="center"/>
          </w:tcPr>
          <w:p>
            <w:pPr>
              <w:jc w:val="left"/>
              <w:rPr>
                <w:rFonts w:ascii="宋体" w:hAnsi="宋体"/>
              </w:rPr>
            </w:pPr>
            <w:r>
              <w:rPr>
                <w:rFonts w:ascii="宋体" w:hAnsi="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vAlign w:val="center"/>
          </w:tcPr>
          <w:p>
            <w:pPr>
              <w:jc w:val="center"/>
              <w:rPr>
                <w:rFonts w:ascii="宋体" w:hAnsi="宋体"/>
              </w:rPr>
            </w:pPr>
            <w:r>
              <w:rPr>
                <w:rFonts w:hint="eastAsia" w:ascii="宋体" w:hAnsi="宋体"/>
              </w:rPr>
              <w:t>招标文件的澄清和修改</w:t>
            </w:r>
          </w:p>
        </w:tc>
        <w:tc>
          <w:tcPr>
            <w:tcW w:w="4980" w:type="dxa"/>
            <w:shd w:val="clear" w:color="auto" w:fill="auto"/>
            <w:vAlign w:val="center"/>
          </w:tcPr>
          <w:p>
            <w:pPr>
              <w:jc w:val="left"/>
              <w:rPr>
                <w:rFonts w:ascii="宋体" w:hAnsi="宋体"/>
              </w:rPr>
            </w:pPr>
            <w:r>
              <w:rPr>
                <w:rFonts w:hint="eastAsia" w:ascii="宋体" w:hAnsi="宋体"/>
              </w:rPr>
              <w:t>投标截止日三日前（详见招标公告），投标人有义务在招标期间在政府集中采购机构网站浏览与本项目有关的澄清和修改信息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0</w:t>
            </w:r>
          </w:p>
        </w:tc>
        <w:tc>
          <w:tcPr>
            <w:tcW w:w="2409" w:type="dxa"/>
            <w:vAlign w:val="center"/>
          </w:tcPr>
          <w:p>
            <w:pPr>
              <w:jc w:val="center"/>
              <w:rPr>
                <w:rFonts w:ascii="宋体" w:hAnsi="宋体"/>
              </w:rPr>
            </w:pPr>
            <w:r>
              <w:rPr>
                <w:rFonts w:hint="eastAsia" w:ascii="宋体" w:hAnsi="宋体"/>
              </w:rPr>
              <w:t>投标有效期</w:t>
            </w:r>
          </w:p>
        </w:tc>
        <w:tc>
          <w:tcPr>
            <w:tcW w:w="4980" w:type="dxa"/>
            <w:shd w:val="clear" w:color="auto" w:fill="auto"/>
            <w:vAlign w:val="center"/>
          </w:tcPr>
          <w:p>
            <w:pPr>
              <w:jc w:val="left"/>
              <w:rPr>
                <w:rFonts w:ascii="宋体" w:hAnsi="宋体"/>
              </w:rPr>
            </w:pPr>
            <w:r>
              <w:rPr>
                <w:rFonts w:hint="eastAsia" w:ascii="宋体" w:hAnsi="宋体"/>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2</w:t>
            </w:r>
          </w:p>
        </w:tc>
        <w:tc>
          <w:tcPr>
            <w:tcW w:w="2409" w:type="dxa"/>
            <w:vAlign w:val="center"/>
          </w:tcPr>
          <w:p>
            <w:pPr>
              <w:jc w:val="center"/>
              <w:rPr>
                <w:rFonts w:ascii="宋体" w:hAnsi="宋体"/>
              </w:rPr>
            </w:pPr>
            <w:r>
              <w:rPr>
                <w:rFonts w:hint="eastAsia" w:ascii="宋体" w:hAnsi="宋体"/>
              </w:rPr>
              <w:t>投标人的替代方案</w:t>
            </w:r>
          </w:p>
        </w:tc>
        <w:tc>
          <w:tcPr>
            <w:tcW w:w="4980" w:type="dxa"/>
            <w:shd w:val="clear" w:color="auto" w:fill="auto"/>
            <w:vAlign w:val="center"/>
          </w:tcPr>
          <w:p>
            <w:pPr>
              <w:jc w:val="left"/>
              <w:rPr>
                <w:rFonts w:ascii="宋体" w:hAnsi="宋体"/>
              </w:rPr>
            </w:pPr>
            <w:r>
              <w:rPr>
                <w:rFonts w:hint="eastAsia" w:ascii="宋体" w:hAnsi="宋体"/>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5</w:t>
            </w:r>
          </w:p>
        </w:tc>
        <w:tc>
          <w:tcPr>
            <w:tcW w:w="2409" w:type="dxa"/>
            <w:vAlign w:val="center"/>
          </w:tcPr>
          <w:p>
            <w:pPr>
              <w:jc w:val="center"/>
              <w:rPr>
                <w:rFonts w:ascii="宋体" w:hAnsi="宋体"/>
              </w:rPr>
            </w:pPr>
            <w:r>
              <w:rPr>
                <w:rFonts w:hint="eastAsia" w:ascii="宋体" w:hAnsi="宋体"/>
              </w:rPr>
              <w:t>投标文件的大小</w:t>
            </w:r>
          </w:p>
        </w:tc>
        <w:tc>
          <w:tcPr>
            <w:tcW w:w="4980" w:type="dxa"/>
            <w:shd w:val="clear" w:color="auto" w:fill="auto"/>
            <w:vAlign w:val="center"/>
          </w:tcPr>
          <w:p>
            <w:pPr>
              <w:jc w:val="left"/>
              <w:rPr>
                <w:rFonts w:ascii="宋体" w:hAnsi="宋体"/>
              </w:rPr>
            </w:pPr>
            <w:r>
              <w:rPr>
                <w:rFonts w:hint="eastAsia" w:ascii="宋体" w:hAnsi="宋体"/>
              </w:rPr>
              <w:t>投标文件大小不得超过</w:t>
            </w:r>
            <w:r>
              <w:rPr>
                <w:rFonts w:ascii="宋体" w:hAnsi="宋体"/>
              </w:rPr>
              <w:t>25</w:t>
            </w:r>
            <w:r>
              <w:rPr>
                <w:rFonts w:hint="eastAsia" w:ascii="宋体" w:hAnsi="宋体"/>
              </w:rPr>
              <w:t>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6</w:t>
            </w:r>
          </w:p>
        </w:tc>
        <w:tc>
          <w:tcPr>
            <w:tcW w:w="2409" w:type="dxa"/>
            <w:vAlign w:val="center"/>
          </w:tcPr>
          <w:p>
            <w:pPr>
              <w:jc w:val="center"/>
              <w:rPr>
                <w:rFonts w:ascii="宋体" w:hAnsi="宋体"/>
              </w:rPr>
            </w:pPr>
            <w:bookmarkStart w:id="31" w:name="_Hlk71664860"/>
            <w:r>
              <w:rPr>
                <w:rFonts w:hint="eastAsia" w:ascii="宋体" w:hAnsi="宋体"/>
              </w:rPr>
              <w:t>样品、现场演示、方案讲解</w:t>
            </w:r>
            <w:bookmarkEnd w:id="31"/>
          </w:p>
        </w:tc>
        <w:tc>
          <w:tcPr>
            <w:tcW w:w="4980" w:type="dxa"/>
            <w:vAlign w:val="center"/>
          </w:tcPr>
          <w:p>
            <w:pPr>
              <w:jc w:val="left"/>
              <w:rPr>
                <w:rFonts w:ascii="宋体" w:hAnsi="宋体"/>
              </w:rPr>
            </w:pPr>
            <w:r>
              <w:rPr>
                <w:rFonts w:hint="eastAsia" w:ascii="宋体" w:hAnsi="宋体"/>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7</w:t>
            </w:r>
          </w:p>
        </w:tc>
        <w:tc>
          <w:tcPr>
            <w:tcW w:w="2409" w:type="dxa"/>
            <w:vAlign w:val="center"/>
          </w:tcPr>
          <w:p>
            <w:pPr>
              <w:jc w:val="center"/>
              <w:rPr>
                <w:rFonts w:ascii="宋体" w:hAnsi="宋体"/>
              </w:rPr>
            </w:pPr>
            <w:r>
              <w:rPr>
                <w:rFonts w:hint="eastAsia" w:ascii="宋体" w:hAnsi="宋体"/>
              </w:rPr>
              <w:t>评审方法</w:t>
            </w:r>
          </w:p>
        </w:tc>
        <w:tc>
          <w:tcPr>
            <w:tcW w:w="4980" w:type="dxa"/>
            <w:vAlign w:val="center"/>
          </w:tcPr>
          <w:p>
            <w:pPr>
              <w:jc w:val="left"/>
              <w:rPr>
                <w:rFonts w:ascii="宋体" w:hAnsi="宋体"/>
              </w:rPr>
            </w:pPr>
            <w:r>
              <w:rPr>
                <w:rFonts w:hint="eastAsia" w:asciiTheme="minorEastAsia" w:hAnsiTheme="minorEastAsia" w:eastAsiaTheme="minorEastAsia"/>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8</w:t>
            </w:r>
          </w:p>
        </w:tc>
        <w:tc>
          <w:tcPr>
            <w:tcW w:w="2409" w:type="dxa"/>
            <w:vAlign w:val="center"/>
          </w:tcPr>
          <w:p>
            <w:pPr>
              <w:jc w:val="center"/>
              <w:rPr>
                <w:rFonts w:ascii="宋体" w:hAnsi="宋体"/>
              </w:rPr>
            </w:pPr>
            <w:r>
              <w:rPr>
                <w:rFonts w:hint="eastAsia" w:ascii="宋体" w:hAnsi="宋体"/>
              </w:rPr>
              <w:t>是否为评定分离</w:t>
            </w:r>
          </w:p>
        </w:tc>
        <w:tc>
          <w:tcPr>
            <w:tcW w:w="4980" w:type="dxa"/>
            <w:vAlign w:val="center"/>
          </w:tcPr>
          <w:p>
            <w:pPr>
              <w:jc w:val="left"/>
            </w:pPr>
            <w:r>
              <w:rPr>
                <w:rFonts w:hint="eastAsia" w:asciiTheme="minorEastAsia" w:hAnsiTheme="minorEastAsia" w:eastAsiaTheme="minorEastAsia"/>
              </w:rPr>
              <w:t>评定分离，</w:t>
            </w:r>
          </w:p>
          <w:p>
            <w:pPr>
              <w:jc w:val="left"/>
              <w:rPr>
                <w:rFonts w:ascii="宋体" w:hAnsi="宋体"/>
              </w:rPr>
            </w:pPr>
            <w:r>
              <w:rPr>
                <w:rFonts w:hint="eastAsia" w:asciiTheme="minorEastAsia" w:hAnsiTheme="minorEastAsia" w:eastAsiaTheme="minorEastAsia"/>
              </w:rPr>
              <w:t>本项目推荐的候选中标供应商</w:t>
            </w:r>
            <w:commentRangeStart w:id="9"/>
            <w:r>
              <w:rPr>
                <w:rFonts w:hint="eastAsia" w:asciiTheme="minorEastAsia" w:hAnsiTheme="minorEastAsia" w:eastAsiaTheme="minorEastAsia"/>
              </w:rPr>
              <w:t>不进行排名，且中标（成交）结果信息公示内容仅公示候选中标供应商名单，不公示得分和排名。</w:t>
            </w:r>
            <w:commentRangeEnd w:id="9"/>
            <w:r>
              <w:rPr>
                <w:rStyle w:val="49"/>
                <w:rFonts w:ascii="宋体"/>
                <w:kern w:val="0"/>
              </w:rPr>
              <w:commentReference w:id="9"/>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4</w:t>
            </w:r>
            <w:r>
              <w:rPr>
                <w:rFonts w:ascii="宋体" w:hAnsi="宋体"/>
              </w:rPr>
              <w:t>6</w:t>
            </w:r>
          </w:p>
        </w:tc>
        <w:tc>
          <w:tcPr>
            <w:tcW w:w="2409" w:type="dxa"/>
            <w:vAlign w:val="center"/>
          </w:tcPr>
          <w:p>
            <w:pPr>
              <w:jc w:val="center"/>
              <w:rPr>
                <w:rFonts w:ascii="宋体" w:hAnsi="宋体"/>
              </w:rPr>
            </w:pPr>
            <w:r>
              <w:rPr>
                <w:rFonts w:hint="eastAsia" w:ascii="宋体" w:hAnsi="宋体"/>
              </w:rPr>
              <w:t>履约担保</w:t>
            </w:r>
          </w:p>
        </w:tc>
        <w:tc>
          <w:tcPr>
            <w:tcW w:w="4980" w:type="dxa"/>
            <w:vAlign w:val="center"/>
          </w:tcPr>
          <w:p>
            <w:pPr>
              <w:jc w:val="left"/>
              <w:rPr>
                <w:rFonts w:ascii="宋体" w:hAnsi="宋体"/>
              </w:rPr>
            </w:pPr>
            <w:r>
              <w:rPr>
                <w:rFonts w:hint="eastAsia" w:ascii="宋体" w:hAnsi="宋体"/>
              </w:rPr>
              <w:t>不需要</w:t>
            </w:r>
          </w:p>
        </w:tc>
      </w:tr>
    </w:tbl>
    <w:p>
      <w:pPr>
        <w:rPr>
          <w:b/>
        </w:rPr>
      </w:pPr>
      <w:r>
        <w:rPr>
          <w:rFonts w:hint="eastAsia"/>
          <w:szCs w:val="21"/>
        </w:rPr>
        <w:t>备注：本表是通用条款相关条款的补充和明确，如与通用条款内容相冲突的，以本表为准。</w:t>
      </w:r>
    </w:p>
    <w:p>
      <w:pPr>
        <w:rPr>
          <w:b/>
        </w:rPr>
      </w:pPr>
    </w:p>
    <w:p>
      <w:pPr>
        <w:pStyle w:val="7"/>
        <w:spacing w:before="120" w:beforeLines="50" w:after="120" w:afterLines="50"/>
        <w:rPr>
          <w:szCs w:val="24"/>
        </w:rPr>
      </w:pPr>
      <w:r>
        <w:rPr>
          <w:rFonts w:hint="eastAsia"/>
          <w:szCs w:val="24"/>
        </w:rPr>
        <w:t>二、其他关键信息</w:t>
      </w:r>
    </w:p>
    <w:p>
      <w:pPr>
        <w:ind w:firstLine="421" w:firstLineChars="200"/>
        <w:rPr>
          <w:b/>
          <w:bCs/>
        </w:rPr>
      </w:pPr>
      <w:r>
        <w:rPr>
          <w:rFonts w:hint="eastAsia"/>
          <w:b/>
          <w:bCs/>
        </w:rPr>
        <w:t>（一）与“对通用条款的补充内容”章节相关的事项</w:t>
      </w:r>
    </w:p>
    <w:p>
      <w:pPr>
        <w:spacing w:line="276" w:lineRule="auto"/>
        <w:ind w:firstLine="421" w:firstLineChars="200"/>
        <w:jc w:val="left"/>
        <w:rPr>
          <w:rFonts w:asciiTheme="minorEastAsia" w:hAnsiTheme="minorEastAsia" w:eastAsiaTheme="minorEastAsia"/>
          <w:b/>
          <w:kern w:val="0"/>
          <w:szCs w:val="20"/>
        </w:rPr>
      </w:pPr>
      <w:bookmarkStart w:id="32" w:name="_Hlk72579465"/>
      <w:r>
        <w:rPr>
          <w:rFonts w:hint="eastAsia" w:asciiTheme="minorEastAsia" w:hAnsiTheme="minorEastAsia" w:eastAsiaTheme="minorEastAsia"/>
          <w:b/>
          <w:kern w:val="0"/>
          <w:szCs w:val="20"/>
        </w:rPr>
        <w:t>1.评标定标信息</w:t>
      </w:r>
    </w:p>
    <w:p>
      <w:pPr>
        <w:pStyle w:val="3"/>
      </w:pPr>
    </w:p>
    <w:p>
      <w:pPr>
        <w:jc w:val="center"/>
        <w:rPr>
          <w:b/>
        </w:rPr>
      </w:pPr>
      <w:r>
        <w:rPr>
          <w:rFonts w:hint="eastAsia"/>
          <w:b/>
        </w:rPr>
        <w:t>评定分离项目</w:t>
      </w:r>
    </w:p>
    <w:tbl>
      <w:tblPr>
        <w:tblStyle w:val="19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评标方法</w:t>
            </w:r>
          </w:p>
        </w:tc>
        <w:tc>
          <w:tcPr>
            <w:tcW w:w="4265" w:type="dxa"/>
          </w:tcPr>
          <w:p>
            <w:pPr>
              <w:jc w:val="center"/>
            </w:pPr>
            <w:r>
              <w:rPr>
                <w:rFonts w:hint="eastAsia"/>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定标方法</w:t>
            </w:r>
          </w:p>
        </w:tc>
        <w:tc>
          <w:tcPr>
            <w:tcW w:w="4265" w:type="dxa"/>
          </w:tcPr>
          <w:p>
            <w:pPr>
              <w:jc w:val="center"/>
            </w:pPr>
            <w:r>
              <w:rPr>
                <w:rFonts w:hint="eastAsia"/>
              </w:rPr>
              <w:t>自定法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推荐候选中标供应商家数</w:t>
            </w:r>
          </w:p>
        </w:tc>
        <w:tc>
          <w:tcPr>
            <w:tcW w:w="4265" w:type="dxa"/>
          </w:tcPr>
          <w:p>
            <w:pPr>
              <w:jc w:val="cente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4" w:type="dxa"/>
          </w:tcPr>
          <w:p>
            <w:pPr>
              <w:jc w:val="center"/>
            </w:pPr>
            <w:r>
              <w:rPr>
                <w:rFonts w:hint="eastAsia"/>
              </w:rPr>
              <w:t>中标供应商家数</w:t>
            </w:r>
          </w:p>
        </w:tc>
        <w:tc>
          <w:tcPr>
            <w:tcW w:w="4265" w:type="dxa"/>
          </w:tcPr>
          <w:p>
            <w:pPr>
              <w:jc w:val="center"/>
            </w:pPr>
            <w:r>
              <w:rPr>
                <w:rFonts w:hint="eastAsia"/>
              </w:rPr>
              <w:t>1</w:t>
            </w:r>
          </w:p>
        </w:tc>
      </w:tr>
    </w:tbl>
    <w:p>
      <w:pPr>
        <w:ind w:firstLine="421" w:firstLineChars="200"/>
        <w:rPr>
          <w:rFonts w:ascii="宋体" w:hAnsi="宋体"/>
          <w:b/>
        </w:rPr>
      </w:pPr>
    </w:p>
    <w:bookmarkEnd w:id="32"/>
    <w:p>
      <w:pPr>
        <w:ind w:firstLine="421" w:firstLineChars="200"/>
        <w:rPr>
          <w:b/>
        </w:rPr>
      </w:pPr>
      <w:r>
        <w:rPr>
          <w:rFonts w:hint="eastAsia"/>
          <w:b/>
        </w:rPr>
        <w:t>（二）政府采购政策的有关事项说明</w:t>
      </w:r>
    </w:p>
    <w:p>
      <w:pPr>
        <w:ind w:firstLine="421" w:firstLineChars="200"/>
        <w:rPr>
          <w:b/>
          <w:bCs/>
        </w:rPr>
      </w:pPr>
      <w:r>
        <w:rPr>
          <w:rFonts w:hint="eastAsia"/>
          <w:b/>
          <w:bCs/>
        </w:rPr>
        <w:t>1.关于享受中小企业扶持政策的主体、价格扣除比例及采购标的所属行业等事项的说明</w:t>
      </w:r>
    </w:p>
    <w:p>
      <w:pPr>
        <w:ind w:firstLine="630" w:firstLineChars="300"/>
      </w:pPr>
      <w:r>
        <w:rPr>
          <w:rFonts w:hint="eastAsia"/>
        </w:rPr>
        <w:t>（1）适用主体：中型企业、小型、微型企业（残疾人福利性单位视同小型、微型企业；监狱企业视同小型、微型企业）。接受联合体的项目，供应商以联合体形式参加政府采购活动，联合体各方均为中小企业的，联合体视同中小企业。其中，联合体各方均为小微企业的，联合体视同小微企业。</w:t>
      </w:r>
    </w:p>
    <w:p>
      <w:pPr>
        <w:ind w:firstLine="420" w:firstLineChars="200"/>
      </w:pPr>
      <w:r>
        <w:rPr>
          <w:rFonts w:hint="eastAsia"/>
        </w:rPr>
        <w:t>备注：(a</w:t>
      </w:r>
      <w:r>
        <w:t>)</w:t>
      </w:r>
      <w:r>
        <w:rPr>
          <w:rFonts w:hint="eastAsia"/>
        </w:rPr>
        <w:t>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t>b</w:t>
      </w:r>
      <w:r>
        <w:rPr>
          <w:rFonts w:hint="eastAsia" w:ascii="Calibri" w:hAnsi="Calibri"/>
          <w:szCs w:val="22"/>
        </w:rPr>
        <w:t>在货物采购项目中，货物由中小企业制造，即货物由中小企业生产且使用该中小企业商号或者注册商标</w:t>
      </w:r>
      <w:r>
        <w:rPr>
          <w:rFonts w:hint="eastAsia"/>
          <w:szCs w:val="22"/>
        </w:rPr>
        <w:t>（供应商提供的货物既有中小企业制造货物，也有大型企业制造货物的，不享受中小企业扶持政策）</w:t>
      </w:r>
      <w:r>
        <w:rPr>
          <w:rFonts w:hint="eastAsia" w:ascii="Calibri" w:hAnsi="Calibri"/>
          <w:szCs w:val="22"/>
        </w:rPr>
        <w:t>；在工程采购项目中，工程由中小企业承建，即工程施工单位为中小企业</w:t>
      </w:r>
      <w:r>
        <w:rPr>
          <w:rFonts w:hint="eastAsia"/>
          <w:szCs w:val="22"/>
        </w:rPr>
        <w:t>；在服务采购项目中，服务由中小企业承接，即提供服务的人员为中小企业依照《中华人民共和国劳动合同法》订立劳动合同的从业人员。</w:t>
      </w:r>
    </w:p>
    <w:p>
      <w:pPr>
        <w:ind w:firstLine="630" w:firstLineChars="300"/>
      </w:pPr>
      <w:r>
        <w:rPr>
          <w:rFonts w:hint="eastAsia"/>
        </w:rPr>
        <w:t>（2）预留份额专门面向中小企业采购的项目，不再执行价格扣除比例。</w:t>
      </w:r>
    </w:p>
    <w:p>
      <w:pPr>
        <w:ind w:firstLine="630" w:firstLineChars="300"/>
      </w:pPr>
      <w:r>
        <w:rPr>
          <w:rFonts w:hint="eastAsia"/>
        </w:rPr>
        <w:t>（3）未预留份额专门面向中小企业采购的项目，应执行价格扣除比例：供应商提供的服务</w:t>
      </w:r>
      <w:r>
        <w:rPr>
          <w:rFonts w:hint="eastAsia"/>
          <w:b/>
          <w:bCs/>
          <w:color w:val="FF0000"/>
        </w:rPr>
        <w:t>全部由小型、微型企业承接</w:t>
      </w:r>
      <w:r>
        <w:rPr>
          <w:rFonts w:hint="eastAsia"/>
        </w:rPr>
        <w:t>，则对其投标总价给予</w:t>
      </w:r>
      <w:r>
        <w:rPr>
          <w:b/>
          <w:bCs/>
          <w:color w:val="FF0000"/>
          <w:u w:val="single"/>
        </w:rPr>
        <w:t xml:space="preserve">  </w:t>
      </w:r>
      <w:r>
        <w:rPr>
          <w:rFonts w:hint="eastAsia"/>
          <w:b/>
          <w:bCs/>
          <w:color w:val="FF0000"/>
          <w:u w:val="single"/>
        </w:rPr>
        <w:t xml:space="preserve"> </w:t>
      </w:r>
      <w:r>
        <w:rPr>
          <w:rFonts w:hint="eastAsia"/>
          <w:b/>
          <w:bCs/>
          <w:color w:val="FF0000"/>
          <w:u w:val="single"/>
          <w:lang w:val="en-US" w:eastAsia="zh-CN"/>
        </w:rPr>
        <w:t>10</w:t>
      </w:r>
      <w:r>
        <w:rPr>
          <w:rFonts w:hint="eastAsia"/>
          <w:b/>
          <w:bCs/>
          <w:color w:val="FF0000"/>
          <w:u w:val="single"/>
        </w:rPr>
        <w:t xml:space="preserve">   </w:t>
      </w:r>
      <w:r>
        <w:rPr>
          <w:b/>
          <w:bCs/>
          <w:color w:val="FF0000"/>
        </w:rPr>
        <w:t>%</w:t>
      </w:r>
      <w:r>
        <w:rPr>
          <w:rFonts w:hint="eastAsia"/>
          <w:color w:val="000000" w:themeColor="text1"/>
          <w14:textFill>
            <w14:solidFill>
              <w14:schemeClr w14:val="tx1"/>
            </w14:solidFill>
          </w14:textFill>
        </w:rPr>
        <w:t>（10%~20%）</w:t>
      </w:r>
      <w:r>
        <w:rPr>
          <w:rFonts w:hint="eastAsia"/>
        </w:rPr>
        <w:t>的扣除，用扣除后的价格参与评审。</w:t>
      </w:r>
      <w:bookmarkStart w:id="33" w:name="_Hlk235714241"/>
      <w:r>
        <w:rPr>
          <w:rFonts w:hint="eastAsia"/>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b/>
          <w:bCs/>
          <w:color w:val="FF0000"/>
          <w:u w:val="single"/>
        </w:rPr>
        <w:t xml:space="preserve">  </w:t>
      </w:r>
      <w:r>
        <w:rPr>
          <w:rFonts w:hint="eastAsia"/>
          <w:b/>
          <w:bCs/>
          <w:color w:val="FF0000"/>
          <w:u w:val="single"/>
        </w:rPr>
        <w:t xml:space="preserve"> </w:t>
      </w:r>
      <w:r>
        <w:rPr>
          <w:rFonts w:hint="eastAsia"/>
          <w:b/>
          <w:bCs/>
          <w:color w:val="FF0000"/>
          <w:u w:val="single"/>
          <w:lang w:val="en-US" w:eastAsia="zh-CN"/>
        </w:rPr>
        <w:t>4</w:t>
      </w:r>
      <w:r>
        <w:rPr>
          <w:rFonts w:hint="eastAsia"/>
          <w:b/>
          <w:bCs/>
          <w:color w:val="FF0000"/>
          <w:u w:val="single"/>
        </w:rPr>
        <w:t xml:space="preserve">  </w:t>
      </w:r>
      <w:r>
        <w:rPr>
          <w:b/>
          <w:bCs/>
          <w:color w:val="FF0000"/>
        </w:rPr>
        <w:t>%</w:t>
      </w:r>
      <w:r>
        <w:rPr>
          <w:rFonts w:hint="eastAsia"/>
          <w:color w:val="000000" w:themeColor="text1"/>
          <w14:textFill>
            <w14:solidFill>
              <w14:schemeClr w14:val="tx1"/>
            </w14:solidFill>
          </w14:textFill>
        </w:rPr>
        <w:t>（</w:t>
      </w:r>
      <w:r>
        <w:rPr>
          <w:rFonts w:hint="eastAsia"/>
        </w:rPr>
        <w:t>4%</w:t>
      </w:r>
      <w:r>
        <w:rPr>
          <w:rFonts w:hint="eastAsia"/>
          <w:color w:val="000000" w:themeColor="text1"/>
          <w14:textFill>
            <w14:solidFill>
              <w14:schemeClr w14:val="tx1"/>
            </w14:solidFill>
          </w14:textFill>
        </w:rPr>
        <w:t>~</w:t>
      </w:r>
      <w:r>
        <w:rPr>
          <w:rFonts w:hint="eastAsia"/>
        </w:rPr>
        <w:t>6%</w:t>
      </w:r>
      <w:r>
        <w:rPr>
          <w:rFonts w:hint="eastAsia"/>
          <w:color w:val="000000" w:themeColor="text1"/>
          <w14:textFill>
            <w14:solidFill>
              <w14:schemeClr w14:val="tx1"/>
            </w14:solidFill>
          </w14:textFill>
        </w:rPr>
        <w:t>）</w:t>
      </w:r>
      <w:r>
        <w:rPr>
          <w:rFonts w:hint="eastAsia"/>
        </w:rPr>
        <w:t>的扣除，用扣除后的价格参加评审。</w:t>
      </w:r>
      <w:bookmarkEnd w:id="33"/>
    </w:p>
    <w:p>
      <w:pPr>
        <w:ind w:firstLine="630" w:firstLineChars="300"/>
      </w:pPr>
      <w:r>
        <w:rPr>
          <w:rFonts w:hint="eastAsia"/>
        </w:rPr>
        <w:t>（4）</w:t>
      </w:r>
      <w:r>
        <w:rPr>
          <w:rFonts w:hint="eastAsia" w:asciiTheme="minorEastAsia" w:hAnsiTheme="minorEastAsia" w:eastAsia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hAnsi="宋体" w:cs="宋体"/>
          <w:b/>
          <w:bCs/>
          <w:color w:val="FF0000"/>
          <w:szCs w:val="21"/>
        </w:rPr>
        <w:t>《中小企业声明函》中相关企业</w:t>
      </w:r>
      <w:r>
        <w:rPr>
          <w:rFonts w:hint="eastAsia" w:ascii="宋体" w:hAnsi="宋体" w:cs="宋体"/>
          <w:b/>
          <w:bCs/>
          <w:color w:val="FF0000"/>
          <w:szCs w:val="21"/>
        </w:rPr>
        <w:t>（服务承接商）</w:t>
      </w:r>
      <w:r>
        <w:rPr>
          <w:rFonts w:ascii="宋体" w:hAnsi="宋体" w:cs="宋体"/>
          <w:b/>
          <w:bCs/>
          <w:color w:val="FF0000"/>
          <w:szCs w:val="21"/>
        </w:rPr>
        <w:t>所属行业应当与采购标的所属行业相一致</w:t>
      </w:r>
      <w:r>
        <w:rPr>
          <w:rFonts w:hint="eastAsia"/>
          <w:b/>
          <w:bCs/>
          <w:color w:val="FF0000"/>
        </w:rPr>
        <w:t>，标的所属行业以招标文件第一册第三章用户需求书“服务需求明细”的“标的所属行业”一栏为准</w:t>
      </w:r>
      <w:r>
        <w:rPr>
          <w:rFonts w:ascii="宋体" w:hAnsi="宋体" w:cs="宋体"/>
          <w:b/>
          <w:bCs/>
          <w:color w:val="FF0000"/>
          <w:szCs w:val="21"/>
        </w:rPr>
        <w:t>。</w:t>
      </w:r>
    </w:p>
    <w:p>
      <w:pPr>
        <w:ind w:firstLine="630" w:firstLineChars="300"/>
      </w:pPr>
      <w:r>
        <w:rPr>
          <w:rFonts w:hint="eastAsia" w:asciiTheme="minorEastAsia" w:hAnsiTheme="minorEastAsia" w:eastAsiaTheme="minorEastAsia" w:cstheme="minorEastAsia"/>
          <w:szCs w:val="21"/>
        </w:rPr>
        <w:t>（5）中型企业、小型、微型企业为优惠主体的认定资料为《中小企业声明函》；残疾人福利性单位为优惠主体的认定资料为《残疾人福利性单</w:t>
      </w:r>
      <w:r>
        <w:rPr>
          <w:rFonts w:hint="eastAsia"/>
        </w:rPr>
        <w:t>位声明函》；监狱企业为优惠主体的认定资料为省级以上监狱管理局、戒毒管理局出具的监狱企业证明文件。声明函样式见本招标文件第一册专用条款“第四章  投标文件组成要求及格式”中“三、投标人情况及资格证明文件”章节提供的格式）。</w:t>
      </w:r>
    </w:p>
    <w:p>
      <w:pPr>
        <w:ind w:firstLine="630" w:firstLineChars="300"/>
        <w:rPr>
          <w:color w:val="FF0000"/>
        </w:rPr>
      </w:pPr>
      <w:r>
        <w:rPr>
          <w:rFonts w:hint="eastAsia"/>
        </w:rPr>
        <w:t>（6）依据《</w:t>
      </w:r>
      <w:r>
        <w:rPr>
          <w:rFonts w:hint="eastAsia" w:asciiTheme="minorEastAsia" w:hAnsiTheme="minorEastAsia" w:eastAsiaTheme="minorEastAsia" w:cstheme="minorEastAsia"/>
          <w:szCs w:val="21"/>
        </w:rPr>
        <w:t>政府采购促进中小企业发展管理办法》</w:t>
      </w:r>
      <w:r>
        <w:rPr>
          <w:rFonts w:hint="eastAsia"/>
        </w:rPr>
        <w:t>规定享受扶持政策获得政府采购合同的，小微企业不得将合同分包给大中型企业，中型企业不得将合同分包给大型企业。</w:t>
      </w:r>
    </w:p>
    <w:p>
      <w:pPr>
        <w:ind w:firstLine="421" w:firstLineChars="200"/>
        <w:rPr>
          <w:b/>
          <w:bCs/>
        </w:rPr>
      </w:pPr>
      <w:r>
        <w:rPr>
          <w:rFonts w:hint="eastAsia"/>
          <w:b/>
          <w:bCs/>
        </w:rPr>
        <w:t>2.关于享受对本国产品的政府采购支持政策的主体、价格扣除比例等事项的说明</w:t>
      </w:r>
    </w:p>
    <w:p>
      <w:pPr>
        <w:ind w:firstLine="420" w:firstLineChars="200"/>
      </w:pPr>
      <w:r>
        <w:rPr>
          <w:rFonts w:hint="eastAsia"/>
        </w:rPr>
        <w:t>（1）适用主体：国有企业、民营企业、外资企业等各类经营主体平等享受对本国产品的政府采购支持政策。</w:t>
      </w:r>
    </w:p>
    <w:p>
      <w:pPr>
        <w:pStyle w:val="192"/>
        <w:ind w:firstLine="420" w:firstLineChars="200"/>
        <w:rPr>
          <w:rFonts w:ascii="Times New Roman" w:hAnsi="Times New Roman"/>
          <w:szCs w:val="24"/>
        </w:rPr>
      </w:pPr>
      <w:r>
        <w:rPr>
          <w:rFonts w:hint="eastAsia" w:ascii="Times New Roman" w:hAnsi="Times New Roman"/>
          <w:szCs w:val="24"/>
        </w:rPr>
        <w:t>（2）适用范围：</w:t>
      </w:r>
      <w:r>
        <w:rPr>
          <w:rFonts w:hint="eastAsia"/>
        </w:rPr>
        <w:t>本项目不适用。</w:t>
      </w:r>
    </w:p>
    <w:p>
      <w:pPr>
        <w:pStyle w:val="192"/>
        <w:ind w:firstLine="420" w:firstLineChars="200"/>
        <w:rPr>
          <w:rFonts w:ascii="Times New Roman" w:hAnsi="Times New Roman"/>
          <w:szCs w:val="24"/>
        </w:rPr>
      </w:pPr>
      <w:r>
        <w:rPr>
          <w:rFonts w:hint="eastAsia" w:ascii="Times New Roman" w:hAnsi="Times New Roman"/>
          <w:szCs w:val="24"/>
        </w:rPr>
        <w:t>（3）价格扣除：政府采购活动中既有本国产品又有非本国产品参与竞争的，依法对本国产品给予价格评审优惠，</w:t>
      </w:r>
      <w:r>
        <w:rPr>
          <w:rFonts w:hint="eastAsia" w:ascii="Times New Roman" w:hAnsi="Times New Roman"/>
          <w:b/>
          <w:bCs/>
          <w:color w:val="FF0000"/>
          <w:szCs w:val="24"/>
        </w:rPr>
        <w:t>对本国产品的报价给予20%的价格扣除</w:t>
      </w:r>
      <w:r>
        <w:rPr>
          <w:rFonts w:hint="eastAsia" w:ascii="Times New Roman" w:hAnsi="Times New Roman"/>
          <w:color w:val="000000" w:themeColor="text1"/>
          <w:szCs w:val="24"/>
          <w14:textFill>
            <w14:solidFill>
              <w14:schemeClr w14:val="tx1"/>
            </w14:solidFill>
          </w14:textFill>
        </w:rPr>
        <w:t>，</w:t>
      </w:r>
      <w:r>
        <w:rPr>
          <w:rFonts w:hint="eastAsia" w:ascii="Times New Roman" w:hAnsi="Times New Roman"/>
          <w:szCs w:val="24"/>
        </w:rPr>
        <w:t>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w:t>
      </w:r>
      <w:r>
        <w:rPr>
          <w:rFonts w:hint="eastAsia" w:ascii="Times New Roman" w:hAnsi="Times New Roman"/>
          <w:b/>
          <w:bCs/>
          <w:color w:val="FF0000"/>
          <w:szCs w:val="24"/>
        </w:rPr>
        <w:t>总报价给予20%的价格扣除</w:t>
      </w:r>
      <w:r>
        <w:rPr>
          <w:rFonts w:hint="eastAsia" w:ascii="Times New Roman" w:hAnsi="Times New Roman"/>
          <w:szCs w:val="24"/>
        </w:rPr>
        <w:t>，用扣除后的价格参与评审。</w:t>
      </w:r>
    </w:p>
    <w:p>
      <w:pPr>
        <w:pStyle w:val="192"/>
        <w:ind w:firstLine="420" w:firstLineChars="200"/>
      </w:pPr>
      <w:r>
        <w:rPr>
          <w:rFonts w:hint="eastAsia" w:ascii="Times New Roman" w:hAnsi="Times New Roman"/>
          <w:szCs w:val="24"/>
        </w:rPr>
        <w:t>（4）供应商出具符合要求的《关于符合本国产品标准的声明函》或财政部会同有关部门规定的有关证明文件，该产品视为本国产品。</w:t>
      </w:r>
      <w:r>
        <w:rPr>
          <w:rFonts w:hint="eastAsia"/>
        </w:rPr>
        <w:t>声明函样式见本招标文件第一册专用条款“第四章  投标文件组成要求及格式”中“三、投标人情况及资格证明文件”章节提供的格式）。</w:t>
      </w:r>
    </w:p>
    <w:p>
      <w:pPr>
        <w:pStyle w:val="192"/>
        <w:ind w:firstLine="421" w:firstLineChars="200"/>
        <w:rPr>
          <w:b/>
          <w:bCs/>
        </w:rPr>
      </w:pPr>
      <w:r>
        <w:rPr>
          <w:rFonts w:hint="eastAsia"/>
          <w:b/>
          <w:bCs/>
        </w:rPr>
        <w:t>3.关于同时满足中小企业扶持政策和对本国产品的支持政策的事项说明</w:t>
      </w:r>
    </w:p>
    <w:p>
      <w:pPr>
        <w:pStyle w:val="192"/>
        <w:ind w:firstLine="421" w:firstLineChars="200"/>
        <w:rPr>
          <w:rFonts w:ascii="Times New Roman" w:hAnsi="Times New Roman"/>
          <w:szCs w:val="24"/>
        </w:rPr>
      </w:pPr>
      <w:r>
        <w:rPr>
          <w:rFonts w:hint="eastAsia" w:ascii="Times New Roman" w:hAnsi="Times New Roman"/>
          <w:b/>
          <w:bCs/>
          <w:color w:val="FF0000"/>
          <w:szCs w:val="24"/>
        </w:rPr>
        <w:t>本国产品政策实施后，政府采购活动中既有本国产品又有非本国产品参与竞争的，依法对本国产品给予价格评审优惠，对本国产品的报价给予20%的价格扣除</w:t>
      </w:r>
      <w:r>
        <w:rPr>
          <w:rFonts w:hint="eastAsia" w:ascii="Times New Roman" w:hAnsi="Times New Roman"/>
          <w:szCs w:val="24"/>
        </w:rPr>
        <w:t>，用扣除后的价格参与评审。</w:t>
      </w:r>
      <w:r>
        <w:rPr>
          <w:rFonts w:hint="eastAsia" w:ascii="Times New Roman" w:hAnsi="Times New Roman"/>
          <w:b/>
          <w:bCs/>
          <w:color w:val="FF0000"/>
          <w:szCs w:val="24"/>
        </w:rPr>
        <w:t>同时，若提供本国产品的供应商也符合政府采购支持中小企业政策，也按规定给与价格评审优惠。需要说明的是，相关价格评审扣除优惠，都应该在供应商报价基础上计算。</w:t>
      </w:r>
      <w:r>
        <w:rPr>
          <w:rFonts w:hint="eastAsia" w:ascii="Times New Roman" w:hAnsi="Times New Roman"/>
          <w:szCs w:val="24"/>
        </w:rPr>
        <w:t>例如：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pStyle w:val="192"/>
        <w:ind w:firstLine="420" w:firstLineChars="200"/>
        <w:rPr>
          <w:rFonts w:ascii="Times New Roman" w:hAnsi="Times New Roman"/>
          <w:szCs w:val="24"/>
        </w:rPr>
      </w:pPr>
      <w:r>
        <w:rPr>
          <w:rFonts w:hint="eastAsia" w:ascii="Times New Roman" w:hAnsi="Times New Roman"/>
          <w:szCs w:val="24"/>
        </w:rPr>
        <w:t>（1）预留份额专门面向中小企业采购的项目，不再享受小微企业价格扣除优惠。若供应商所投货物同时满足对本国产品的支持政策的规定，应享受该政策20%价格扣除优惠；</w:t>
      </w:r>
    </w:p>
    <w:p>
      <w:pPr>
        <w:pStyle w:val="192"/>
        <w:ind w:firstLine="420" w:firstLineChars="200"/>
        <w:rPr>
          <w:rFonts w:ascii="Times New Roman" w:hAnsi="Times New Roman"/>
          <w:szCs w:val="24"/>
        </w:rPr>
      </w:pPr>
      <w:r>
        <w:rPr>
          <w:rFonts w:hint="eastAsia" w:ascii="Times New Roman" w:hAnsi="Times New Roman"/>
          <w:szCs w:val="24"/>
        </w:rPr>
        <w:t>（2）未预留份额专门面向中小企业采购的项目，供应商同时满足小微企业和所投产品符合本国产品支持政策规定的，应同时对该供应商投标总报价给予多项价格扣除优惠，用扣除后的价格参与评审。</w:t>
      </w:r>
    </w:p>
    <w:p>
      <w:pPr>
        <w:pStyle w:val="192"/>
        <w:ind w:firstLine="421" w:firstLineChars="200"/>
        <w:rPr>
          <w:b/>
          <w:bCs/>
        </w:rPr>
      </w:pPr>
      <w:r>
        <w:rPr>
          <w:rFonts w:hint="eastAsia"/>
          <w:b/>
          <w:bCs/>
        </w:rPr>
        <w:t>4.</w:t>
      </w:r>
      <w:r>
        <w:rPr>
          <w:b/>
          <w:bCs/>
        </w:rPr>
        <w:t>上述支持政策不改变最终中标</w:t>
      </w:r>
      <w:r>
        <w:rPr>
          <w:rFonts w:hint="eastAsia"/>
          <w:b/>
          <w:bCs/>
        </w:rPr>
        <w:t>（</w:t>
      </w:r>
      <w:r>
        <w:rPr>
          <w:b/>
          <w:bCs/>
        </w:rPr>
        <w:t>成交</w:t>
      </w:r>
      <w:r>
        <w:rPr>
          <w:rFonts w:hint="eastAsia"/>
          <w:b/>
          <w:bCs/>
        </w:rPr>
        <w:t>）</w:t>
      </w:r>
      <w:r>
        <w:rPr>
          <w:b/>
          <w:bCs/>
        </w:rPr>
        <w:t>价格，政府采购合同仍按照中标</w:t>
      </w:r>
      <w:r>
        <w:rPr>
          <w:rFonts w:hint="eastAsia"/>
          <w:b/>
          <w:bCs/>
        </w:rPr>
        <w:t>（</w:t>
      </w:r>
      <w:r>
        <w:rPr>
          <w:b/>
          <w:bCs/>
        </w:rPr>
        <w:t>成交</w:t>
      </w:r>
      <w:r>
        <w:rPr>
          <w:rFonts w:hint="eastAsia"/>
          <w:b/>
          <w:bCs/>
        </w:rPr>
        <w:t>）</w:t>
      </w:r>
      <w:r>
        <w:rPr>
          <w:b/>
          <w:bCs/>
        </w:rPr>
        <w:t>供应商的报价签订。</w:t>
      </w:r>
    </w:p>
    <w:p>
      <w:pPr>
        <w:ind w:firstLine="421" w:firstLineChars="200"/>
        <w:rPr>
          <w:b/>
        </w:rPr>
      </w:pPr>
    </w:p>
    <w:p>
      <w:pPr>
        <w:ind w:firstLine="421" w:firstLineChars="200"/>
        <w:rPr>
          <w:b/>
          <w:bCs/>
        </w:rPr>
      </w:pPr>
      <w:r>
        <w:rPr>
          <w:rFonts w:hint="eastAsia"/>
          <w:b/>
        </w:rPr>
        <w:t>（三）代理服务费</w:t>
      </w:r>
    </w:p>
    <w:p>
      <w:pPr>
        <w:ind w:firstLine="421" w:firstLineChars="200"/>
        <w:rPr>
          <w:b/>
          <w:bCs/>
        </w:rPr>
      </w:pPr>
      <w:r>
        <w:rPr>
          <w:rFonts w:hint="eastAsia"/>
          <w:b/>
          <w:bCs/>
        </w:rPr>
        <w:t>本项目为代理服务项目，将向中标（成交）供应商收取代理服务费。</w:t>
      </w:r>
    </w:p>
    <w:p>
      <w:pPr>
        <w:ind w:firstLine="420" w:firstLineChars="200"/>
      </w:pPr>
      <w:r>
        <w:rPr>
          <w:rFonts w:hint="eastAsia"/>
        </w:rPr>
        <w:t>中标（成交）供应商应在中标（成交)结果公示结束之日的次日起7个工作日内向深圳公共资源交易中心（深圳交易集团有限公司</w:t>
      </w:r>
      <w:r>
        <w:rPr>
          <w:rFonts w:hint="eastAsia"/>
          <w:lang w:eastAsia="zh-CN"/>
        </w:rPr>
        <w:t>盐田</w:t>
      </w:r>
      <w:r>
        <w:rPr>
          <w:rFonts w:hint="eastAsia"/>
        </w:rPr>
        <w:t>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本项目类型为服务采购：</w:t>
      </w:r>
    </w:p>
    <w:p>
      <w:pPr>
        <w:ind w:firstLine="420" w:firstLineChars="200"/>
      </w:pPr>
      <w:r>
        <w:rPr>
          <w:rFonts w:hint="eastAsia"/>
        </w:rPr>
        <w:t>（1）代理服务费以《中标（成交）通知书》确定的中标（成交）金额作为计算基数，按差额定率累进法计算。</w:t>
      </w:r>
    </w:p>
    <w:p>
      <w:pPr>
        <w:ind w:firstLine="420" w:firstLineChars="200"/>
      </w:pPr>
      <w:r>
        <w:rPr>
          <w:rFonts w:hint="eastAsia"/>
        </w:rPr>
        <w:t>（2）中标（成交）金额的各部分费率如下表：</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pPr>
            <w:r>
              <w:rPr>
                <w:rFonts w:hint="eastAsia"/>
              </w:rPr>
              <w:t>中标（成交）金额</w:t>
            </w:r>
          </w:p>
        </w:tc>
        <w:tc>
          <w:tcPr>
            <w:tcW w:w="1799" w:type="dxa"/>
            <w:vAlign w:val="center"/>
          </w:tcPr>
          <w:p>
            <w:pPr>
              <w:widowControl/>
              <w:spacing w:line="360" w:lineRule="auto"/>
              <w:jc w:val="center"/>
            </w:pPr>
            <w:r>
              <w:rPr>
                <w:rFonts w:hint="eastAsia"/>
              </w:rPr>
              <w:t>货物采购</w:t>
            </w:r>
          </w:p>
        </w:tc>
        <w:tc>
          <w:tcPr>
            <w:tcW w:w="1799" w:type="dxa"/>
            <w:vAlign w:val="center"/>
          </w:tcPr>
          <w:p>
            <w:pPr>
              <w:widowControl/>
              <w:spacing w:line="360" w:lineRule="auto"/>
              <w:jc w:val="center"/>
            </w:pPr>
            <w:r>
              <w:rPr>
                <w:rFonts w:hint="eastAsia"/>
              </w:rPr>
              <w:t>服务采购</w:t>
            </w:r>
          </w:p>
        </w:tc>
        <w:tc>
          <w:tcPr>
            <w:tcW w:w="1799" w:type="dxa"/>
            <w:vAlign w:val="center"/>
          </w:tcPr>
          <w:p>
            <w:pPr>
              <w:widowControl/>
              <w:spacing w:line="360" w:lineRule="auto"/>
              <w:jc w:val="center"/>
            </w:pPr>
            <w:r>
              <w:rPr>
                <w:rFonts w:hint="eastAsia"/>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100万元以下</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100万元（含）-500万元</w:t>
            </w:r>
          </w:p>
        </w:tc>
        <w:tc>
          <w:tcPr>
            <w:tcW w:w="1799" w:type="dxa"/>
            <w:vAlign w:val="center"/>
          </w:tcPr>
          <w:p>
            <w:pPr>
              <w:widowControl/>
              <w:spacing w:line="360" w:lineRule="auto"/>
              <w:jc w:val="center"/>
            </w:pPr>
            <w:r>
              <w:rPr>
                <w:rFonts w:hint="eastAsia"/>
              </w:rPr>
              <w:t>1.1%</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500万元（含）-1000万元</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0.45%</w:t>
            </w:r>
          </w:p>
        </w:tc>
        <w:tc>
          <w:tcPr>
            <w:tcW w:w="1799" w:type="dxa"/>
            <w:vAlign w:val="center"/>
          </w:tcPr>
          <w:p>
            <w:pPr>
              <w:widowControl/>
              <w:spacing w:line="360" w:lineRule="auto"/>
              <w:jc w:val="center"/>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1000万元（含）-5000万元</w:t>
            </w:r>
          </w:p>
        </w:tc>
        <w:tc>
          <w:tcPr>
            <w:tcW w:w="1799" w:type="dxa"/>
            <w:vAlign w:val="center"/>
          </w:tcPr>
          <w:p>
            <w:pPr>
              <w:widowControl/>
              <w:spacing w:line="360" w:lineRule="auto"/>
              <w:jc w:val="center"/>
            </w:pPr>
            <w:r>
              <w:rPr>
                <w:rFonts w:hint="eastAsia"/>
              </w:rPr>
              <w:t>0.5%</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5000万元（含）-1亿元</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0.1%</w:t>
            </w:r>
          </w:p>
        </w:tc>
        <w:tc>
          <w:tcPr>
            <w:tcW w:w="1799" w:type="dxa"/>
            <w:vAlign w:val="center"/>
          </w:tcPr>
          <w:p>
            <w:pPr>
              <w:widowControl/>
              <w:spacing w:line="360" w:lineRule="auto"/>
              <w:jc w:val="center"/>
            </w:pPr>
            <w:r>
              <w:rPr>
                <w:rFonts w:hint="eastAsi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1亿元（含）-5亿元</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5亿元（含）-10亿元</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pPr>
            <w:r>
              <w:rPr>
                <w:rFonts w:hint="eastAsia"/>
              </w:rPr>
              <w:t>10亿元（含）-50亿元</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50亿元（含）-100亿元</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100亿元（含）以上</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r>
    </w:tbl>
    <w:p>
      <w:pPr>
        <w:ind w:firstLine="420" w:firstLineChars="200"/>
      </w:pPr>
      <w:r>
        <w:rPr>
          <w:rFonts w:hint="eastAsia"/>
        </w:rPr>
        <w:t>备注：1.每宗交易代理服务费不低于 5000 元；</w:t>
      </w:r>
    </w:p>
    <w:p>
      <w:pPr>
        <w:ind w:firstLine="420" w:firstLineChars="200"/>
      </w:pPr>
      <w:r>
        <w:rPr>
          <w:rFonts w:hint="eastAsia"/>
        </w:rPr>
        <w:t>2.对于报总价的采购类项目，中标（成交）价为中标（成交）金额；对于报单价、折扣或费率的采购类项目，中标（成交）价为预算上限金额或经委托方与代理方确定的支付上限金额；</w:t>
      </w:r>
    </w:p>
    <w:p>
      <w:pPr>
        <w:ind w:firstLine="420" w:firstLineChars="200"/>
      </w:pPr>
      <w:r>
        <w:rPr>
          <w:rFonts w:hint="eastAsia"/>
        </w:rPr>
        <w:t>如某服务采购项目，中标（成交）金额为600万元，总共交纳的代理服务费的具体计算过程如下：</w:t>
      </w:r>
    </w:p>
    <w:p>
      <w:pPr>
        <w:ind w:firstLine="420" w:firstLineChars="200"/>
      </w:pPr>
      <w:r>
        <w:rPr>
          <w:rFonts w:hint="eastAsia"/>
        </w:rPr>
        <w:t>标准代理服务费＝（100万元以下部分的代理服务费）+（100万～500万元部分的代理服务费）+（500万～600万元部分的代理服务费）＝100万元×1.5%+（500-100）万元×0.8%+（600-500）万元×0.45%=1.5万元+3.2万元+0.45万元＝5.15万元</w:t>
      </w:r>
    </w:p>
    <w:p>
      <w:pPr>
        <w:ind w:firstLine="420" w:firstLineChars="200"/>
      </w:pPr>
      <w:r>
        <w:rPr>
          <w:rFonts w:hint="eastAsia"/>
        </w:rPr>
        <w:t>（3）中标（成交）供应商中标（成交）后，必须按规定采用银行对公转账方式向深圳交易集团有限公司直接交纳代理服务费，交纳信息及要求按照缴款（付款）通知书执行。</w:t>
      </w:r>
    </w:p>
    <w:p>
      <w:pPr>
        <w:pStyle w:val="3"/>
        <w:rPr>
          <w:b/>
        </w:rPr>
      </w:pPr>
    </w:p>
    <w:p>
      <w:pPr>
        <w:rPr>
          <w:b/>
        </w:rPr>
        <w:sectPr>
          <w:pgSz w:w="11907" w:h="16840"/>
          <w:pgMar w:top="1440" w:right="1797" w:bottom="1440" w:left="1797" w:header="851" w:footer="992" w:gutter="0"/>
          <w:cols w:space="425" w:num="1"/>
          <w:titlePg/>
          <w:docGrid w:linePitch="462" w:charSpace="0"/>
        </w:sectPr>
      </w:pPr>
    </w:p>
    <w:p>
      <w:pPr>
        <w:pStyle w:val="7"/>
        <w:rPr>
          <w:sz w:val="28"/>
          <w:szCs w:val="28"/>
        </w:rPr>
      </w:pPr>
      <w:bookmarkStart w:id="34" w:name="_Toc128884461"/>
      <w:r>
        <w:rPr>
          <w:rFonts w:hint="eastAsia"/>
          <w:sz w:val="28"/>
          <w:szCs w:val="28"/>
        </w:rPr>
        <w:t>第三章 用户需求书</w:t>
      </w:r>
    </w:p>
    <w:p>
      <w:pPr>
        <w:pStyle w:val="7"/>
        <w:spacing w:before="120" w:beforeLines="50" w:after="120" w:afterLines="50"/>
        <w:rPr>
          <w:szCs w:val="24"/>
        </w:rPr>
      </w:pPr>
      <w:r>
        <w:rPr>
          <w:rFonts w:hint="eastAsia"/>
          <w:szCs w:val="24"/>
        </w:rPr>
        <w:t>一、项目基本信息</w:t>
      </w:r>
    </w:p>
    <w:p>
      <w:pPr>
        <w:rPr>
          <w:rFonts w:ascii="宋体" w:hAnsi="宋体"/>
          <w:b/>
          <w:color w:val="FF0000"/>
          <w:szCs w:val="21"/>
        </w:rPr>
      </w:pPr>
    </w:p>
    <w:tbl>
      <w:tblPr>
        <w:tblStyle w:val="42"/>
        <w:tblpPr w:leftFromText="180" w:rightFromText="180" w:vertAnchor="text" w:horzAnchor="margin" w:tblpY="17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014"/>
        <w:gridCol w:w="2450"/>
        <w:gridCol w:w="1818"/>
        <w:gridCol w:w="1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49" w:type="pct"/>
            <w:vAlign w:val="center"/>
          </w:tcPr>
          <w:p>
            <w:pPr>
              <w:jc w:val="center"/>
              <w:rPr>
                <w:bCs/>
                <w:szCs w:val="21"/>
              </w:rPr>
            </w:pPr>
            <w:r>
              <w:rPr>
                <w:rFonts w:hint="eastAsia"/>
                <w:bCs/>
                <w:szCs w:val="21"/>
              </w:rPr>
              <w:t>序号</w:t>
            </w:r>
          </w:p>
        </w:tc>
        <w:tc>
          <w:tcPr>
            <w:tcW w:w="1181" w:type="pct"/>
            <w:vAlign w:val="center"/>
          </w:tcPr>
          <w:p>
            <w:pPr>
              <w:jc w:val="center"/>
              <w:rPr>
                <w:bCs/>
                <w:szCs w:val="21"/>
              </w:rPr>
            </w:pPr>
            <w:r>
              <w:rPr>
                <w:rFonts w:hint="eastAsia"/>
                <w:szCs w:val="21"/>
              </w:rPr>
              <w:t>采购计划编号</w:t>
            </w:r>
          </w:p>
        </w:tc>
        <w:tc>
          <w:tcPr>
            <w:tcW w:w="1436" w:type="pct"/>
            <w:vAlign w:val="center"/>
          </w:tcPr>
          <w:p>
            <w:pPr>
              <w:jc w:val="center"/>
              <w:rPr>
                <w:bCs/>
                <w:szCs w:val="21"/>
              </w:rPr>
            </w:pPr>
            <w:r>
              <w:rPr>
                <w:rFonts w:hint="eastAsia"/>
                <w:bCs/>
                <w:szCs w:val="21"/>
              </w:rPr>
              <w:t>采购项目名称</w:t>
            </w:r>
          </w:p>
        </w:tc>
        <w:tc>
          <w:tcPr>
            <w:tcW w:w="1066" w:type="pct"/>
            <w:vAlign w:val="center"/>
          </w:tcPr>
          <w:p>
            <w:pPr>
              <w:jc w:val="center"/>
              <w:rPr>
                <w:b/>
                <w:bCs/>
                <w:color w:val="FF0000"/>
                <w:szCs w:val="21"/>
              </w:rPr>
            </w:pPr>
            <w:r>
              <w:rPr>
                <w:rFonts w:hint="eastAsia"/>
                <w:b/>
                <w:bCs/>
                <w:color w:val="FF0000"/>
                <w:szCs w:val="21"/>
              </w:rPr>
              <w:t>预算金额（元）</w:t>
            </w:r>
          </w:p>
        </w:tc>
        <w:tc>
          <w:tcPr>
            <w:tcW w:w="1066" w:type="pct"/>
            <w:vAlign w:val="center"/>
          </w:tcPr>
          <w:p>
            <w:pPr>
              <w:jc w:val="center"/>
              <w:rPr>
                <w:b/>
                <w:bCs/>
                <w:color w:val="FF0000"/>
                <w:szCs w:val="21"/>
              </w:rPr>
            </w:pPr>
            <w:r>
              <w:rPr>
                <w:rFonts w:hint="eastAsia"/>
                <w:b/>
                <w:bCs/>
                <w:color w:val="FF0000"/>
                <w:szCs w:val="21"/>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49" w:type="pct"/>
            <w:vAlign w:val="center"/>
          </w:tcPr>
          <w:p>
            <w:pPr>
              <w:jc w:val="center"/>
              <w:rPr>
                <w:bCs/>
                <w:color w:val="FF0000"/>
                <w:szCs w:val="21"/>
              </w:rPr>
            </w:pPr>
            <w:r>
              <w:rPr>
                <w:rFonts w:hint="eastAsia"/>
                <w:bCs/>
                <w:color w:val="FF0000"/>
                <w:szCs w:val="21"/>
              </w:rPr>
              <w:t>1</w:t>
            </w:r>
          </w:p>
        </w:tc>
        <w:tc>
          <w:tcPr>
            <w:tcW w:w="1181" w:type="pct"/>
            <w:vAlign w:val="center"/>
          </w:tcPr>
          <w:p>
            <w:pPr>
              <w:jc w:val="center"/>
              <w:rPr>
                <w:bCs/>
                <w:color w:val="FF0000"/>
                <w:szCs w:val="21"/>
              </w:rPr>
            </w:pPr>
            <w:r>
              <w:rPr>
                <w:rFonts w:hint="eastAsia"/>
                <w:bCs/>
                <w:color w:val="FF0000"/>
                <w:szCs w:val="21"/>
              </w:rPr>
              <w:t>PLAN-</w:t>
            </w:r>
            <w:r>
              <w:rPr>
                <w:bCs/>
                <w:color w:val="FF0000"/>
                <w:szCs w:val="21"/>
              </w:rPr>
              <w:t>******</w:t>
            </w:r>
          </w:p>
        </w:tc>
        <w:tc>
          <w:tcPr>
            <w:tcW w:w="1436" w:type="pct"/>
            <w:vAlign w:val="center"/>
          </w:tcPr>
          <w:p>
            <w:pPr>
              <w:jc w:val="center"/>
              <w:rPr>
                <w:b/>
                <w:bCs/>
                <w:color w:val="FF0000"/>
                <w:szCs w:val="21"/>
              </w:rPr>
            </w:pPr>
            <w:r>
              <w:rPr>
                <w:rFonts w:hint="eastAsia"/>
                <w:b/>
                <w:bCs/>
                <w:color w:val="FF0000"/>
                <w:szCs w:val="21"/>
              </w:rPr>
              <w:t>盐田区沙头角、海山片区公共绿地（含栈道、绿道）综合管理服务项目</w:t>
            </w:r>
          </w:p>
        </w:tc>
        <w:tc>
          <w:tcPr>
            <w:tcW w:w="1066" w:type="pct"/>
            <w:vAlign w:val="center"/>
          </w:tcPr>
          <w:p>
            <w:pPr>
              <w:jc w:val="center"/>
              <w:rPr>
                <w:bCs/>
                <w:color w:val="FF0000"/>
                <w:szCs w:val="21"/>
              </w:rPr>
            </w:pPr>
            <w:r>
              <w:rPr>
                <w:rFonts w:hint="eastAsia"/>
                <w:bCs/>
                <w:color w:val="FF0000"/>
                <w:szCs w:val="21"/>
              </w:rPr>
              <w:t>14650355</w:t>
            </w:r>
            <w:r>
              <w:rPr>
                <w:rFonts w:hint="eastAsia"/>
                <w:bCs/>
                <w:color w:val="FF0000"/>
                <w:szCs w:val="21"/>
                <w:lang w:val="en-US" w:eastAsia="zh-CN"/>
              </w:rPr>
              <w:t>.</w:t>
            </w:r>
            <w:r>
              <w:rPr>
                <w:rFonts w:hint="eastAsia"/>
                <w:bCs/>
                <w:color w:val="FF0000"/>
                <w:szCs w:val="21"/>
              </w:rPr>
              <w:t>99</w:t>
            </w:r>
          </w:p>
        </w:tc>
        <w:tc>
          <w:tcPr>
            <w:tcW w:w="1066" w:type="pct"/>
            <w:vAlign w:val="center"/>
          </w:tcPr>
          <w:p>
            <w:pPr>
              <w:jc w:val="center"/>
              <w:rPr>
                <w:bCs/>
                <w:color w:val="FF0000"/>
                <w:szCs w:val="21"/>
              </w:rPr>
            </w:pPr>
            <w:r>
              <w:rPr>
                <w:rFonts w:hint="eastAsia"/>
                <w:bCs/>
                <w:color w:val="FF0000"/>
                <w:szCs w:val="21"/>
              </w:rPr>
              <w:t>14650355</w:t>
            </w:r>
            <w:r>
              <w:rPr>
                <w:rFonts w:hint="eastAsia"/>
                <w:bCs/>
                <w:color w:val="FF0000"/>
                <w:szCs w:val="21"/>
                <w:lang w:val="en-US" w:eastAsia="zh-CN"/>
              </w:rPr>
              <w:t>.</w:t>
            </w:r>
            <w:r>
              <w:rPr>
                <w:rFonts w:hint="eastAsia"/>
                <w:bCs/>
                <w:color w:val="FF0000"/>
                <w:szCs w:val="21"/>
              </w:rPr>
              <w:t>99</w:t>
            </w:r>
          </w:p>
        </w:tc>
      </w:tr>
    </w:tbl>
    <w:p>
      <w:pPr>
        <w:rPr>
          <w:rFonts w:ascii="宋体" w:hAnsi="宋体"/>
          <w:b/>
          <w:color w:val="FF0000"/>
          <w:szCs w:val="21"/>
        </w:rPr>
      </w:pPr>
    </w:p>
    <w:p>
      <w:pPr>
        <w:pStyle w:val="7"/>
        <w:spacing w:before="120" w:beforeLines="50" w:after="120" w:afterLines="50"/>
        <w:rPr>
          <w:szCs w:val="24"/>
        </w:rPr>
      </w:pPr>
      <w:bookmarkStart w:id="35" w:name="_Hlk235549799"/>
      <w:r>
        <w:rPr>
          <w:rFonts w:hint="eastAsia"/>
          <w:szCs w:val="24"/>
        </w:rPr>
        <w:t>二、项目概况</w:t>
      </w:r>
    </w:p>
    <w:bookmarkEnd w:id="35"/>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盐田区沙头角、海山片区公共绿地（含栈道、绿道）综合管理服务项目，是为进一步优化盐田区城市管理资源配置，提升公共空间管养效能，将原分散的沙头角海山片区公共绿地、海滨栈道（沙头角段）、半山步道、盐田中央公园等多个管养项目进行整合，实行一体化、精细化、专业化管理的综合服务项目。</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项目具体服务范围包括但不限于：（1）沙头角、海山街道道路绿地、道路相邻林地（包括盘山公路、云深路、深盐路等道路沿线水平投影距离三米范围内）养护及辖区公园绿地养护，包括但不限于盐田中央公园、正坑社区公园、沙头角公园、梧桐山花园社区公园、梧桐山隧道口上盖公园、山泉小区社区公园、蓝田一站社区公园、田心社区文体公园、桐馨花园公园、凤凰广场社区公园、古塔社区公园、深圳宪法公园、东和社区文体街心公园、恩上记忆公园、海涛社区公园、桥东社区公园、海山东三街口袋公园、海山公园、黄金珠宝大厦社区公园、太平洋社区公园、叶屋西社区公园、桐林花园街心公园、保税区口袋公园(映山园)、悦林社区公园、海山东一街口袋公园（花林园)、海山南路社区公园、鹏湾一村社区公园、海景二路社区公园、海景街心公园、海景公园、庚子首义雕塑园等；（2）海滨栈道（沙头角段），西起中英街，东至海山东三街，含步行道及沿线配套设施；（3）半山步道，包括步道沿线绿地、相邻林地及配套设施。</w:t>
      </w:r>
    </w:p>
    <w:p>
      <w:pPr>
        <w:ind w:firstLine="420" w:firstLineChars="200"/>
        <w:rPr>
          <w:sz w:val="24"/>
        </w:rPr>
      </w:pPr>
      <w:r>
        <w:rPr>
          <w:rFonts w:hint="eastAsia" w:asciiTheme="minorEastAsia" w:hAnsiTheme="minorEastAsia" w:eastAsiaTheme="minorEastAsia" w:cstheme="minorEastAsia"/>
          <w:sz w:val="21"/>
          <w:szCs w:val="21"/>
        </w:rPr>
        <w:t>本项目服务内容包括但不限于：服务范围内的道路绿地、道路相邻林地及辖区公园的绿化管养、绿地保洁（含绿化和公园铺装，其中，盐田中央公园含水体、大章鱼等设施、海景公园、正坑社区公园、梧桐山花园社区公园、山泉小区社区公园、蓝田一站社区公园、恩上记忆公园、桥东社区公园、黄金珠宝大厦社区公园、太平洋社区公园、叶屋西社区公园、桐林花园街心公园、悦林社区公园、海山南路社区公园、海景二路社区公园的清扫保洁工作移交环卫，仅负责公园绿化养护、设施维护以及安全管理）、公厕管理、电梯维护、绿地设施维护、步道保洁、边坡管养维护、道路及设施管养维护、安全管理、安保服务、配合采购人监管绿地占用、配合采购人开展绿化提升、预防和制止违法行为，以及服务范围内与绿化相关的投诉处理、极端天气应急处理、安全生产等事项。</w:t>
      </w:r>
    </w:p>
    <w:p>
      <w:pPr>
        <w:ind w:firstLine="480" w:firstLineChars="200"/>
        <w:rPr>
          <w:sz w:val="24"/>
        </w:rPr>
      </w:pPr>
    </w:p>
    <w:p>
      <w:pPr>
        <w:rPr>
          <w:rFonts w:ascii="宋体" w:hAnsi="宋体"/>
          <w:b/>
          <w:color w:val="FF0000"/>
          <w:szCs w:val="21"/>
        </w:rPr>
      </w:pPr>
    </w:p>
    <w:p>
      <w:pPr>
        <w:pStyle w:val="7"/>
        <w:spacing w:before="120" w:beforeLines="50" w:after="120" w:afterLines="50"/>
        <w:rPr>
          <w:szCs w:val="24"/>
        </w:rPr>
      </w:pPr>
      <w:r>
        <w:rPr>
          <w:rFonts w:hint="eastAsia"/>
          <w:szCs w:val="24"/>
        </w:rPr>
        <w:t>三、</w:t>
      </w:r>
      <w:bookmarkStart w:id="36" w:name="_Hlk72073432"/>
      <w:r>
        <w:rPr>
          <w:rFonts w:hint="eastAsia"/>
          <w:szCs w:val="24"/>
        </w:rPr>
        <w:t>服务需求明细</w:t>
      </w:r>
      <w:bookmarkEnd w:id="36"/>
    </w:p>
    <w:tbl>
      <w:tblPr>
        <w:tblStyle w:val="4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1150"/>
        <w:gridCol w:w="2580"/>
        <w:gridCol w:w="899"/>
        <w:gridCol w:w="821"/>
        <w:gridCol w:w="1401"/>
        <w:gridCol w:w="1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52" w:type="pct"/>
            <w:vAlign w:val="center"/>
          </w:tcPr>
          <w:p>
            <w:pPr>
              <w:jc w:val="center"/>
              <w:rPr>
                <w:bCs/>
                <w:szCs w:val="21"/>
              </w:rPr>
            </w:pPr>
            <w:r>
              <w:rPr>
                <w:rFonts w:hint="eastAsia"/>
                <w:bCs/>
                <w:szCs w:val="21"/>
              </w:rPr>
              <w:t>序号</w:t>
            </w:r>
          </w:p>
        </w:tc>
        <w:tc>
          <w:tcPr>
            <w:tcW w:w="674" w:type="pct"/>
            <w:vAlign w:val="center"/>
          </w:tcPr>
          <w:p>
            <w:pPr>
              <w:jc w:val="center"/>
              <w:rPr>
                <w:bCs/>
                <w:szCs w:val="21"/>
              </w:rPr>
            </w:pPr>
            <w:r>
              <w:rPr>
                <w:rFonts w:hint="eastAsia"/>
                <w:szCs w:val="21"/>
              </w:rPr>
              <w:t>采购计划编号</w:t>
            </w:r>
          </w:p>
        </w:tc>
        <w:tc>
          <w:tcPr>
            <w:tcW w:w="1512" w:type="pct"/>
            <w:vAlign w:val="center"/>
          </w:tcPr>
          <w:p>
            <w:pPr>
              <w:jc w:val="center"/>
              <w:rPr>
                <w:bCs/>
                <w:szCs w:val="21"/>
              </w:rPr>
            </w:pPr>
            <w:r>
              <w:rPr>
                <w:rFonts w:hint="eastAsia"/>
                <w:bCs/>
                <w:szCs w:val="21"/>
              </w:rPr>
              <w:t>服务需求名称（标的名称）</w:t>
            </w:r>
          </w:p>
        </w:tc>
        <w:tc>
          <w:tcPr>
            <w:tcW w:w="527" w:type="pct"/>
            <w:vAlign w:val="center"/>
          </w:tcPr>
          <w:p>
            <w:pPr>
              <w:jc w:val="center"/>
              <w:rPr>
                <w:bCs/>
                <w:szCs w:val="21"/>
              </w:rPr>
            </w:pPr>
            <w:r>
              <w:rPr>
                <w:rFonts w:hint="eastAsia"/>
                <w:bCs/>
                <w:szCs w:val="21"/>
              </w:rPr>
              <w:t>数量</w:t>
            </w:r>
          </w:p>
        </w:tc>
        <w:tc>
          <w:tcPr>
            <w:tcW w:w="481" w:type="pct"/>
            <w:vAlign w:val="center"/>
          </w:tcPr>
          <w:p>
            <w:pPr>
              <w:jc w:val="center"/>
              <w:rPr>
                <w:bCs/>
                <w:szCs w:val="21"/>
              </w:rPr>
            </w:pPr>
            <w:r>
              <w:rPr>
                <w:rFonts w:hint="eastAsia"/>
                <w:bCs/>
                <w:szCs w:val="21"/>
              </w:rPr>
              <w:t>单位</w:t>
            </w:r>
          </w:p>
        </w:tc>
        <w:tc>
          <w:tcPr>
            <w:tcW w:w="821" w:type="pct"/>
            <w:vAlign w:val="center"/>
          </w:tcPr>
          <w:p>
            <w:pPr>
              <w:jc w:val="center"/>
              <w:rPr>
                <w:bCs/>
                <w:szCs w:val="21"/>
              </w:rPr>
            </w:pPr>
            <w:r>
              <w:rPr>
                <w:rFonts w:hint="eastAsia"/>
                <w:b/>
                <w:bCs/>
                <w:color w:val="FF0000"/>
                <w:szCs w:val="21"/>
              </w:rPr>
              <w:t>是否专门面向中小企业</w:t>
            </w:r>
          </w:p>
        </w:tc>
        <w:tc>
          <w:tcPr>
            <w:tcW w:w="729" w:type="pct"/>
            <w:vAlign w:val="center"/>
          </w:tcPr>
          <w:p>
            <w:pPr>
              <w:jc w:val="center"/>
              <w:rPr>
                <w:b/>
                <w:bCs/>
                <w:color w:val="FF0000"/>
                <w:szCs w:val="21"/>
              </w:rPr>
            </w:pPr>
            <w:r>
              <w:rPr>
                <w:rFonts w:hint="eastAsia"/>
                <w:b/>
                <w:bCs/>
                <w:color w:val="FF0000"/>
                <w:szCs w:val="21"/>
              </w:rPr>
              <w:t>标的所属行业</w:t>
            </w:r>
            <w:r>
              <w:rPr>
                <w:rFonts w:hint="eastAsia"/>
                <w:b/>
                <w:color w:val="FF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52" w:type="pct"/>
            <w:vAlign w:val="center"/>
          </w:tcPr>
          <w:p>
            <w:pPr>
              <w:jc w:val="center"/>
              <w:rPr>
                <w:bCs/>
                <w:szCs w:val="21"/>
              </w:rPr>
            </w:pPr>
            <w:r>
              <w:rPr>
                <w:rFonts w:hint="eastAsia"/>
                <w:bCs/>
                <w:szCs w:val="21"/>
              </w:rPr>
              <w:t>1</w:t>
            </w:r>
          </w:p>
        </w:tc>
        <w:tc>
          <w:tcPr>
            <w:tcW w:w="674" w:type="pct"/>
            <w:vAlign w:val="center"/>
          </w:tcPr>
          <w:p>
            <w:pPr>
              <w:jc w:val="center"/>
              <w:rPr>
                <w:bCs/>
                <w:szCs w:val="21"/>
              </w:rPr>
            </w:pPr>
            <w:r>
              <w:rPr>
                <w:rFonts w:hint="eastAsia"/>
                <w:bCs/>
                <w:szCs w:val="21"/>
              </w:rPr>
              <w:t>PLAN-</w:t>
            </w:r>
            <w:r>
              <w:rPr>
                <w:bCs/>
                <w:szCs w:val="21"/>
              </w:rPr>
              <w:t>***</w:t>
            </w:r>
          </w:p>
        </w:tc>
        <w:tc>
          <w:tcPr>
            <w:tcW w:w="1512" w:type="pct"/>
            <w:vAlign w:val="center"/>
          </w:tcPr>
          <w:p>
            <w:pPr>
              <w:jc w:val="center"/>
              <w:rPr>
                <w:bCs/>
                <w:szCs w:val="21"/>
              </w:rPr>
            </w:pPr>
            <w:r>
              <w:rPr>
                <w:rFonts w:hint="eastAsia"/>
                <w:bCs/>
                <w:szCs w:val="21"/>
              </w:rPr>
              <w:t>公共绿地（含栈道、绿道）综合管理服务</w:t>
            </w:r>
          </w:p>
        </w:tc>
        <w:tc>
          <w:tcPr>
            <w:tcW w:w="527" w:type="pct"/>
            <w:vAlign w:val="center"/>
          </w:tcPr>
          <w:p>
            <w:pPr>
              <w:jc w:val="center"/>
              <w:rPr>
                <w:rFonts w:hint="eastAsia" w:eastAsia="宋体"/>
                <w:bCs/>
                <w:szCs w:val="21"/>
                <w:lang w:eastAsia="zh-CN"/>
              </w:rPr>
            </w:pPr>
            <w:r>
              <w:rPr>
                <w:rFonts w:hint="eastAsia"/>
                <w:lang w:val="en-US" w:eastAsia="zh-CN"/>
              </w:rPr>
              <w:t>1</w:t>
            </w:r>
          </w:p>
        </w:tc>
        <w:tc>
          <w:tcPr>
            <w:tcW w:w="481" w:type="pct"/>
            <w:vAlign w:val="center"/>
          </w:tcPr>
          <w:p>
            <w:pPr>
              <w:jc w:val="center"/>
              <w:rPr>
                <w:rFonts w:hint="eastAsia" w:eastAsia="宋体"/>
                <w:bCs/>
                <w:szCs w:val="21"/>
                <w:lang w:val="en-US" w:eastAsia="zh-CN"/>
              </w:rPr>
            </w:pPr>
            <w:r>
              <w:rPr>
                <w:rFonts w:hint="eastAsia"/>
                <w:bCs/>
                <w:szCs w:val="21"/>
                <w:lang w:val="en-US" w:eastAsia="zh-CN"/>
              </w:rPr>
              <w:t>项</w:t>
            </w:r>
          </w:p>
        </w:tc>
        <w:tc>
          <w:tcPr>
            <w:tcW w:w="821" w:type="pct"/>
            <w:vAlign w:val="center"/>
          </w:tcPr>
          <w:p>
            <w:pPr>
              <w:jc w:val="center"/>
              <w:rPr>
                <w:rFonts w:hint="eastAsia" w:eastAsia="宋体"/>
                <w:bCs/>
                <w:szCs w:val="21"/>
                <w:lang w:val="en-US" w:eastAsia="zh-CN"/>
              </w:rPr>
            </w:pPr>
            <w:r>
              <w:rPr>
                <w:rFonts w:hint="eastAsia"/>
                <w:bCs/>
                <w:szCs w:val="21"/>
                <w:lang w:val="en-US" w:eastAsia="zh-CN"/>
              </w:rPr>
              <w:t>否</w:t>
            </w:r>
          </w:p>
        </w:tc>
        <w:tc>
          <w:tcPr>
            <w:tcW w:w="729" w:type="pct"/>
            <w:vAlign w:val="center"/>
          </w:tcPr>
          <w:p>
            <w:pPr>
              <w:jc w:val="center"/>
              <w:rPr>
                <w:bCs/>
                <w:szCs w:val="21"/>
              </w:rPr>
            </w:pPr>
            <w:r>
              <w:rPr>
                <w:rFonts w:hint="eastAsia"/>
                <w:bCs/>
                <w:szCs w:val="21"/>
              </w:rPr>
              <w:t>其他未列明行业</w:t>
            </w:r>
          </w:p>
        </w:tc>
      </w:tr>
    </w:tbl>
    <w:p>
      <w:pPr>
        <w:jc w:val="center"/>
        <w:rPr>
          <w:bCs/>
          <w:szCs w:val="21"/>
        </w:rPr>
      </w:pPr>
    </w:p>
    <w:p>
      <w:pPr>
        <w:pStyle w:val="7"/>
        <w:spacing w:before="120" w:beforeLines="50" w:after="120" w:afterLines="50"/>
        <w:rPr>
          <w:szCs w:val="24"/>
        </w:rPr>
      </w:pPr>
      <w:r>
        <w:rPr>
          <w:rFonts w:hint="eastAsia"/>
          <w:szCs w:val="24"/>
        </w:rPr>
        <w:t>四、实质性条款</w:t>
      </w:r>
    </w:p>
    <w:tbl>
      <w:tblPr>
        <w:tblStyle w:val="42"/>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7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4" w:type="dxa"/>
          </w:tcPr>
          <w:p>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795" w:type="dxa"/>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jc w:val="center"/>
              <w:rPr>
                <w:rFonts w:hint="eastAsia" w:ascii="宋体" w:hAnsi="宋体" w:eastAsia="宋体"/>
                <w:kern w:val="0"/>
                <w:szCs w:val="21"/>
                <w:lang w:val="en-US" w:eastAsia="zh-CN"/>
              </w:rPr>
            </w:pPr>
            <w:r>
              <w:rPr>
                <w:rFonts w:hint="eastAsia" w:ascii="宋体" w:hAnsi="宋体"/>
                <w:kern w:val="0"/>
                <w:szCs w:val="21"/>
                <w:lang w:val="en-US" w:eastAsia="zh-CN"/>
              </w:rPr>
              <w:t>1</w:t>
            </w:r>
          </w:p>
        </w:tc>
        <w:tc>
          <w:tcPr>
            <w:tcW w:w="7795" w:type="dxa"/>
          </w:tcPr>
          <w:p>
            <w:pPr>
              <w:adjustRightInd w:val="0"/>
              <w:snapToGrid w:val="0"/>
              <w:spacing w:line="360" w:lineRule="auto"/>
              <w:jc w:val="left"/>
              <w:rPr>
                <w:rFonts w:hint="eastAsia" w:ascii="宋体" w:hAnsi="宋体"/>
                <w:kern w:val="0"/>
                <w:szCs w:val="21"/>
              </w:rPr>
            </w:pPr>
            <w:r>
              <w:rPr>
                <w:rFonts w:hint="eastAsia" w:asciiTheme="minorEastAsia" w:hAnsiTheme="minorEastAsia" w:eastAsiaTheme="minorEastAsia"/>
                <w:color w:val="auto"/>
                <w:kern w:val="0"/>
                <w:szCs w:val="21"/>
                <w:highlight w:val="none"/>
              </w:rPr>
              <w:t>人员配备必须满足：至少配置项目负责人1名、现场主管</w:t>
            </w:r>
            <w:r>
              <w:rPr>
                <w:rFonts w:hint="eastAsia" w:asciiTheme="minorEastAsia" w:hAnsiTheme="minorEastAsia" w:eastAsiaTheme="minorEastAsia"/>
                <w:color w:val="auto"/>
                <w:kern w:val="0"/>
                <w:szCs w:val="21"/>
                <w:highlight w:val="none"/>
                <w:lang w:val="en-US" w:eastAsia="zh-CN"/>
              </w:rPr>
              <w:t>4</w:t>
            </w:r>
            <w:r>
              <w:rPr>
                <w:rFonts w:hint="eastAsia" w:asciiTheme="minorEastAsia" w:hAnsiTheme="minorEastAsia" w:eastAsiaTheme="minorEastAsia"/>
                <w:color w:val="auto"/>
                <w:kern w:val="0"/>
                <w:szCs w:val="21"/>
                <w:highlight w:val="none"/>
              </w:rPr>
              <w:t>名、园林绿化技术人员</w:t>
            </w:r>
            <w:r>
              <w:rPr>
                <w:rFonts w:hint="eastAsia" w:asciiTheme="minorEastAsia" w:hAnsiTheme="minorEastAsia" w:eastAsiaTheme="minorEastAsia"/>
                <w:color w:val="auto"/>
                <w:kern w:val="0"/>
                <w:szCs w:val="21"/>
                <w:highlight w:val="none"/>
                <w:lang w:val="en-US" w:eastAsia="zh-CN"/>
              </w:rPr>
              <w:t>4</w:t>
            </w:r>
            <w:r>
              <w:rPr>
                <w:rFonts w:hint="eastAsia" w:asciiTheme="minorEastAsia" w:hAnsiTheme="minorEastAsia" w:eastAsiaTheme="minorEastAsia"/>
                <w:color w:val="auto"/>
                <w:kern w:val="0"/>
                <w:szCs w:val="21"/>
                <w:highlight w:val="none"/>
              </w:rPr>
              <w:t>名、资料员1名、水电工2名、设施维修技术人员</w:t>
            </w:r>
            <w:r>
              <w:rPr>
                <w:rFonts w:hint="eastAsia" w:asciiTheme="minorEastAsia" w:hAnsiTheme="minorEastAsia" w:eastAsiaTheme="minorEastAsia"/>
                <w:color w:val="auto"/>
                <w:kern w:val="0"/>
                <w:szCs w:val="21"/>
                <w:highlight w:val="none"/>
                <w:lang w:val="en-US" w:eastAsia="zh-CN"/>
              </w:rPr>
              <w:t>2</w:t>
            </w:r>
            <w:r>
              <w:rPr>
                <w:rFonts w:hint="eastAsia" w:asciiTheme="minorEastAsia" w:hAnsiTheme="minorEastAsia" w:eastAsiaTheme="minorEastAsia"/>
                <w:color w:val="auto"/>
                <w:kern w:val="0"/>
                <w:szCs w:val="21"/>
                <w:highlight w:val="none"/>
              </w:rPr>
              <w:t>名、安全管理员</w:t>
            </w:r>
            <w:r>
              <w:rPr>
                <w:rFonts w:hint="eastAsia" w:asciiTheme="minorEastAsia" w:hAnsiTheme="minorEastAsia" w:eastAsiaTheme="minorEastAsia"/>
                <w:color w:val="auto"/>
                <w:kern w:val="0"/>
                <w:szCs w:val="21"/>
                <w:highlight w:val="none"/>
                <w:lang w:val="en-US" w:eastAsia="zh-CN"/>
              </w:rPr>
              <w:t>4</w:t>
            </w:r>
            <w:r>
              <w:rPr>
                <w:rFonts w:hint="eastAsia" w:asciiTheme="minorEastAsia" w:hAnsiTheme="minorEastAsia" w:eastAsiaTheme="minorEastAsia"/>
                <w:color w:val="auto"/>
                <w:kern w:val="0"/>
                <w:szCs w:val="21"/>
                <w:highlight w:val="none"/>
              </w:rPr>
              <w:t>名、管养人员</w:t>
            </w:r>
            <w:r>
              <w:rPr>
                <w:rFonts w:hint="eastAsia" w:asciiTheme="minorEastAsia" w:hAnsiTheme="minorEastAsia" w:eastAsiaTheme="minorEastAsia"/>
                <w:color w:val="auto"/>
                <w:kern w:val="0"/>
                <w:szCs w:val="21"/>
                <w:highlight w:val="none"/>
                <w:lang w:val="en-US" w:eastAsia="zh-CN"/>
              </w:rPr>
              <w:t>128</w:t>
            </w:r>
            <w:r>
              <w:rPr>
                <w:rFonts w:hint="eastAsia" w:asciiTheme="minorEastAsia" w:hAnsiTheme="minorEastAsia" w:eastAsiaTheme="minorEastAsia"/>
                <w:color w:val="auto"/>
                <w:kern w:val="0"/>
                <w:szCs w:val="21"/>
                <w:highlight w:val="none"/>
              </w:rPr>
              <w:t>名、安保人员</w:t>
            </w:r>
            <w:r>
              <w:rPr>
                <w:rFonts w:hint="eastAsia" w:asciiTheme="minorEastAsia" w:hAnsiTheme="minorEastAsia" w:eastAsiaTheme="minorEastAsia"/>
                <w:color w:val="auto"/>
                <w:kern w:val="0"/>
                <w:szCs w:val="21"/>
                <w:highlight w:val="none"/>
                <w:lang w:val="en-US" w:eastAsia="zh-CN"/>
              </w:rPr>
              <w:t>68</w:t>
            </w:r>
            <w:r>
              <w:rPr>
                <w:rFonts w:hint="eastAsia" w:asciiTheme="minorEastAsia" w:hAnsiTheme="minorEastAsia" w:eastAsiaTheme="minorEastAsia"/>
                <w:color w:val="auto"/>
                <w:kern w:val="0"/>
                <w:szCs w:val="21"/>
                <w:highlight w:val="none"/>
              </w:rPr>
              <w:t>人</w:t>
            </w:r>
            <w:r>
              <w:rPr>
                <w:rFonts w:hint="eastAsia" w:asciiTheme="minorEastAsia" w:hAnsiTheme="minorEastAsia" w:eastAsiaTheme="minorEastAsia"/>
                <w:color w:val="auto"/>
                <w:kern w:val="0"/>
                <w:szCs w:val="21"/>
                <w:highlight w:val="none"/>
                <w:lang w:eastAsia="zh-CN"/>
              </w:rPr>
              <w:t>、救生员</w:t>
            </w:r>
            <w:r>
              <w:rPr>
                <w:rFonts w:hint="eastAsia" w:asciiTheme="minorEastAsia" w:hAnsiTheme="minorEastAsia" w:eastAsiaTheme="minorEastAsia"/>
                <w:color w:val="auto"/>
                <w:kern w:val="0"/>
                <w:szCs w:val="21"/>
                <w:highlight w:val="none"/>
                <w:lang w:val="en-US" w:eastAsia="zh-CN"/>
              </w:rPr>
              <w:t>4人</w:t>
            </w:r>
            <w:r>
              <w:rPr>
                <w:rFonts w:hint="eastAsia" w:asciiTheme="minorEastAsia" w:hAnsiTheme="minorEastAsia" w:eastAsiaTheme="minorEastAsia"/>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tabs>
                <w:tab w:val="left" w:pos="514"/>
              </w:tabs>
              <w:adjustRightInd w:val="0"/>
              <w:snapToGrid w:val="0"/>
              <w:spacing w:line="360" w:lineRule="auto"/>
              <w:jc w:val="center"/>
              <w:rPr>
                <w:rFonts w:hint="default" w:ascii="宋体" w:hAnsi="宋体"/>
                <w:kern w:val="0"/>
                <w:szCs w:val="21"/>
                <w:lang w:val="en-US" w:eastAsia="zh-CN"/>
              </w:rPr>
            </w:pPr>
            <w:r>
              <w:rPr>
                <w:rFonts w:hint="eastAsia" w:ascii="宋体" w:hAnsi="宋体"/>
                <w:kern w:val="0"/>
                <w:szCs w:val="21"/>
                <w:lang w:val="en-US" w:eastAsia="zh-CN"/>
              </w:rPr>
              <w:t>2</w:t>
            </w:r>
          </w:p>
        </w:tc>
        <w:tc>
          <w:tcPr>
            <w:tcW w:w="7795" w:type="dxa"/>
          </w:tcPr>
          <w:p>
            <w:pPr>
              <w:adjustRightInd w:val="0"/>
              <w:snapToGrid w:val="0"/>
              <w:spacing w:line="360" w:lineRule="auto"/>
              <w:jc w:val="left"/>
              <w:rPr>
                <w:rFonts w:hint="eastAsia" w:asciiTheme="minorEastAsia" w:hAnsiTheme="minorEastAsia" w:eastAsiaTheme="minorEastAsia"/>
                <w:color w:val="auto"/>
                <w:kern w:val="0"/>
                <w:szCs w:val="21"/>
                <w:highlight w:val="none"/>
              </w:rPr>
            </w:pPr>
            <w:r>
              <w:rPr>
                <w:rFonts w:hint="eastAsia"/>
                <w:color w:val="auto"/>
                <w:szCs w:val="21"/>
                <w:highlight w:val="none"/>
              </w:rPr>
              <w:t>本项目服务团队成员的工资应不低于深圳市最低工资标准</w:t>
            </w:r>
            <w:r>
              <w:rPr>
                <w:rFonts w:hint="eastAsia"/>
                <w:color w:val="auto"/>
                <w:szCs w:val="21"/>
                <w:highlight w:val="none"/>
                <w:lang w:eastAsia="zh-CN"/>
              </w:rPr>
              <w:t>，</w:t>
            </w:r>
            <w:r>
              <w:rPr>
                <w:rFonts w:hint="eastAsia"/>
                <w:color w:val="auto"/>
                <w:szCs w:val="21"/>
                <w:highlight w:val="none"/>
                <w:lang w:val="en-US" w:eastAsia="zh-CN"/>
              </w:rPr>
              <w:t>且工作时长必须符合劳动相关法律法规规定</w:t>
            </w:r>
            <w:r>
              <w:rPr>
                <w:rFonts w:hint="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tabs>
                <w:tab w:val="left" w:pos="514"/>
              </w:tabs>
              <w:adjustRightInd w:val="0"/>
              <w:snapToGrid w:val="0"/>
              <w:spacing w:line="360" w:lineRule="auto"/>
              <w:jc w:val="center"/>
              <w:rPr>
                <w:rFonts w:hint="default" w:ascii="宋体" w:hAnsi="宋体"/>
                <w:kern w:val="0"/>
                <w:szCs w:val="21"/>
                <w:lang w:val="en-US" w:eastAsia="zh-CN"/>
              </w:rPr>
            </w:pPr>
            <w:r>
              <w:rPr>
                <w:rFonts w:hint="eastAsia" w:ascii="宋体" w:hAnsi="宋体"/>
                <w:kern w:val="0"/>
                <w:szCs w:val="21"/>
                <w:lang w:val="en-US" w:eastAsia="zh-CN"/>
              </w:rPr>
              <w:t>3</w:t>
            </w:r>
          </w:p>
        </w:tc>
        <w:tc>
          <w:tcPr>
            <w:tcW w:w="7795" w:type="dxa"/>
          </w:tcPr>
          <w:p>
            <w:pPr>
              <w:adjustRightInd w:val="0"/>
              <w:snapToGrid w:val="0"/>
              <w:spacing w:line="360" w:lineRule="auto"/>
              <w:jc w:val="left"/>
              <w:rPr>
                <w:rFonts w:hint="eastAsia"/>
                <w:color w:val="auto"/>
                <w:szCs w:val="21"/>
                <w:highlight w:val="none"/>
              </w:rPr>
            </w:pPr>
            <w:r>
              <w:rPr>
                <w:rFonts w:hint="eastAsia"/>
                <w:color w:val="auto"/>
                <w:szCs w:val="21"/>
                <w:highlight w:val="none"/>
              </w:rPr>
              <w:t>项目服务期间，中标人派驻完全独立的项目团队成员，即“同一人员仅可出现在一个绿化管养项目中”。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tabs>
                <w:tab w:val="left" w:pos="514"/>
              </w:tabs>
              <w:adjustRightInd w:val="0"/>
              <w:snapToGrid w:val="0"/>
              <w:spacing w:line="360" w:lineRule="auto"/>
              <w:jc w:val="center"/>
              <w:rPr>
                <w:rFonts w:hint="default" w:ascii="宋体" w:hAnsi="宋体"/>
                <w:kern w:val="0"/>
                <w:szCs w:val="21"/>
                <w:lang w:val="en-US" w:eastAsia="zh-CN"/>
              </w:rPr>
            </w:pPr>
            <w:r>
              <w:rPr>
                <w:rFonts w:hint="eastAsia" w:ascii="宋体" w:hAnsi="宋体"/>
                <w:kern w:val="0"/>
                <w:szCs w:val="21"/>
                <w:lang w:val="en-US" w:eastAsia="zh-CN"/>
              </w:rPr>
              <w:t>4</w:t>
            </w:r>
          </w:p>
        </w:tc>
        <w:tc>
          <w:tcPr>
            <w:tcW w:w="7795" w:type="dxa"/>
          </w:tcPr>
          <w:p>
            <w:pPr>
              <w:adjustRightInd w:val="0"/>
              <w:snapToGrid w:val="0"/>
              <w:spacing w:line="360" w:lineRule="auto"/>
              <w:jc w:val="left"/>
              <w:rPr>
                <w:rFonts w:hint="eastAsia"/>
                <w:color w:val="auto"/>
                <w:szCs w:val="21"/>
                <w:highlight w:val="none"/>
              </w:rPr>
            </w:pPr>
            <w:r>
              <w:rPr>
                <w:rFonts w:hint="eastAsia"/>
                <w:color w:val="auto"/>
                <w:szCs w:val="21"/>
                <w:highlight w:val="none"/>
              </w:rPr>
              <w:t>项目入场时要求一线岗位工人的50%和全部管理团队成员到岗，30天内全部人员到岗。合同生效后，半年内管理团队成员更换比例不得超过20%，一年内管理团队的成员更换比例不得超过30%。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tabs>
                <w:tab w:val="left" w:pos="514"/>
              </w:tabs>
              <w:adjustRightInd w:val="0"/>
              <w:snapToGrid w:val="0"/>
              <w:spacing w:line="360" w:lineRule="auto"/>
              <w:jc w:val="center"/>
              <w:rPr>
                <w:rFonts w:hint="default" w:ascii="宋体" w:hAnsi="宋体"/>
                <w:kern w:val="0"/>
                <w:szCs w:val="21"/>
                <w:lang w:val="en-US" w:eastAsia="zh-CN"/>
              </w:rPr>
            </w:pPr>
            <w:r>
              <w:rPr>
                <w:rFonts w:hint="eastAsia" w:ascii="宋体" w:hAnsi="宋体"/>
                <w:kern w:val="0"/>
                <w:szCs w:val="21"/>
                <w:lang w:val="en-US" w:eastAsia="zh-CN"/>
              </w:rPr>
              <w:t>5</w:t>
            </w:r>
          </w:p>
        </w:tc>
        <w:tc>
          <w:tcPr>
            <w:tcW w:w="7795" w:type="dxa"/>
          </w:tcPr>
          <w:p>
            <w:pPr>
              <w:adjustRightInd w:val="0"/>
              <w:snapToGrid w:val="0"/>
              <w:spacing w:line="360" w:lineRule="auto"/>
              <w:jc w:val="left"/>
              <w:rPr>
                <w:rFonts w:hint="eastAsia"/>
                <w:color w:val="auto"/>
                <w:szCs w:val="21"/>
                <w:highlight w:val="none"/>
              </w:rPr>
            </w:pPr>
            <w:r>
              <w:rPr>
                <w:rFonts w:hint="eastAsia" w:ascii="Times New Roman" w:hAnsi="Times New Roman" w:eastAsia="宋体" w:cs="Times New Roman"/>
                <w:b w:val="0"/>
                <w:bCs w:val="0"/>
                <w:color w:val="auto"/>
                <w:sz w:val="21"/>
                <w:szCs w:val="21"/>
                <w:highlight w:val="none"/>
                <w:lang w:val="en-US" w:eastAsia="zh-CN"/>
              </w:rPr>
              <w:t>车辆机械按照采购人要求、在合同签订之日起15日内配齐并完成备案申报工作，且在合同生效之日起半年内不得更换。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tabs>
                <w:tab w:val="left" w:pos="514"/>
              </w:tabs>
              <w:adjustRightInd w:val="0"/>
              <w:snapToGrid w:val="0"/>
              <w:spacing w:line="360" w:lineRule="auto"/>
              <w:jc w:val="center"/>
              <w:rPr>
                <w:rFonts w:hint="default" w:ascii="宋体" w:hAnsi="宋体"/>
                <w:kern w:val="0"/>
                <w:szCs w:val="21"/>
                <w:lang w:val="en-US" w:eastAsia="zh-CN"/>
              </w:rPr>
            </w:pPr>
            <w:r>
              <w:rPr>
                <w:rFonts w:hint="eastAsia" w:ascii="宋体" w:hAnsi="宋体"/>
                <w:kern w:val="0"/>
                <w:szCs w:val="21"/>
                <w:lang w:val="en-US" w:eastAsia="zh-CN"/>
              </w:rPr>
              <w:t>6</w:t>
            </w:r>
          </w:p>
        </w:tc>
        <w:tc>
          <w:tcPr>
            <w:tcW w:w="7795" w:type="dxa"/>
          </w:tcPr>
          <w:p>
            <w:pPr>
              <w:adjustRightInd w:val="0"/>
              <w:snapToGrid w:val="0"/>
              <w:spacing w:line="360" w:lineRule="auto"/>
              <w:jc w:val="left"/>
              <w:rPr>
                <w:rFonts w:hint="eastAsia" w:ascii="Times New Roman" w:hAnsi="Times New Roman" w:eastAsia="宋体" w:cs="Times New Roman"/>
                <w:b w:val="0"/>
                <w:bCs w:val="0"/>
                <w:color w:val="auto"/>
                <w:sz w:val="21"/>
                <w:szCs w:val="21"/>
                <w:highlight w:val="none"/>
                <w:lang w:val="en-US" w:eastAsia="zh-CN"/>
              </w:rPr>
            </w:pPr>
            <w:r>
              <w:rPr>
                <w:rFonts w:hint="eastAsia" w:ascii="宋体" w:hAnsi="宋体" w:eastAsia="宋体" w:cs="宋体"/>
                <w:sz w:val="21"/>
                <w:szCs w:val="21"/>
                <w:highlight w:val="none"/>
              </w:rPr>
              <w:t>中标单位按现状接管中标绿地，进场后一个月之内按绿化养护要求自行完成承包地块内存在问题（如缺株、人为破坏、黄土裸露、设施缺损等）的治理，并防止新的人为破坏产生。在进场后两个月内中标单位需通过绿地养护和景观提升促进承包地块的养护水平达到本项目养护级别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tabs>
                <w:tab w:val="left" w:pos="514"/>
              </w:tabs>
              <w:adjustRightInd w:val="0"/>
              <w:snapToGrid w:val="0"/>
              <w:spacing w:line="360" w:lineRule="auto"/>
              <w:jc w:val="center"/>
              <w:rPr>
                <w:rFonts w:hint="default" w:ascii="宋体" w:hAnsi="宋体"/>
                <w:kern w:val="0"/>
                <w:szCs w:val="21"/>
                <w:lang w:val="en-US" w:eastAsia="zh-CN"/>
              </w:rPr>
            </w:pPr>
            <w:r>
              <w:rPr>
                <w:rFonts w:hint="eastAsia" w:ascii="宋体" w:hAnsi="宋体"/>
                <w:kern w:val="0"/>
                <w:szCs w:val="21"/>
                <w:lang w:val="en-US" w:eastAsia="zh-CN"/>
              </w:rPr>
              <w:t>7</w:t>
            </w:r>
          </w:p>
        </w:tc>
        <w:tc>
          <w:tcPr>
            <w:tcW w:w="7795" w:type="dxa"/>
          </w:tcPr>
          <w:p>
            <w:pPr>
              <w:adjustRightInd w:val="0"/>
              <w:snapToGrid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投标人承诺提供需求中规定的水质检测服务。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tabs>
                <w:tab w:val="left" w:pos="514"/>
              </w:tabs>
              <w:adjustRightInd w:val="0"/>
              <w:snapToGrid w:val="0"/>
              <w:spacing w:line="360" w:lineRule="auto"/>
              <w:jc w:val="center"/>
              <w:rPr>
                <w:rFonts w:hint="default" w:ascii="宋体" w:hAnsi="宋体"/>
                <w:kern w:val="0"/>
                <w:szCs w:val="21"/>
                <w:lang w:val="en-US" w:eastAsia="zh-CN"/>
              </w:rPr>
            </w:pPr>
            <w:r>
              <w:rPr>
                <w:rFonts w:hint="eastAsia" w:ascii="宋体" w:hAnsi="宋体"/>
                <w:kern w:val="0"/>
                <w:szCs w:val="21"/>
                <w:lang w:val="en-US" w:eastAsia="zh-CN"/>
              </w:rPr>
              <w:t>8</w:t>
            </w:r>
          </w:p>
        </w:tc>
        <w:tc>
          <w:tcPr>
            <w:tcW w:w="7795" w:type="dxa"/>
          </w:tcPr>
          <w:p>
            <w:pPr>
              <w:adjustRightInd w:val="0"/>
              <w:snapToGrid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投标人承诺中标后不挂靠、不转包、不分包</w:t>
            </w:r>
            <w:r>
              <w:rPr>
                <w:rFonts w:hint="eastAsia" w:ascii="宋体" w:hAnsi="宋体" w:eastAsia="宋体" w:cs="宋体"/>
                <w:sz w:val="21"/>
                <w:szCs w:val="21"/>
                <w:highlight w:val="none"/>
                <w:lang w:eastAsia="zh-CN"/>
              </w:rPr>
              <w:t>（电梯维保除外）</w:t>
            </w:r>
            <w:r>
              <w:rPr>
                <w:rFonts w:hint="eastAsia" w:ascii="宋体" w:hAnsi="宋体" w:eastAsia="宋体" w:cs="宋体"/>
                <w:sz w:val="21"/>
                <w:szCs w:val="21"/>
                <w:highlight w:val="none"/>
              </w:rPr>
              <w:t>，如违背愿接收采购人的处罚和通报政度相关部门处理。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jc w:val="center"/>
              <w:rPr>
                <w:rFonts w:hint="eastAsia" w:ascii="宋体" w:hAnsi="宋体" w:eastAsia="宋体"/>
                <w:kern w:val="0"/>
                <w:szCs w:val="21"/>
                <w:lang w:eastAsia="zh-CN"/>
              </w:rPr>
            </w:pPr>
            <w:r>
              <w:rPr>
                <w:rFonts w:hint="eastAsia" w:ascii="宋体" w:hAnsi="宋体"/>
                <w:kern w:val="0"/>
                <w:szCs w:val="21"/>
                <w:lang w:val="en-US" w:eastAsia="zh-CN"/>
              </w:rPr>
              <w:t>9</w:t>
            </w:r>
          </w:p>
        </w:tc>
        <w:tc>
          <w:tcPr>
            <w:tcW w:w="7795" w:type="dxa"/>
          </w:tcPr>
          <w:p>
            <w:pPr>
              <w:rPr>
                <w:rFonts w:hAnsi="宋体" w:eastAsiaTheme="minorEastAsia"/>
                <w:kern w:val="0"/>
                <w:szCs w:val="21"/>
              </w:rPr>
            </w:pPr>
            <w:r>
              <w:rPr>
                <w:rFonts w:hint="eastAsia"/>
                <w:color w:val="FF0000"/>
                <w:szCs w:val="21"/>
              </w:rPr>
              <w:t>★</w:t>
            </w:r>
            <w:r>
              <w:rPr>
                <w:rFonts w:hint="eastAsia"/>
                <w:color w:val="FF0000"/>
              </w:rPr>
              <w:t>完全满足本项目服务期限的要求。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jc w:val="center"/>
              <w:rPr>
                <w:rFonts w:hint="default" w:ascii="宋体" w:hAnsi="宋体" w:eastAsia="宋体"/>
                <w:kern w:val="0"/>
                <w:szCs w:val="21"/>
                <w:lang w:val="en-US" w:eastAsia="zh-CN"/>
              </w:rPr>
            </w:pPr>
            <w:r>
              <w:rPr>
                <w:rFonts w:hint="eastAsia" w:ascii="宋体" w:hAnsi="宋体"/>
                <w:kern w:val="0"/>
                <w:szCs w:val="21"/>
                <w:lang w:val="en-US" w:eastAsia="zh-CN"/>
              </w:rPr>
              <w:t>10</w:t>
            </w:r>
          </w:p>
        </w:tc>
        <w:tc>
          <w:tcPr>
            <w:tcW w:w="7795" w:type="dxa"/>
          </w:tcPr>
          <w:p>
            <w:pPr>
              <w:rPr>
                <w:rFonts w:asciiTheme="minorEastAsia" w:hAnsiTheme="minorEastAsia" w:eastAsiaTheme="minorEastAsia"/>
              </w:rPr>
            </w:pPr>
            <w:r>
              <w:rPr>
                <w:rFonts w:hint="eastAsia"/>
                <w:color w:val="FF0000"/>
                <w:szCs w:val="21"/>
              </w:rPr>
              <w:t>★</w:t>
            </w:r>
            <w:r>
              <w:rPr>
                <w:rFonts w:hint="eastAsia" w:ascii="宋体" w:hAnsi="宋体"/>
                <w:color w:val="FF0000"/>
              </w:rPr>
              <w:t>完全满足本项目其他★标记条款的要求。</w:t>
            </w:r>
          </w:p>
        </w:tc>
      </w:tr>
    </w:tbl>
    <w:p>
      <w:pPr>
        <w:rPr>
          <w:b/>
          <w:bCs/>
          <w:sz w:val="24"/>
        </w:rPr>
      </w:pPr>
      <w:r>
        <w:rPr>
          <w:rFonts w:hint="eastAsia"/>
          <w:b/>
          <w:bCs/>
          <w:sz w:val="24"/>
        </w:rPr>
        <w:t>注：上表所列内容为不可负偏离条款，负偏离将视为未实质性满足招标文件要求作投标无效处理。</w:t>
      </w:r>
      <w:bookmarkEnd w:id="34"/>
    </w:p>
    <w:p>
      <w:pPr>
        <w:rPr>
          <w:b/>
          <w:bCs/>
          <w:sz w:val="24"/>
        </w:rPr>
      </w:pPr>
    </w:p>
    <w:p>
      <w:pPr>
        <w:pStyle w:val="7"/>
        <w:spacing w:before="120" w:beforeLines="50" w:after="120" w:afterLines="50"/>
        <w:rPr>
          <w:szCs w:val="24"/>
        </w:rPr>
      </w:pPr>
      <w:r>
        <w:rPr>
          <w:rFonts w:hint="eastAsia"/>
          <w:szCs w:val="24"/>
        </w:rPr>
        <w:t>五、技术要求</w:t>
      </w:r>
    </w:p>
    <w:p>
      <w:pPr>
        <w:rPr>
          <w:b/>
          <w:sz w:val="24"/>
        </w:rPr>
      </w:pPr>
    </w:p>
    <w:p>
      <w:pPr>
        <w:adjustRightInd w:val="0"/>
        <w:snapToGrid w:val="0"/>
        <w:spacing w:before="120" w:beforeLines="50" w:after="120" w:afterLines="50"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沙头角</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海山</w:t>
      </w:r>
      <w:r>
        <w:rPr>
          <w:rFonts w:hint="eastAsia" w:asciiTheme="minorEastAsia" w:hAnsiTheme="minorEastAsia" w:eastAsiaTheme="minorEastAsia" w:cstheme="minorEastAsia"/>
          <w:b/>
          <w:bCs/>
          <w:color w:val="auto"/>
          <w:sz w:val="21"/>
          <w:szCs w:val="21"/>
          <w:highlight w:val="none"/>
        </w:rPr>
        <w:t>街道养护任务明细表</w:t>
      </w:r>
    </w:p>
    <w:tbl>
      <w:tblPr>
        <w:tblStyle w:val="42"/>
        <w:tblW w:w="879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70"/>
        <w:gridCol w:w="3658"/>
        <w:gridCol w:w="2152"/>
        <w:gridCol w:w="1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728" w:type="dxa"/>
            <w:gridSpan w:val="2"/>
            <w:vMerge w:val="restar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项目名称</w:t>
            </w:r>
          </w:p>
        </w:tc>
        <w:tc>
          <w:tcPr>
            <w:tcW w:w="2152"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数量</w:t>
            </w:r>
          </w:p>
        </w:tc>
        <w:tc>
          <w:tcPr>
            <w:tcW w:w="1919"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4728" w:type="dxa"/>
            <w:gridSpan w:val="2"/>
            <w:vMerge w:val="continue"/>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highlight w:val="none"/>
                <w:u w:val="none"/>
              </w:rPr>
            </w:pPr>
          </w:p>
        </w:tc>
        <w:tc>
          <w:tcPr>
            <w:tcW w:w="2152"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919"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道路绿地</w:t>
            </w: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特级绿地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一级绿地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21079.23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二级绿地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46695.54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三级绿地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16100.56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相邻林地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2"/>
                <w:szCs w:val="22"/>
                <w:u w:val="none"/>
                <w:lang w:val="en-US" w:eastAsia="zh-CN" w:bidi="ar"/>
              </w:rPr>
              <w:t>13703.69</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悬挂绿化</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3562.37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一级行道树</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1393.00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二级行道树</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4013.00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1"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石材路面（花岗岩,大理石）</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24825.34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公园绿地</w:t>
            </w: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特级绿地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94624.24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一级绿地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86876.15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二级绿地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30040.80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三级绿地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16675.07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一级林地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4"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社区公园（一级）</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26362.93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4"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社区公园（二级）</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悬挂绿化</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1911.62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电梯</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一体互动屏</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5.00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栈道管理</w:t>
            </w: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道路保洁</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悬挂绿化</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213.46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相邻林地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1"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石材路面（花岗岩,大理石）</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1651.67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道路标线</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661.79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1"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砼边坡(锚杆,挡土墙)</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1798.60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木栈道</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9383.45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金属栈道</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262.80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金属栏杆</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3346.20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砼栏杆</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56.85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仿木栏杆</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标识系统</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30.60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边沟</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2978.75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单杆灯</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226.00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地灯</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408.00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1"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风雨亭（10-50平方米）</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6.00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1"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风雨亭（50平方米以上）</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直饮水机</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1.00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智慧座椅</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2.00 </w:t>
            </w:r>
          </w:p>
        </w:tc>
        <w:tc>
          <w:tcPr>
            <w:tcW w:w="1919"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6"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游乐及康体设施</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401.53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4" w:hRule="atLeast"/>
        </w:trPr>
        <w:tc>
          <w:tcPr>
            <w:tcW w:w="1070"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绿道管护</w:t>
            </w: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道路绿地（三级）</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89046.75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道路相邻林地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75925.02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1"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绿道绿化（三级管护）</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78125.12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路面保洁</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128230.44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绿道相邻林地</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122642.19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绿化保洁</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7880.14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路灯</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141.00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一级维护</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19933.51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二级维护</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15672.91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三级维护</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13837.54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安保</w:t>
            </w: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保安</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68.00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5"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救生员</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4.00 </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1" w:hRule="atLeast"/>
        </w:trPr>
        <w:tc>
          <w:tcPr>
            <w:tcW w:w="1070"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公厕保洁</w:t>
            </w: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一级保洁（10蹲位以上）</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1"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一级保洁（10蹲位以下）</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1" w:hRule="atLeast"/>
        </w:trPr>
        <w:tc>
          <w:tcPr>
            <w:tcW w:w="107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3658"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二级保洁（10蹲位以下）</w:t>
            </w:r>
          </w:p>
        </w:tc>
        <w:tc>
          <w:tcPr>
            <w:tcW w:w="215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0" w:type="auto"/>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w:t>
            </w:r>
          </w:p>
        </w:tc>
      </w:tr>
    </w:tbl>
    <w:p>
      <w:pPr>
        <w:adjustRightInd w:val="0"/>
        <w:snapToGrid w:val="0"/>
        <w:spacing w:line="240" w:lineRule="auto"/>
        <w:rPr>
          <w:rFonts w:hint="eastAsia" w:asciiTheme="minorEastAsia" w:hAnsiTheme="minorEastAsia" w:eastAsiaTheme="minorEastAsia" w:cstheme="minorEastAsia"/>
          <w:color w:val="auto"/>
          <w:sz w:val="21"/>
          <w:szCs w:val="21"/>
          <w:highlight w:val="none"/>
        </w:rPr>
      </w:pPr>
    </w:p>
    <w:p>
      <w:pPr>
        <w:pStyle w:val="18"/>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u w:val="single"/>
          <w:lang w:val="en-US"/>
        </w:rPr>
      </w:pPr>
      <w:r>
        <w:rPr>
          <w:rFonts w:hint="eastAsia" w:asciiTheme="minorEastAsia" w:hAnsiTheme="minorEastAsia" w:eastAsiaTheme="minorEastAsia" w:cstheme="minorEastAsia"/>
          <w:sz w:val="21"/>
          <w:szCs w:val="21"/>
          <w:highlight w:val="none"/>
          <w:lang w:val="en-US" w:eastAsia="zh-CN"/>
        </w:rPr>
        <w:t>具体管养范围以实际接管的为准，若因市政建设或为了方便采购人管理需要调整包号绿地范围、管养地段、管养树木和管养级别，导致绿地管养面积、公园数量、公厕数量等服务内容减少或增多的，中标人应根据项目配置要求相对应核增或核减人员、车辆、设备等。采购人每月按照实际管养数量及中标单价计算一次相应的核增或核减费用，若核算后的月服务费未超过每月中标金额（中标价÷12个月），则中标人需无条件服从安排；若核算后的月服务费超过按中标价计算的每月服务费用的，在经财政主管部门同意的情况下，可另行增加管养费用，增加的费用不得超过每月中标金额的10%。</w:t>
      </w:r>
      <w:r>
        <w:rPr>
          <w:rFonts w:hint="eastAsia" w:asciiTheme="minorEastAsia" w:hAnsiTheme="minorEastAsia" w:eastAsiaTheme="minorEastAsia" w:cstheme="minorEastAsia"/>
          <w:b/>
          <w:bCs/>
          <w:sz w:val="21"/>
          <w:szCs w:val="21"/>
          <w:highlight w:val="none"/>
          <w:u w:val="none"/>
          <w:lang w:val="en-US" w:eastAsia="zh-CN"/>
        </w:rPr>
        <w:t>特别强调，原半山步道管理内容于2026年11月27日起开始接管，接管前每月固定扣除502413.26元，不足一月的按实际天数进行折算。</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一</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 xml:space="preserve">）道路绿地管养技术要求 </w:t>
      </w:r>
    </w:p>
    <w:p>
      <w:pPr>
        <w:keepNext w:val="0"/>
        <w:keepLines w:val="0"/>
        <w:pageBreakBefore w:val="0"/>
        <w:widowControl w:val="0"/>
        <w:kinsoku/>
        <w:wordWrap/>
        <w:overflowPunct/>
        <w:topLinePunct w:val="0"/>
        <w:autoSpaceDE/>
        <w:autoSpaceDN/>
        <w:bidi w:val="0"/>
        <w:adjustRightInd w:val="0"/>
        <w:snapToGrid w:val="0"/>
        <w:spacing w:line="240" w:lineRule="auto"/>
        <w:ind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1.服务内容</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道路绿地管养的工作内容包括绿化养护、卫生保洁、设施维护及安全。其中：</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（1）绿化养护：日常浇水、中耕施肥、修剪、防病虫害、补植、防台风加固、整地、整形细剪剥芽、树桩绑扎、加土扶正、洒水。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（2）卫生保洁：钩除枯枝、环境清理、垃圾清运、共享单车清运。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（3）设施维护及安全：绿地维护、地勤安全、护树设施更换拆卸松绑、灌溉排水、绿化设施维护。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2.技术要求</w:t>
      </w:r>
    </w:p>
    <w:p>
      <w:pPr>
        <w:pStyle w:val="70"/>
        <w:keepNext w:val="0"/>
        <w:keepLines w:val="0"/>
        <w:pageBreakBefore w:val="0"/>
        <w:widowControl w:val="0"/>
        <w:numPr>
          <w:ilvl w:val="5"/>
          <w:numId w:val="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特级绿地管养要求</w:t>
      </w:r>
    </w:p>
    <w:p>
      <w:pPr>
        <w:pStyle w:val="70"/>
        <w:keepNext w:val="0"/>
        <w:keepLines w:val="0"/>
        <w:pageBreakBefore w:val="0"/>
        <w:widowControl w:val="0"/>
        <w:numPr>
          <w:ilvl w:val="6"/>
          <w:numId w:val="8"/>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草坪管养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草坪特级管养的标准是目的草种生长旺盛，草坪整齐雅观，四季常绿，覆盖率达99%以上，杂草率低3%，无坑洼积水，无裸露地。</w:t>
      </w:r>
    </w:p>
    <w:p>
      <w:pPr>
        <w:pStyle w:val="70"/>
        <w:keepNext w:val="0"/>
        <w:keepLines w:val="0"/>
        <w:pageBreakBefore w:val="0"/>
        <w:widowControl w:val="0"/>
        <w:numPr>
          <w:ilvl w:val="1"/>
          <w:numId w:val="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生长势强，生长量超过该草种该规格的平均年生长量，叶片健壮，叶色浓绿，无枯黄叶。</w:t>
      </w:r>
    </w:p>
    <w:p>
      <w:pPr>
        <w:pStyle w:val="70"/>
        <w:keepNext w:val="0"/>
        <w:keepLines w:val="0"/>
        <w:pageBreakBefore w:val="0"/>
        <w:widowControl w:val="0"/>
        <w:numPr>
          <w:ilvl w:val="1"/>
          <w:numId w:val="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考虑季节特点和草种的生长发育特性，使草的高度一致，边缘整齐。高度控制在：夏威夷草、结缕草3-7厘米，大叶油草、假俭草等5-10厘米。</w:t>
      </w:r>
    </w:p>
    <w:p>
      <w:pPr>
        <w:pStyle w:val="70"/>
        <w:keepNext w:val="0"/>
        <w:keepLines w:val="0"/>
        <w:pageBreakBefore w:val="0"/>
        <w:widowControl w:val="0"/>
        <w:numPr>
          <w:ilvl w:val="1"/>
          <w:numId w:val="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草坪植物的生长需要加强淋水和施肥，保证肥水充足，肥料的施用方法和用量科学，防止过量或不均匀引起肥伤。在雨水缺少的季节，每天的淋水稍大于该草种该规格的蒸腾量，使含水量保持在：砂土为3～6%，砂壤土为6～12%，壤土为12～23%，粘土为21～23%。特别在10～2 月份要勤淋水多施肥，适当进行根外追肥，使草坪保持优良的长势度过干旱的秋、冬季。</w:t>
      </w:r>
    </w:p>
    <w:p>
      <w:pPr>
        <w:pStyle w:val="70"/>
        <w:keepNext w:val="0"/>
        <w:keepLines w:val="0"/>
        <w:pageBreakBefore w:val="0"/>
        <w:widowControl w:val="0"/>
        <w:numPr>
          <w:ilvl w:val="1"/>
          <w:numId w:val="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除杂草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经常除杂草，使纯草坪和混合草坪的目的草种纯度达97%以上。新接管的绿地要求半年内达标。</w:t>
      </w:r>
    </w:p>
    <w:p>
      <w:pPr>
        <w:pStyle w:val="70"/>
        <w:keepNext w:val="0"/>
        <w:keepLines w:val="0"/>
        <w:pageBreakBefore w:val="0"/>
        <w:widowControl w:val="0"/>
        <w:numPr>
          <w:ilvl w:val="1"/>
          <w:numId w:val="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填平坑洼</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及时填平坑洼地，使草坪内无坑洼积水，平整雅观。</w:t>
      </w:r>
    </w:p>
    <w:p>
      <w:pPr>
        <w:pStyle w:val="70"/>
        <w:keepNext w:val="0"/>
        <w:keepLines w:val="0"/>
        <w:pageBreakBefore w:val="0"/>
        <w:widowControl w:val="0"/>
        <w:numPr>
          <w:ilvl w:val="1"/>
          <w:numId w:val="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被破坏或其它原因引起死亡的草坪植物应及时补植原有草种，使草坪保持完整，无裸露地。补植后要加强保养，保证一个月内达到要求覆盖率；背景林下草坪因荫蔽环境造成死亡或生长不良的，应改植其它耐阴地被或灌木，改种时应体现植物多样性。</w:t>
      </w:r>
    </w:p>
    <w:p>
      <w:pPr>
        <w:pStyle w:val="70"/>
        <w:keepNext w:val="0"/>
        <w:keepLines w:val="0"/>
        <w:pageBreakBefore w:val="0"/>
        <w:widowControl w:val="0"/>
        <w:numPr>
          <w:ilvl w:val="1"/>
          <w:numId w:val="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加抗病虫能力，经常检查，早发现早处理。采取综合防治、化学防治、物理人工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在5%以下。</w:t>
      </w:r>
    </w:p>
    <w:p>
      <w:pPr>
        <w:pStyle w:val="70"/>
        <w:keepNext w:val="0"/>
        <w:keepLines w:val="0"/>
        <w:pageBreakBefore w:val="0"/>
        <w:widowControl w:val="0"/>
        <w:numPr>
          <w:ilvl w:val="1"/>
          <w:numId w:val="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复壮</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定期采用打孔、疏草、铺沙等复壮措施，改良生境。结合其他养护措施，使草坪保持平整、健壮。</w:t>
      </w:r>
    </w:p>
    <w:p>
      <w:pPr>
        <w:pStyle w:val="70"/>
        <w:keepNext w:val="0"/>
        <w:keepLines w:val="0"/>
        <w:pageBreakBefore w:val="0"/>
        <w:widowControl w:val="0"/>
        <w:numPr>
          <w:ilvl w:val="6"/>
          <w:numId w:val="8"/>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灌木和花卉管养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和花卉特级管养的标准是生长旺盛，花繁叶茂，造型美观，修剪工艺精细，植物造型具有艺术感和创意；修剪适时,造型美观，花坛、花带、绿篱轮廓清晰，整齐一致，无残缺断层；随缺随补，超出30%的地栽花卉处于凋谢期必须更换。</w:t>
      </w:r>
    </w:p>
    <w:p>
      <w:pPr>
        <w:pStyle w:val="70"/>
        <w:keepNext w:val="0"/>
        <w:keepLines w:val="0"/>
        <w:pageBreakBefore w:val="0"/>
        <w:widowControl w:val="0"/>
        <w:numPr>
          <w:ilvl w:val="1"/>
          <w:numId w:val="1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生长势强，生长量超过该种类该规格的平均年生长量；枝叶健壮，枝多叶茂，叶色鲜艳，下部不光秃，无枯枝残叶，植株整齐一致，花卉适时开花。</w:t>
      </w:r>
    </w:p>
    <w:p>
      <w:pPr>
        <w:pStyle w:val="70"/>
        <w:keepNext w:val="0"/>
        <w:keepLines w:val="0"/>
        <w:pageBreakBefore w:val="0"/>
        <w:widowControl w:val="0"/>
        <w:numPr>
          <w:ilvl w:val="1"/>
          <w:numId w:val="1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每种植物的生长发育特点，既造型美观又能适时开花，花多色艳；花灌木和草本花卉在花芽分化前进行修剪，避免把花芽剪掉；枯萎的花蒂、黄叶及枯枝要及时剪除；绿篱和色块应保持经常性修剪，使图案明显、整齐，达到最佳效果。</w:t>
      </w:r>
    </w:p>
    <w:p>
      <w:pPr>
        <w:pStyle w:val="70"/>
        <w:keepNext w:val="0"/>
        <w:keepLines w:val="0"/>
        <w:pageBreakBefore w:val="0"/>
        <w:widowControl w:val="0"/>
        <w:numPr>
          <w:ilvl w:val="1"/>
          <w:numId w:val="1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植物的生长及开花特性进行合理灌溉和施肥。在雨水缺少的季节，每天的淋水量要稍大于该种类该规格的蒸腾量，使含水量保持在：砂土为3～6%，砂壤土为6～12%，壤土为12～23%，粘土21～23%。一般在每年春、秋季重点施肥2～3次。施肥可采用埋施或水施等不同方法，肥料不能裸露。埋施可先挖穴或开沟，施肥后要回填土、踏实、淋足水、找平。一般可结合除草松土进行施肥，并确保施肥后异味散发。</w:t>
      </w:r>
    </w:p>
    <w:p>
      <w:pPr>
        <w:pStyle w:val="70"/>
        <w:keepNext w:val="0"/>
        <w:keepLines w:val="0"/>
        <w:pageBreakBefore w:val="0"/>
        <w:widowControl w:val="0"/>
        <w:numPr>
          <w:ilvl w:val="1"/>
          <w:numId w:val="1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除杂草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经常除草和松土，除杂松土时要保护根系，不能伤根及造成根系裸露，更不能造成黄土裸露。</w:t>
      </w:r>
    </w:p>
    <w:p>
      <w:pPr>
        <w:pStyle w:val="70"/>
        <w:keepNext w:val="0"/>
        <w:keepLines w:val="0"/>
        <w:pageBreakBefore w:val="0"/>
        <w:widowControl w:val="0"/>
        <w:numPr>
          <w:ilvl w:val="1"/>
          <w:numId w:val="1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补植、改植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理死苗，一周内补植回原来的种类并力求规格与原来植株接近，以保证优良的景观效果。补植按照种植规范进行，施足基肥并加强淋水等保养措施，确保成活率98％以上。对已呈老化或明显与周围环境不协调的灌木和花卉应及时进行改植。</w:t>
      </w:r>
    </w:p>
    <w:p>
      <w:pPr>
        <w:pStyle w:val="70"/>
        <w:keepNext w:val="0"/>
        <w:keepLines w:val="0"/>
        <w:pageBreakBefore w:val="0"/>
        <w:widowControl w:val="0"/>
        <w:numPr>
          <w:ilvl w:val="1"/>
          <w:numId w:val="1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检查，早发现早处理。采取综合防治、化学防治、物理人工防治和生物防治等方法防止病虫害蔓延和影响植物生长。尽量采用生物防治的办法，以减少对环境的污染。用化学方法防治时，喷药一般要在晚上进行；药物、用量及对环境的影响，要符合环保的要求和标准。发生病虫为害，最严重的危害率在5%以下。</w:t>
      </w:r>
    </w:p>
    <w:p>
      <w:pPr>
        <w:pStyle w:val="70"/>
        <w:keepNext w:val="0"/>
        <w:keepLines w:val="0"/>
        <w:pageBreakBefore w:val="0"/>
        <w:widowControl w:val="0"/>
        <w:numPr>
          <w:ilvl w:val="6"/>
          <w:numId w:val="8"/>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乔木管养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乔木特级管养的标准是生长旺盛，枝叶健壮，树形美观，修剪适度，无死树缺株，无枯枝残叶，景观效果优美。</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生长势强，生长量超过该树种该规格的平均年生长量；枝叶健壮，叶色青绿，无枯枝残叶。</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树种的生长特点如萌芽期、花期等，除棕榈等植物外，其它乔木一般在叶芽和花芽分化前进行修剪，避免把叶芽和花芽剪掉，使花乔木花繁叶茂；乔木整形效果要与周围环境协调，以增强园林美化效果；单位附属绿地内种植的树木的枝叶伸向城市公共道路或他人物业范围内的，要及时修剪；修剪时按操作规程进行，尽量减少伤口，剪口要平，不劈不裂，不能留有树钉，直径超过 4cm 以上的剪锯口，应涂抹防腐剂促进伤口愈合；阴枝、下垂枝、病虫枝、干枯枝叶及下缘线下的萌蘖枝要及时剪除；及时摘除残花、干果。绿地背景林乔木只修剪带叶枯枝、病虫枝和主干上的萌蘖枝。</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不同生长季节的天气情况，不同植物种类和不同树龄适当淋水，并在每年的春、秋重点施肥2～3次。施肥量根据树木的种类和生长情况而定，种植三年以内的乔木和树穴有植被的乔木要适当增加施肥量和次数。肥料要埋施，先打穴或开沟。施肥后要回填土，踏实、淋足水，找平，切忌肥料裸露。乔木施肥穴的规格一般为40×30×40厘米，挖沟的规格为30×40厘米。挖穴或开沟的位置一般是树冠外缘的投线影（行列树除外），每株树挖对称的两穴或四穴。</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中耕除草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种植三年以内的乔木及所有棕榈科植物的树头位杂草应及时清除，树木根部土壤保持疏松，影响树木生长和景观的各类野生藤蔓及时清除。</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补植、改植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理死树，要求在两周内补植回原来的树种并力求规格与原有的树木接近，以保证优良的景观效果。补植要按照树木种植规范进行，施足基肥并加强淋水等保养措施，确保成活率。对已呈老化或明显与周围环境景观不协调的树木应及时进行改植。</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加抗病虫能力，经常检查，早发现早处理。采取综合防治、化学防治、物理人工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5%以下，单株受害程度在5%以下。</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防台风及意外</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做好防台风工作。台风前加强防御措施，合理修剪，加固护树设施，以增强抵御台风的能力。台风吹袭期间迅速清理倒树断枝，疏通道路。台风后及时进行扶树、护树，补好残缺，清除断枝、落叶和垃圾，使绿化景观尽快恢复。遇雷电风雨、人畜危害或交通意外而使树木歪斜或倒树断枝，要立即处理、疏通道路。</w:t>
      </w:r>
    </w:p>
    <w:p>
      <w:pPr>
        <w:pStyle w:val="70"/>
        <w:keepNext w:val="0"/>
        <w:keepLines w:val="0"/>
        <w:pageBreakBefore w:val="0"/>
        <w:widowControl w:val="0"/>
        <w:numPr>
          <w:ilvl w:val="6"/>
          <w:numId w:val="8"/>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设施包括喷灌系统、护栏、坐凳、园道、康体设施、游玩设施、园林建筑小品、护树设施、灯光设施、供水、喷泉等。保护好绿化设施，确保其完好无损，如发现设施破损，应及时修复，消除安全隐患，对破坏绿化设施行为要加以制止并及时报告绿化管理部门。中标人需每月将园林小品、花基座凳、园林铺地、围墙围栏车挡等所有设施进行全面检查，清洁、维修一遍，每年全面翻新一遍。检查时应对绿地样点内所有设施的功能性和景观性进行检查。中标人还需对辖区绿地内的设施进行一次全面的普查登记，录入绿地档案，报采购人备案，并每个月申报变更情况。护树桩、护栏、水电等若有损坏，当日修好，其他设施按整改要求时限（3天）修好。</w:t>
      </w:r>
    </w:p>
    <w:p>
      <w:pPr>
        <w:pStyle w:val="70"/>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护树设施的管理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护树设施的管理标准是整齐、直立、高度一致。护树桩、板、胶带有霉烂、松脱、断裂要及时更换，使其达到护树效果。护树板、胶带要根据树木生长情况及时松绑；不需要的护树设施要及时拆除、清理。</w:t>
      </w:r>
    </w:p>
    <w:p>
      <w:pPr>
        <w:pStyle w:val="70"/>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护栏管理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护栏的管理标准是保持护栏平整美观不倾斜，老化褪色的要及时翻新，损坏的要及时修复，不需要的要及时拆除。</w:t>
      </w:r>
    </w:p>
    <w:p>
      <w:pPr>
        <w:pStyle w:val="70"/>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喷灌设施的管理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喷灌设施要经常维护，确保喷洒正常、开关灵活、无漏水。注意使用喷灌设备时，喷灌范围不得超出草坪范围，以免喷湿行人或车辆。保护绿化供水设施，防止绿化用水被盗用。</w:t>
      </w:r>
    </w:p>
    <w:p>
      <w:pPr>
        <w:pStyle w:val="70"/>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路缘石、花基和园林雕塑的管理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路缘石、花基和园林雕塑要保持清洁、美观，对乱涂、乱画、乱张贴的要及时清理干净，对损坏的要及时修复。覆盖乱涂乱画时应选用同一质地同一颜色的材料。</w:t>
      </w:r>
    </w:p>
    <w:p>
      <w:pPr>
        <w:pStyle w:val="70"/>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景墙、亭廊等建(构)筑物的管理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景墙、亭廊等建(构)筑物须定期进行粉刷翻新，及时清理乱涂、乱画、乱张贴，保持整洁、美观。</w:t>
      </w:r>
    </w:p>
    <w:p>
      <w:pPr>
        <w:pStyle w:val="70"/>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园路管理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园路管理的标准是路面保持清洁、美观，要求及时清除路面污垢杂物，修补破损，以增强园林美化效果。</w:t>
      </w:r>
    </w:p>
    <w:p>
      <w:pPr>
        <w:pStyle w:val="70"/>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灯光设施的管理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对绿地上的灯光照明设施要经常检修维护，确保用电安全。发现破损及时修复，保证正常照明功能。</w:t>
      </w:r>
    </w:p>
    <w:p>
      <w:pPr>
        <w:pStyle w:val="70"/>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水池、喷泉管理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水池管理的标准是保持水面及水池内外清洁，水质良好，水量适度，不漏水。喷泉设施完好，运作正常，每天开放时间不少于6小时。水池内杂物及时清除，定时消毒灭虫，定时清洗水池；及时修复受损的池壁、水池设备。</w:t>
      </w:r>
    </w:p>
    <w:p>
      <w:pPr>
        <w:pStyle w:val="70"/>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座椅、果皮箱、垃圾桶的管理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座椅、果皮箱、垃圾桶应每天清洗，保持干净，定期进行粉刷翻新，及时修复破损设施。</w:t>
      </w:r>
    </w:p>
    <w:p>
      <w:pPr>
        <w:pStyle w:val="70"/>
        <w:keepNext w:val="0"/>
        <w:keepLines w:val="0"/>
        <w:pageBreakBefore w:val="0"/>
        <w:widowControl w:val="0"/>
        <w:numPr>
          <w:ilvl w:val="6"/>
          <w:numId w:val="8"/>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环境卫生</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环境卫生的标准是绿地清洁，无枯枝枯叶，无成片落叶，无建筑垃圾，无生活垃圾及其他杂物，无粪便暴露，无鼠迹、鼠洞和蚊蝇滋生地。</w:t>
      </w:r>
    </w:p>
    <w:p>
      <w:pPr>
        <w:pStyle w:val="70"/>
        <w:keepNext w:val="0"/>
        <w:keepLines w:val="0"/>
        <w:pageBreakBefore w:val="0"/>
        <w:widowControl w:val="0"/>
        <w:numPr>
          <w:ilvl w:val="6"/>
          <w:numId w:val="1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清洁、保洁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每天4:00—24:00保持绿地无垃圾杂物，包括生活垃圾、石砾砖块、干枝枯叶、粪便，无鼠迹和蚊蝇滋生地等，发现鼠洞要随时堵塞。清除垃圾杂物后要注意保洁，绿地一有垃圾，要求及时拣拾干净。</w:t>
      </w:r>
    </w:p>
    <w:p>
      <w:pPr>
        <w:pStyle w:val="70"/>
        <w:keepNext w:val="0"/>
        <w:keepLines w:val="0"/>
        <w:pageBreakBefore w:val="0"/>
        <w:widowControl w:val="0"/>
        <w:numPr>
          <w:ilvl w:val="6"/>
          <w:numId w:val="1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清运</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归堆后的垃圾杂物和垃圾收集容器等器具放在隐蔽的地方，分车带修剪下的枝叶，应随时归堆放在路边不影响车辆、行人处，垃圾做到日产日清，不过夜，不焚烧。</w:t>
      </w:r>
    </w:p>
    <w:p>
      <w:pPr>
        <w:pStyle w:val="70"/>
        <w:keepNext w:val="0"/>
        <w:keepLines w:val="0"/>
        <w:pageBreakBefore w:val="0"/>
        <w:widowControl w:val="0"/>
        <w:numPr>
          <w:ilvl w:val="6"/>
          <w:numId w:val="8"/>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绿地维护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绿地维护的标准是绿地红线范围内不被侵占，花草树木不受破坏，无乱摆卖、乱停放、乱搭建的现象。</w:t>
      </w:r>
    </w:p>
    <w:p>
      <w:pPr>
        <w:pStyle w:val="70"/>
        <w:keepNext w:val="0"/>
        <w:keepLines w:val="0"/>
        <w:pageBreakBefore w:val="0"/>
        <w:widowControl w:val="0"/>
        <w:numPr>
          <w:ilvl w:val="6"/>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保护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对任何侵占和破坏行为要加以制止并及时报告绿化管理部门。经批准临时占用的绿地，监督其按期恢复绿化。如发现未经审批擅自占用绿地、或者超过审批面积或数量占用绿地的、或未按要求按期恢复绿化的，要立即上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。如发现未经审批擅自迁移树木或超过审批数量迁移树木的或树木迁移不符合规范的，要立即上报。</w:t>
      </w:r>
    </w:p>
    <w:p>
      <w:pPr>
        <w:pStyle w:val="70"/>
        <w:keepNext w:val="0"/>
        <w:keepLines w:val="0"/>
        <w:pageBreakBefore w:val="0"/>
        <w:widowControl w:val="0"/>
        <w:numPr>
          <w:ilvl w:val="6"/>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监管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加强监管，确保绿地内没有堆放杂物、停放车辆、设摊摆卖、踢球戏耍、晾衣、张挂或在树木上钉钉、缠绕绳索铁丝等损害花草树木的行为。</w:t>
      </w:r>
    </w:p>
    <w:p>
      <w:pPr>
        <w:pStyle w:val="70"/>
        <w:keepNext w:val="0"/>
        <w:keepLines w:val="0"/>
        <w:pageBreakBefore w:val="0"/>
        <w:widowControl w:val="0"/>
        <w:numPr>
          <w:ilvl w:val="6"/>
          <w:numId w:val="8"/>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安全文明生产</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重视安全文明生产，落实安全措施。工作人员在进行生产操作时，应按照要求穿戴安全制服、安全帽、手套、安全带等安全防护设备。工作现场必要时应设立安全标志牌，工作过程须克服麻痹大意思想，确保不出安全问题。</w:t>
      </w:r>
    </w:p>
    <w:p>
      <w:pPr>
        <w:pStyle w:val="70"/>
        <w:keepNext w:val="0"/>
        <w:keepLines w:val="0"/>
        <w:pageBreakBefore w:val="0"/>
        <w:widowControl w:val="0"/>
        <w:numPr>
          <w:ilvl w:val="5"/>
          <w:numId w:val="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一级绿地管养要求 </w:t>
      </w:r>
    </w:p>
    <w:p>
      <w:pPr>
        <w:pStyle w:val="70"/>
        <w:keepNext w:val="0"/>
        <w:keepLines w:val="0"/>
        <w:pageBreakBefore w:val="0"/>
        <w:widowControl w:val="0"/>
        <w:numPr>
          <w:ilvl w:val="6"/>
          <w:numId w:val="1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草坪管养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草坪一级管养的标准是目的草种生长旺盛，呈勃勃生机，草坪整齐雅观，四季常绿，覆盖率达98%以上，杂草率低于3%，无坑洼积水，无裸露地。</w:t>
      </w:r>
    </w:p>
    <w:p>
      <w:pPr>
        <w:pStyle w:val="70"/>
        <w:keepNext w:val="0"/>
        <w:keepLines w:val="0"/>
        <w:pageBreakBefore w:val="0"/>
        <w:widowControl w:val="0"/>
        <w:numPr>
          <w:ilvl w:val="1"/>
          <w:numId w:val="1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生长势强，生长量超过该草种该规格的平均年生长量，叶片健壮，生机勃勃，叶色浓绿，无枯黄叶。</w:t>
      </w:r>
    </w:p>
    <w:p>
      <w:pPr>
        <w:pStyle w:val="70"/>
        <w:keepNext w:val="0"/>
        <w:keepLines w:val="0"/>
        <w:pageBreakBefore w:val="0"/>
        <w:widowControl w:val="0"/>
        <w:numPr>
          <w:ilvl w:val="1"/>
          <w:numId w:val="1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考虑季节特点和草种的生长发育特性，使草的高度一致，边缘整齐。高度控制在：台湾草5厘米以下，大叶油草、假俭草、沿阶草10厘米以下。 </w:t>
      </w:r>
    </w:p>
    <w:p>
      <w:pPr>
        <w:pStyle w:val="70"/>
        <w:keepNext w:val="0"/>
        <w:keepLines w:val="0"/>
        <w:pageBreakBefore w:val="0"/>
        <w:widowControl w:val="0"/>
        <w:numPr>
          <w:ilvl w:val="1"/>
          <w:numId w:val="1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草坪植物的生长需要加强淋水和施肥，保证肥水充足，肥料的施用方法和用量科学，防止过量或不均引起肥伤。在雨水缺少季节，每天的淋水量稍大于该规格的蒸腾量，使含水量保持在：砂土为3-6%，砂壤土为6-12%，壤土为12-23%，粘土为21-23%。需水量大的植物，其土壤含水量一般要求砂土为4.5-6%，砂壤土为9-12%，壤土为18-23%，粘土为22-23%；需水量少且不耐涝的植物，其土壤含水量控制在：砂土为3-4.5%，砂壤土为6-9%，壤土为12-18%，粘土为21-22%。特别在10-2月份要勤淋水多施肥，适当进行根外追肥，使草坪保持优良的长势度过干旱的秋、冬季。 </w:t>
      </w:r>
    </w:p>
    <w:p>
      <w:pPr>
        <w:pStyle w:val="70"/>
        <w:keepNext w:val="0"/>
        <w:keepLines w:val="0"/>
        <w:pageBreakBefore w:val="0"/>
        <w:widowControl w:val="0"/>
        <w:numPr>
          <w:ilvl w:val="1"/>
          <w:numId w:val="1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除杂草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经常除杂草，使纯草坪和混合草坪的目的草种纯度达97%。新接管的绿地要求半年内达标。</w:t>
      </w:r>
    </w:p>
    <w:p>
      <w:pPr>
        <w:pStyle w:val="70"/>
        <w:keepNext w:val="0"/>
        <w:keepLines w:val="0"/>
        <w:pageBreakBefore w:val="0"/>
        <w:widowControl w:val="0"/>
        <w:numPr>
          <w:ilvl w:val="1"/>
          <w:numId w:val="1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填平坑洼</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及时填平坑洼地，使草坪内无坑洼积水，平整雅观。 </w:t>
      </w:r>
    </w:p>
    <w:p>
      <w:pPr>
        <w:pStyle w:val="70"/>
        <w:keepNext w:val="0"/>
        <w:keepLines w:val="0"/>
        <w:pageBreakBefore w:val="0"/>
        <w:widowControl w:val="0"/>
        <w:numPr>
          <w:ilvl w:val="1"/>
          <w:numId w:val="1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对被破坏或其它原因引起死亡的草坪植物应及时补植，使草坪保持完整，无裸露地。补植要补与原草坪相同的草种，适当密植，补植后加强保养，保证一个月内覆盖率达98%。 </w:t>
      </w:r>
    </w:p>
    <w:p>
      <w:pPr>
        <w:pStyle w:val="70"/>
        <w:keepNext w:val="0"/>
        <w:keepLines w:val="0"/>
        <w:pageBreakBefore w:val="0"/>
        <w:widowControl w:val="0"/>
        <w:numPr>
          <w:ilvl w:val="1"/>
          <w:numId w:val="1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检查，早发现早处理。采取综合防治、化学防治、物理人工防治和生物防治等方法防止病虫害蔓延和影响植物生长。尽量采用生物防治的办法，以减少对环境的污染。用化学方法防治时，一般在晚上进行喷药；药物、用量及对环境污染影响，要符合环保的要求和标准。发生病虫为害，最严重的危害率在5%以下。</w:t>
      </w:r>
    </w:p>
    <w:p>
      <w:pPr>
        <w:pStyle w:val="70"/>
        <w:keepNext w:val="0"/>
        <w:keepLines w:val="0"/>
        <w:pageBreakBefore w:val="0"/>
        <w:widowControl w:val="0"/>
        <w:numPr>
          <w:ilvl w:val="1"/>
          <w:numId w:val="1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复壮</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定期采用打孔、疏草、铺沙等复壮措施，改良生境。结合其他养护措施，使草坪保持平整、健壮。 </w:t>
      </w:r>
    </w:p>
    <w:p>
      <w:pPr>
        <w:pStyle w:val="70"/>
        <w:keepNext w:val="0"/>
        <w:keepLines w:val="0"/>
        <w:pageBreakBefore w:val="0"/>
        <w:widowControl w:val="0"/>
        <w:numPr>
          <w:ilvl w:val="6"/>
          <w:numId w:val="1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灌木和花卉管养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灌木和花卉一级管养的标准是生长旺盛，花繁叶茂，造型美观，修剪工艺精细，植物造型具有艺术感和立体感。超出50%的地栽花卉处于凋谢期必须更换。</w:t>
      </w:r>
    </w:p>
    <w:p>
      <w:pPr>
        <w:pStyle w:val="70"/>
        <w:keepNext w:val="0"/>
        <w:keepLines w:val="0"/>
        <w:pageBreakBefore w:val="0"/>
        <w:widowControl w:val="0"/>
        <w:numPr>
          <w:ilvl w:val="1"/>
          <w:numId w:val="17"/>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强，生长量超过该种类该规格的平均年生长量；枝叶健壮，枝多叶茂，叶色鲜艳，下部不光秃，无枯枝残叶，植株整齐一致，花卉适时开花，花多色艳，常年开花植物一年四季鲜花盛开；花坛轮廓清晰，无残缺，绿篱无断层。 </w:t>
      </w:r>
    </w:p>
    <w:p>
      <w:pPr>
        <w:pStyle w:val="70"/>
        <w:keepNext w:val="0"/>
        <w:keepLines w:val="0"/>
        <w:pageBreakBefore w:val="0"/>
        <w:widowControl w:val="0"/>
        <w:numPr>
          <w:ilvl w:val="1"/>
          <w:numId w:val="17"/>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每种植物的生长发育特点，既造型美观又能适时开花，花多色艳；花灌木和草本花卉在花芽分化前进行修剪，避免把花芽剪掉，花谢后及时将残花残枝剪去，常年开花植物要有目的地培养花枝，使四季有花。绿篱和花坛整形效果要与周围环境协调，增强园林美化效果。 </w:t>
      </w:r>
    </w:p>
    <w:p>
      <w:pPr>
        <w:pStyle w:val="70"/>
        <w:keepNext w:val="0"/>
        <w:keepLines w:val="0"/>
        <w:pageBreakBefore w:val="0"/>
        <w:widowControl w:val="0"/>
        <w:numPr>
          <w:ilvl w:val="1"/>
          <w:numId w:val="17"/>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植物的生长及开花特性进行合理灌溉和施肥。在雨水缺少的季节，每天的淋水量要稍大于该种类规格的蒸腾量，使含水量保持在：砂土为3-6%，砂壤土为6-12%，壤土为12-23%，粘土为21-23%。需水量大的植物，其土壤含水量一般要求砂土为4.5-6%，砂壤土为9-12%，壤土为18- 23%，粘土为22-23%；需水少且不耐涝的植物，其土壤含水量控制在：砂土为3-4.5%，砂壤土为6-9%，壤土为10-18%，粘土为21-22%。一般在每年春、秋季重点施肥2-3次。簕杜鹃等花灌木要适当控水，促进花芽分化，花芽分化后要适当追施磷、钾肥，使花多色艳花期长。肥料不能裸露，可采用埋施或水施等不同方法，埋施可先挖穴或开沟，施肥后要回填土、踏实、淋足水、找平。一般可结合除草松土进行施肥。 </w:t>
      </w:r>
    </w:p>
    <w:p>
      <w:pPr>
        <w:pStyle w:val="70"/>
        <w:keepNext w:val="0"/>
        <w:keepLines w:val="0"/>
        <w:pageBreakBefore w:val="0"/>
        <w:widowControl w:val="0"/>
        <w:numPr>
          <w:ilvl w:val="1"/>
          <w:numId w:val="17"/>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除杂草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经常除杂草和松土，除杂草时要保护根系，不能伤根及造成根系裸露，更不能造成黄土裸露。 </w:t>
      </w:r>
    </w:p>
    <w:p>
      <w:pPr>
        <w:pStyle w:val="70"/>
        <w:keepNext w:val="0"/>
        <w:keepLines w:val="0"/>
        <w:pageBreakBefore w:val="0"/>
        <w:widowControl w:val="0"/>
        <w:numPr>
          <w:ilvl w:val="1"/>
          <w:numId w:val="17"/>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补植、改植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清理死苗，一周内补植回原来的种类并力求规格与原来植株接近，以保证优良的景观效果。补植按照种植规范进行，施足基肥并加强淋水等保养措施，保证成活率达98%以上。对已呈老化或明显与周围环境不协调的灌木和花卉应及时进行改植。 </w:t>
      </w:r>
    </w:p>
    <w:p>
      <w:pPr>
        <w:pStyle w:val="70"/>
        <w:keepNext w:val="0"/>
        <w:keepLines w:val="0"/>
        <w:pageBreakBefore w:val="0"/>
        <w:widowControl w:val="0"/>
        <w:numPr>
          <w:ilvl w:val="1"/>
          <w:numId w:val="17"/>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做好病虫害的防治工作，以防为主，精心管养，使植物增强抗病虫能力，经常检查，早发现早处理。采取综合防治、化学防治、物理人工防治和生物防治等方法防止病虫害蔓延和影响植物生长。尽量采用生物防治的办法，以减少对环境的污染。用化学方法防治时，喷药一般要在晚上进行；药物、用量及对环境的影响，要符合环保的要求和标准。发生病虫为害，最严重的危害率在5%以下。 </w:t>
      </w:r>
    </w:p>
    <w:p>
      <w:pPr>
        <w:pStyle w:val="70"/>
        <w:keepNext w:val="0"/>
        <w:keepLines w:val="0"/>
        <w:pageBreakBefore w:val="0"/>
        <w:widowControl w:val="0"/>
        <w:numPr>
          <w:ilvl w:val="6"/>
          <w:numId w:val="1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乔木管养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乔木一级管养的标准是生长旺盛，枝叶健壮，树形美观。行道树下缘线整齐，修剪适度，干直冠美，无死树缺株，无枯枝残叶，景观效果优良。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生长势强，生长量超过该树种该规格平均年生长量；枝叶健壮，枝条粗壮，叶色浓绿，无枯枝残叶。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树种的生长特点如萌芽期、花期等，除棕榈科植物外，其它乔木一般在叶芽和花芽分化前进行修剪，避免把叶芽和花芽剪掉，使花乔木花繁叶茂，乔木整形效果要与周围环境协调，以增强园林美化效果，行道树修剪要保持树冠完整美观，主侧枝分布匀称和数量适宜，内瞠不空又通气透光，根据不同路段车辆等情况确定下缘线高度和树冠体量，树高一般控制在10-17米之间，注意不能影响高压线、路灯和交通批示牌；单位附属绿地内种植的树木的枝叶伸向城市公共道路或他人物业范围内的，要及时修剪；修剪时按操作规程进行，尽量减少伤口，剪口要平，不能留有树钉；荫枝、下垂枝、下缘线下的萌蘖枝及干枯枝叶要及时剪除。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不同生长季节的天气情况，不同植物种类和不同树龄适当淋水，并在每年的春、秋季重点施肥2-3次。施肥量根据树木的种类和生长情况而定，种植三年以内的乔木和树穴有植被的乔木要适当增加施肥量和次数。肥料要埋施，先打穴或开沟，施肥后要回填土、踏实、淋足水、找平，切忌肥料裸露。乔木施肥穴的规格一般为30×30×40厘米，挖沟的规格为30×40厘米。挖穴或开沟的位置一般是树冠外缘的投线影（行道树木除外），每株树挖对称的两穴或四穴。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补植、改植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清理死树，要求在两周内补植回原来的树种并力求规格与原有的树木接近，以保证优良的景观效果。补植要按照树木种植规范进行，施足基肥并加强淋水等保养措施，保证成活率榕树类达100%，其它树种达90%。对已老化或明显与周围环境景观不协调的树木应及时进行改植。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做好病虫害的防治工作，以防为主，精心管养，使植物增强抗病虫能力，经常检查，早发现早治理。采取综合防治、化学防治、物理人工防治和生物防治等方法防止病虫害蔓延和影响乔木生长，尽量采用生物防治的方法，以减少对环境的污染，用化学方法防治时，喷药一般要在晚上进行；药物、用量及对环境的影响，要符合环保的要求和标准。发生病虫为害，最严重的危害率5%以下，单株受害程度在5%以下。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防台风意外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做好防台风工作。台风前加强防御措施，合理修剪，加固护树设施，以增强抵御台风的能力。台风吹袭期间迅速清理倒树断枝，疏通道路。台风后及时进行扶树、护树，补好残缺，清除断枝、落叶和垃圾，使绿化景观尽快恢复。同时要求随着树木的长大，及时将护树带或铁箍放松，以免嵌入树皮内。遇雷风雨、人畜危害而使树木歪斜或倒树断枝，要立即处理、疏通道路。</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绿化设施维护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设施包括喷灌系统、护栏、坐凳、园道、康体设施、游玩设施、园林建筑小品、护树设施、灯光设施、供水、喷泉等。保护好绿化设施，确保其完好无损，如发现设施破损，应及时修复，消除安全隐患，失效设施经采购人同意后及时拆除，对破坏绿化设施行为要加以制止并及时报告绿化管理部门。中标人需每月将园林小品、花基座凳、园林铺地、围墙围栏车挡等所有设施进行全面检查，清洁、维修一遍，每年全面翻新一遍。检查时应对绿地样点内所有设施的功能性和景观性进行检查。中标人还需对辖区绿地内的设施进行一次全面的普查登记，录入绿地档案，报采购人备案，并每个月申报变更情况。护树架、护栏、水电等若有损坏当日修好，其他设施按整改要求时限（3天）修好。</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护树设施的管理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护树设施的管理标准是整齐、直立、高度一致。护树桩、板、胶带有霉烂、松脱、断裂要及时更换，使其达到护树效果。护树板、胶带要根据树木生长情况及时松绑；不需要的护树设施要及时拆除、清理。</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护栏管理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护栏的管理标准是保持护栏平整美观不倾斜，老化褪色的要及时翻新，损坏的要及时修复，不需要的要及时拆除。</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喷灌设施的管理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喷灌设施要经常维护，确保喷洒正常、开关灵活、无漏水。注意使用喷灌设备时，喷灌范围不得超出草坪范围，以免喷湿行人或车辆。保护绿化供水设施，防止绿化用水被盗用。</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路缘石、花基和园林雕塑的管理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路缘石、花基和园林雕塑要保持清洁、美观，对乱涂、乱画、乱张贴的要及时清理干净，对损坏的要及时修复。覆盖乱涂乱画时应选用同一质地同一颜色的材料。</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景墙、亭廊等建(构)筑物的管理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景墙、亭廊等建(构)筑物须定期进行粉刷翻新，及时清理乱涂、乱画、乱张贴，保持整洁、美观。</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园路管理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园路一级管理的标准是路面保持清洁、美观、完好无损，要求及时清除路面垃圾杂物，修补破损并保持完好；要求路面干净、美观、以增强园林美化效果。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灯光设施的管理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对绿地上的灯光照明设施要经常检修维护，确保用电安全。发现破损及时修复，保证正常照明功能。</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水池、喷泉管理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水池一级管理的标准是保持水面及水池内外清洁，水质良好，水量适度，节约用水。池壁美观，不漏水，设施完好无损。及时清除杂物，定时杀灭蚊子幼虫，定时清洗水池，控制好水的深度，管好水闸开关，不浪费水；及时修复受损的池壁、水池设施。</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座椅、果皮箱、垃圾桶的管理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座椅、果皮箱、垃圾桶应每天清洗，保持干净，定期进行粉刷翻新，及时修复破损设施。</w:t>
      </w:r>
    </w:p>
    <w:p>
      <w:pPr>
        <w:pStyle w:val="70"/>
        <w:keepNext w:val="0"/>
        <w:keepLines w:val="0"/>
        <w:pageBreakBefore w:val="0"/>
        <w:widowControl w:val="0"/>
        <w:numPr>
          <w:ilvl w:val="6"/>
          <w:numId w:val="1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环境卫生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环境卫生的一级标准是绿地清洁，无垃圾杂物，无石砾砖块，无干枯枝叶，无粪便暴露，无鼠洞和蚊蝇滋生地。 </w:t>
      </w:r>
    </w:p>
    <w:p>
      <w:pPr>
        <w:pStyle w:val="70"/>
        <w:keepNext w:val="0"/>
        <w:keepLines w:val="0"/>
        <w:pageBreakBefore w:val="0"/>
        <w:widowControl w:val="0"/>
        <w:numPr>
          <w:ilvl w:val="1"/>
          <w:numId w:val="1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清洁、保洁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每天6:30--18:30保持绿地无垃圾杂物，包括生活垃圾、石砾砖块、干枝枯叶、粪便，无鼠洞和蚊蝇滋生地等，发现鼠洞要随时堵塞。清除垃圾杂物后要注意保洁，绿地一有垃圾，要求十分钟内拣拾干净。 </w:t>
      </w:r>
    </w:p>
    <w:p>
      <w:pPr>
        <w:pStyle w:val="70"/>
        <w:keepNext w:val="0"/>
        <w:keepLines w:val="0"/>
        <w:pageBreakBefore w:val="0"/>
        <w:widowControl w:val="0"/>
        <w:numPr>
          <w:ilvl w:val="1"/>
          <w:numId w:val="1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清运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归堆后的垃圾杂物和箩筐等器具摆放在隐蔽的地方，垃圾做到日产日清，不过夜，不焚烧。</w:t>
      </w:r>
    </w:p>
    <w:p>
      <w:pPr>
        <w:pStyle w:val="70"/>
        <w:keepNext w:val="0"/>
        <w:keepLines w:val="0"/>
        <w:pageBreakBefore w:val="0"/>
        <w:widowControl w:val="0"/>
        <w:numPr>
          <w:ilvl w:val="6"/>
          <w:numId w:val="1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绿地维护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绿地维护的一级标准是绿地红线范围内不被侵占，绿地版图完整，花草树木不受破坏，无乱摆乱卖、乱停乱放的现象。 </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保护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对任何侵占和破坏行为要加以制止并及时报告绿化管理部门。经批准临时占用的绿地，监督其按期恢复绿化。如发现未经审批擅自占用绿地、或者超过审批面积或数量占用绿地的、或未按要求按期恢复绿化的，要立即上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 xml:space="preserve">。如发现未经审批擅自迁移树木或超过审批数量迁移树木的或树木迁移不符合规范的，要立即上报。 </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监管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加强监管，使绿地内没有堆放东西和停放自行车、机动车，没有人力车和机动车驶进草地，没有设摊摆卖，没有在草地上踢球等进行损害花草树木的活动，没有在树上挂标语、晾衣服等现象。 </w:t>
      </w:r>
    </w:p>
    <w:p>
      <w:pPr>
        <w:pStyle w:val="70"/>
        <w:keepNext w:val="0"/>
        <w:keepLines w:val="0"/>
        <w:pageBreakBefore w:val="0"/>
        <w:widowControl w:val="0"/>
        <w:numPr>
          <w:ilvl w:val="5"/>
          <w:numId w:val="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二级绿地管养要求</w:t>
      </w:r>
    </w:p>
    <w:p>
      <w:pPr>
        <w:pStyle w:val="70"/>
        <w:keepNext w:val="0"/>
        <w:keepLines w:val="0"/>
        <w:pageBreakBefore w:val="0"/>
        <w:widowControl w:val="0"/>
        <w:numPr>
          <w:ilvl w:val="0"/>
          <w:numId w:val="2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草坪管养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草坪二级管养的标准是目的草种生长良好，草坪整齐雅观，四季常绿，覆盖率达95%以上，杂草率低于5%，无明显坑洼积水，无裸露地。 </w:t>
      </w:r>
    </w:p>
    <w:p>
      <w:pPr>
        <w:pStyle w:val="70"/>
        <w:keepNext w:val="0"/>
        <w:keepLines w:val="0"/>
        <w:pageBreakBefore w:val="0"/>
        <w:widowControl w:val="0"/>
        <w:numPr>
          <w:ilvl w:val="1"/>
          <w:numId w:val="2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生长势中等，生长量达到该草种该规格的平均年生长量；叶色青绿，无枯黄叶。</w:t>
      </w:r>
    </w:p>
    <w:p>
      <w:pPr>
        <w:pStyle w:val="70"/>
        <w:keepNext w:val="0"/>
        <w:keepLines w:val="0"/>
        <w:pageBreakBefore w:val="0"/>
        <w:widowControl w:val="0"/>
        <w:numPr>
          <w:ilvl w:val="1"/>
          <w:numId w:val="2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考虑季节特点和草种的生长发育特性，使草的高度一致，边缘整齐，高度控制在：台湾草5厘米以下，大叶油草、假俭草、沿阶草10厘米以下，蟛蜞菊30厘米以下。 </w:t>
      </w:r>
    </w:p>
    <w:p>
      <w:pPr>
        <w:pStyle w:val="70"/>
        <w:keepNext w:val="0"/>
        <w:keepLines w:val="0"/>
        <w:pageBreakBefore w:val="0"/>
        <w:widowControl w:val="0"/>
        <w:numPr>
          <w:ilvl w:val="1"/>
          <w:numId w:val="2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草坪植物的生长需要进行淋水和施肥，在每年秋、冬季雨水缺少的季节，加强淋水，每天的淋水量不低于该草种该规格的蒸腾量，使含水量保持在，砂土为3-5%，砂壤土为6-10%，壤土为12-20%，粘土为20-21%，需水量大的植物，其土壤含水量一般要求砂土为4-5.5%，砂壤土为8.5-1.5%，壤土为17-22%，粘土21-22%；需水量少且不耐涝的植物，其土壤含水量控制在：砂土为2.8-4.5%，砂壤土为5.7-8.5%，壤土为10-15%，粘土为18-20%。结合淋水适当追肥，以保证草坪植物在秋、冬季保持青绿。肥料的施用要适量、均匀，防止过量或不均匀引起肥伤。 </w:t>
      </w:r>
    </w:p>
    <w:p>
      <w:pPr>
        <w:pStyle w:val="70"/>
        <w:keepNext w:val="0"/>
        <w:keepLines w:val="0"/>
        <w:pageBreakBefore w:val="0"/>
        <w:widowControl w:val="0"/>
        <w:numPr>
          <w:ilvl w:val="1"/>
          <w:numId w:val="2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除杂草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经常除杂草，使纯草坪和混合草坪目的草种纯度达95%，新接管的绿地要求半年内达到要求。 </w:t>
      </w:r>
    </w:p>
    <w:p>
      <w:pPr>
        <w:pStyle w:val="70"/>
        <w:keepNext w:val="0"/>
        <w:keepLines w:val="0"/>
        <w:pageBreakBefore w:val="0"/>
        <w:widowControl w:val="0"/>
        <w:numPr>
          <w:ilvl w:val="1"/>
          <w:numId w:val="2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填平坑洼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及时填平坑洼地，使草坪内无坑洼积水，平整美观。 </w:t>
      </w:r>
    </w:p>
    <w:p>
      <w:pPr>
        <w:pStyle w:val="70"/>
        <w:keepNext w:val="0"/>
        <w:keepLines w:val="0"/>
        <w:pageBreakBefore w:val="0"/>
        <w:widowControl w:val="0"/>
        <w:numPr>
          <w:ilvl w:val="1"/>
          <w:numId w:val="2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对被破坏或其它原因引起死亡的草坪植物应及时补植，使草坪保持完整，无裸露地。补植要补与原草坪相同的草种，适当密植，补植后要加强保养，一个月内覆盖率达95%。 </w:t>
      </w:r>
    </w:p>
    <w:p>
      <w:pPr>
        <w:pStyle w:val="70"/>
        <w:keepNext w:val="0"/>
        <w:keepLines w:val="0"/>
        <w:pageBreakBefore w:val="0"/>
        <w:widowControl w:val="0"/>
        <w:numPr>
          <w:ilvl w:val="1"/>
          <w:numId w:val="2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能力，经常检查，早发现早处理。采取综合防治、化学防治、物理人工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在8%以下。</w:t>
      </w:r>
    </w:p>
    <w:p>
      <w:pPr>
        <w:pStyle w:val="70"/>
        <w:keepNext w:val="0"/>
        <w:keepLines w:val="0"/>
        <w:pageBreakBefore w:val="0"/>
        <w:widowControl w:val="0"/>
        <w:numPr>
          <w:ilvl w:val="1"/>
          <w:numId w:val="2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复壮</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定期采用打孔、疏草、铺沙等复壮措施，改良生境。结合其他养护措施，使草坪保持平整、健壮。</w:t>
      </w:r>
    </w:p>
    <w:p>
      <w:pPr>
        <w:pStyle w:val="70"/>
        <w:keepNext w:val="0"/>
        <w:keepLines w:val="0"/>
        <w:pageBreakBefore w:val="0"/>
        <w:widowControl w:val="0"/>
        <w:numPr>
          <w:ilvl w:val="0"/>
          <w:numId w:val="2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灌木和花卉管养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灌木和花卉二级管养的标准是生长良好，花繁叶茂，造型美观，具有一定的艺术感和立体感。 </w:t>
      </w:r>
    </w:p>
    <w:p>
      <w:pPr>
        <w:pStyle w:val="70"/>
        <w:keepNext w:val="0"/>
        <w:keepLines w:val="0"/>
        <w:pageBreakBefore w:val="0"/>
        <w:widowControl w:val="0"/>
        <w:numPr>
          <w:ilvl w:val="1"/>
          <w:numId w:val="2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生长势中等，生长量达到该种类该规格的平均年生长量；萌蘖及枝叶生长正常，叶色较鲜艳，无枯枝残叶，植株基本整齐，花卉适时开花，花坛轮廓完美，无残缺，绿篱无断层。 </w:t>
      </w:r>
    </w:p>
    <w:p>
      <w:pPr>
        <w:pStyle w:val="70"/>
        <w:keepNext w:val="0"/>
        <w:keepLines w:val="0"/>
        <w:pageBreakBefore w:val="0"/>
        <w:widowControl w:val="0"/>
        <w:numPr>
          <w:ilvl w:val="1"/>
          <w:numId w:val="2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修剪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考虑每种植物的生长发育特点，既造型美观又能适时开花，花灌木和草本花卉必须在花芽分化前进行修剪，以免将花芽剪除，花谢后要及时剪掉残花老枝。绿篱和花坛整形符合造景要求。 </w:t>
      </w:r>
    </w:p>
    <w:p>
      <w:pPr>
        <w:pStyle w:val="70"/>
        <w:keepNext w:val="0"/>
        <w:keepLines w:val="0"/>
        <w:pageBreakBefore w:val="0"/>
        <w:widowControl w:val="0"/>
        <w:numPr>
          <w:ilvl w:val="1"/>
          <w:numId w:val="2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植物的生长和开花特性进行合理灌溉和施肥。在雨水缺少的季节，每天的淋水量要求不低于该种类该规格的蒸腾量，使含水量保持在：砂土为3-5%，砂壤土为6-10%，壤土为12-20%，粘土为20-21%。需水量大的植物，其土壤含水量一般要求砂土为4-5.5%，砂壤土为8.5-11.5，壤土为17-22%，粘土为21-22%；需水量少且不耐涝的植物，其土壤含水量控制在：砂土为2.8-4.5%，砂壤土为5.7-8.5%，壤土为10-15%，粘土为18-20%。簕杜鹃等花灌木要适当控水以促进花芽分化，花芽分化后必须适当施肥以使花多色艳，其余要求在每年春、秋季重点施肥各1次。肥料不能裸露，可采用埋施或水施等不同的方法。埋施要先挖穴或开沟，施肥后要回填土、踏实、淋足水、找平。一般可结合除草松土进行施肥。 </w:t>
      </w:r>
    </w:p>
    <w:p>
      <w:pPr>
        <w:pStyle w:val="70"/>
        <w:keepNext w:val="0"/>
        <w:keepLines w:val="0"/>
        <w:pageBreakBefore w:val="0"/>
        <w:widowControl w:val="0"/>
        <w:numPr>
          <w:ilvl w:val="1"/>
          <w:numId w:val="2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除杂草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经常除杂草和松土，除杂松土时要保护根系，不能伤根及造成根系裸露，更不能造成黄土裸露。 </w:t>
      </w:r>
    </w:p>
    <w:p>
      <w:pPr>
        <w:pStyle w:val="70"/>
        <w:keepNext w:val="0"/>
        <w:keepLines w:val="0"/>
        <w:pageBreakBefore w:val="0"/>
        <w:widowControl w:val="0"/>
        <w:numPr>
          <w:ilvl w:val="1"/>
          <w:numId w:val="2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及时清理死苗，并在两周内补植回原来的种类并力求规格与原来的植株接近，以保证良好的景观效果。补植要按照种植规范进行，施足基肥并加强淋水等保养措施，保证成活率达95%以上。 </w:t>
      </w:r>
    </w:p>
    <w:p>
      <w:pPr>
        <w:pStyle w:val="70"/>
        <w:keepNext w:val="0"/>
        <w:keepLines w:val="0"/>
        <w:pageBreakBefore w:val="0"/>
        <w:widowControl w:val="0"/>
        <w:numPr>
          <w:ilvl w:val="1"/>
          <w:numId w:val="2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检查，早发现早处理。采取综合防治、化学防治、物理人工防治和生物防治等方法防止病虫害蔓延和影响植物生长。尽量采用生物防治的方法，以减少对环境的污染，用化学方法防治，喷药要在晚上进行；药物、用量有对环境的影响，要符合环保的要求和标准。发生病虫为害，最严重的危害率达在8%以下。</w:t>
      </w:r>
    </w:p>
    <w:p>
      <w:pPr>
        <w:pStyle w:val="70"/>
        <w:keepNext w:val="0"/>
        <w:keepLines w:val="0"/>
        <w:pageBreakBefore w:val="0"/>
        <w:widowControl w:val="0"/>
        <w:numPr>
          <w:ilvl w:val="0"/>
          <w:numId w:val="2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乔木管养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乔木二级管养的标准是生长良好，枝叶健壮，树形美观，行道树上缘线和下缘线整齐，修剪适度，无死树缺株，无枯枝残叶，景观效果良好。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生长势较强，生长量达到该树种该规格平均年生长量；枝叶健壮，无枯枝残叶。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修剪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每种树的生长特点如叶芽、花芽分化期等，确定修剪时间，避免把花芽剪掉，使花乔木适时开花；乔木整形效果要尽量与周围环境协调；行道树修剪要保持树冠完整，枝叶密度适宜，内膛不空又通风透光，并根据不同路段车辆等情况确定下缘线高度和树冠体量，树高一般控制在10-17米之间，注意不能影响高压线、路灯和交通指示牌，单位附属绿地内种植的树木的枝叶伸向城市公共道路或他人物业范围内的，要及时修剪；修剪时按操作规程进行，尽量减小伤口，剪口要平，不能留有树钉；荫枝、下垂枝、下缘线下的萌蘖枝和干枯枝叶要及时剪除。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不同生长季节的天气情况、不同植物种类和不同树龄适当淋水，并要求在每年的春、秋季重点施肥1-2次。施肥量根据树木的种类和生长情况而定，种植三年以内的乔木和树穴有植被的乔木要适当增加施肥量和次数。肥料要埋施，先打穴或开沟。施肥后要回填土、踏实、淋足水，找平，切忌肥料裸露。乔木施肥穴的规格一般为30×30×40厘米，挖沟的规格为30×40厘米。挖穴或开沟的位置一般是树冠外缘的投线影（行道树除外），每株树挖对称的两穴或四穴。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及时清理死树，在三周内补植回原来的树种并力求规格与原有的树木接近，以保证良好的景观效果。补植要按照树木种植规范进行，施足基肥并加强淋水等保养措施，保证成活率榕树类达95%，其它树种达85%。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做好病虫害的防治工作，以防为主，精心管养，使植物增强抗病虫能力，经常检查，早发现早治理。采取综合防治、化学防治、物理人工防治和生物防治等方法防止病虫害蔓延和影响乔木生长，尽量采用生物防治的办法，以减少对环境的污染，用化学方法防治时，喷药一般要在晚上进行；药物、用量及对环境的影响，要符合环保的要求和标准。发生病虫为害，最严重的危害率在8%以下，单株受害程度在8%以下。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防台风及意外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做好防台风工作。台风前加强防御措施，合理修剪，加固护树设施，以增强抵御台风的能力。台风吹袭期间迅速清理倒树断枝，疏通道路。台风后及时进行扶树、护树，补好残缺，清除断枝、落叶和垃圾，使绿化景观尽快恢复。同时要求随着树木的长大，及时将护树带或铁箍放松，以免嵌入树皮内。遇雷电风雨、人畜危害而使树木歪斜或倒树断枝，要立即处理、疏通道路。 </w:t>
      </w:r>
    </w:p>
    <w:p>
      <w:pPr>
        <w:pStyle w:val="70"/>
        <w:keepNext w:val="0"/>
        <w:keepLines w:val="0"/>
        <w:pageBreakBefore w:val="0"/>
        <w:widowControl w:val="0"/>
        <w:numPr>
          <w:ilvl w:val="0"/>
          <w:numId w:val="2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水池管理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水池二级管理的标准是保持水面及水池内外清洁，水质良好，水量适度，节约用水。池壁美观，不漏水，设施完好无损。及时清除杂物，定时杀灭蚊子幼虫，定时清洗水池，控制好水的深度，管好水闸开关，不浪费水；及时修复受损的池壁、水池设施。 </w:t>
      </w:r>
    </w:p>
    <w:p>
      <w:pPr>
        <w:pStyle w:val="70"/>
        <w:keepNext w:val="0"/>
        <w:keepLines w:val="0"/>
        <w:pageBreakBefore w:val="0"/>
        <w:widowControl w:val="0"/>
        <w:numPr>
          <w:ilvl w:val="0"/>
          <w:numId w:val="2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园路管理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园路二级管理的标准是路面保持清洁、美观、完好无损，要求及时清除路面垃圾杂物，修补破损并保持完好；要求路面干净、美观，以增强园林美化效果。</w:t>
      </w:r>
    </w:p>
    <w:p>
      <w:pPr>
        <w:pStyle w:val="70"/>
        <w:keepNext w:val="0"/>
        <w:keepLines w:val="0"/>
        <w:pageBreakBefore w:val="0"/>
        <w:widowControl w:val="0"/>
        <w:numPr>
          <w:ilvl w:val="0"/>
          <w:numId w:val="2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环境卫生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环境卫生的二级标准是绿地清洁，无垃圾杂物，无石砾砖块，无干枯枝叶，无粪便暴露，无鼠洞和蚊蝇滋生地。 </w:t>
      </w:r>
    </w:p>
    <w:p>
      <w:pPr>
        <w:pStyle w:val="70"/>
        <w:keepNext w:val="0"/>
        <w:keepLines w:val="0"/>
        <w:pageBreakBefore w:val="0"/>
        <w:widowControl w:val="0"/>
        <w:numPr>
          <w:ilvl w:val="1"/>
          <w:numId w:val="2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清洁、保洁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每天6:30--18:30保持绿地无垃圾杂物，包括生活垃圾、石砾砖块、干枝枯叶、粪便、无鼠洞和蚊蝇滋生地等，发现鼠洞要随时堵塞。清除垃圾杂物后要注意保洁，绿地一有垃圾，要求十分钟内拣拾干净。 </w:t>
      </w:r>
    </w:p>
    <w:p>
      <w:pPr>
        <w:pStyle w:val="70"/>
        <w:keepNext w:val="0"/>
        <w:keepLines w:val="0"/>
        <w:pageBreakBefore w:val="0"/>
        <w:widowControl w:val="0"/>
        <w:numPr>
          <w:ilvl w:val="1"/>
          <w:numId w:val="2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清运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归堆后的垃圾杂物和萝筐等器具摆放在隐蔽的地方，垃圾做到日产日清，不过夜，不焚烧。</w:t>
      </w:r>
    </w:p>
    <w:p>
      <w:pPr>
        <w:pStyle w:val="70"/>
        <w:keepNext w:val="0"/>
        <w:keepLines w:val="0"/>
        <w:pageBreakBefore w:val="0"/>
        <w:widowControl w:val="0"/>
        <w:numPr>
          <w:ilvl w:val="0"/>
          <w:numId w:val="2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绿地维护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绿地维护的二级标准是绿地红线范围内不被侵占，绿地版图完整，花草树木不受破坏，无乱摆乱卖、乱停乱放的现象。 </w:t>
      </w:r>
    </w:p>
    <w:p>
      <w:pPr>
        <w:pStyle w:val="70"/>
        <w:keepNext w:val="0"/>
        <w:keepLines w:val="0"/>
        <w:pageBreakBefore w:val="0"/>
        <w:widowControl w:val="0"/>
        <w:numPr>
          <w:ilvl w:val="0"/>
          <w:numId w:val="2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保护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对任何侵占和破坏行为要加以制止并及时报告绿化管理部门。经批准临时占用的绿地，监督其按期恢复绿化。如发现未经审批擅自占用绿地、或者超过审批面积或数量占用绿地的、或未按要求按期恢复绿化的，要立即上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 xml:space="preserve">。如发现未经审批擅自迁移树木或超过审批数量迁移树木的或树木迁移不符合规范的，要立即上报。 </w:t>
      </w:r>
    </w:p>
    <w:p>
      <w:pPr>
        <w:pStyle w:val="70"/>
        <w:keepNext w:val="0"/>
        <w:keepLines w:val="0"/>
        <w:pageBreakBefore w:val="0"/>
        <w:widowControl w:val="0"/>
        <w:numPr>
          <w:ilvl w:val="0"/>
          <w:numId w:val="2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监管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加强监管，使绿地内没有堆放东西和停放自行车、机动车，没有人力车和机动车驶进草地，没有设摊摆卖，没有在草地上踢球等进行损害花草树木的活动，没有在树上挂标语、晾衣服等现象。 </w:t>
      </w:r>
    </w:p>
    <w:p>
      <w:pPr>
        <w:pStyle w:val="70"/>
        <w:keepNext w:val="0"/>
        <w:keepLines w:val="0"/>
        <w:pageBreakBefore w:val="0"/>
        <w:widowControl w:val="0"/>
        <w:numPr>
          <w:ilvl w:val="0"/>
          <w:numId w:val="2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设施维护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包括喷灌系统、护栏、坐凳、康体设施、游玩设施、园林建筑小品、护树设施、灯光设施、供水、喷泉等。保护好绿化设施，确保其完好无损和美观，如发现设施破损，应及时修复，消除安全隐患，对破坏绿化设施行为要加以制止并及时报告绿化管理部门。保护绿化供水设施，防止绿化用水被盗用。中标人需每月将园林小品、花基座凳、园林铺地、围墙围栏车挡等所有设施进行全面检查，清洁、维修一遍，每年全面翻新一遍。检查时应对绿地样点内所有设施的功能性和景观性进行检查。中标人还需对辖区绿地内的设施进行一次全面的普查登记，录入绿地档案，报采购人备案，中标人每个月需申报变更情况。护树桩、护栏、水电等若有损坏，当日修好，其他设施按整改要求时限（3天）修好。 </w:t>
      </w:r>
    </w:p>
    <w:p>
      <w:pPr>
        <w:pStyle w:val="70"/>
        <w:keepNext w:val="0"/>
        <w:keepLines w:val="0"/>
        <w:pageBreakBefore w:val="0"/>
        <w:widowControl w:val="0"/>
        <w:numPr>
          <w:ilvl w:val="5"/>
          <w:numId w:val="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三级绿地管养要求</w:t>
      </w:r>
    </w:p>
    <w:p>
      <w:pPr>
        <w:pStyle w:val="70"/>
        <w:keepNext w:val="0"/>
        <w:keepLines w:val="0"/>
        <w:pageBreakBefore w:val="0"/>
        <w:widowControl w:val="0"/>
        <w:numPr>
          <w:ilvl w:val="6"/>
          <w:numId w:val="2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草坪管养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草坪三级管养的标准是目的草种生长正常，草坪整齐雅观，四季常绿，蟛蜞菊草坪覆盖率达98%以上，杂草率低于3%，其余草种的覆盖率达92%以上，杂草率低于7%，无坑洼积水，无明显裸露地。 </w:t>
      </w:r>
    </w:p>
    <w:p>
      <w:pPr>
        <w:pStyle w:val="70"/>
        <w:keepNext w:val="0"/>
        <w:keepLines w:val="0"/>
        <w:pageBreakBefore w:val="0"/>
        <w:widowControl w:val="0"/>
        <w:numPr>
          <w:ilvl w:val="0"/>
          <w:numId w:val="2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生长势正常，生长量接近平均年生长量，叶色正常，无枯叶。 </w:t>
      </w:r>
    </w:p>
    <w:p>
      <w:pPr>
        <w:pStyle w:val="70"/>
        <w:keepNext w:val="0"/>
        <w:keepLines w:val="0"/>
        <w:pageBreakBefore w:val="0"/>
        <w:widowControl w:val="0"/>
        <w:numPr>
          <w:ilvl w:val="0"/>
          <w:numId w:val="2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修剪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考虑季节特点和草种的生长发育特性，使绿地边缘整齐，蟛蜞菊高度控制在30厘米以上，其余草种根据情况控制高度，使绿地呈现自然的景观效果。 </w:t>
      </w:r>
    </w:p>
    <w:p>
      <w:pPr>
        <w:pStyle w:val="70"/>
        <w:keepNext w:val="0"/>
        <w:keepLines w:val="0"/>
        <w:pageBreakBefore w:val="0"/>
        <w:widowControl w:val="0"/>
        <w:numPr>
          <w:ilvl w:val="0"/>
          <w:numId w:val="2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草坪植物生长需要进行淋水和施肥，在每年秋、冬季雨水缺少的季节，适当淋水，每天的淋水量接近于该草种该规格的蒸腾量，使含水量保持在：砂土为2.8-5%，砂壤土为5.7-10%，壤土为11-20%，粘土为19-21%。需水量大的植物，其土壤含水量一般要求砂土为3.5-5%，砂壤土为8-11%，壤土为16-21%，粘土为20-21%；需水量少且不耐涝的植物，其土壤含水量控制在：砂土为2.5-4%，砂壤土为5-8%，壤土为9-11%，粘土为15-18%。结合淋水适当追肥，以保证草坪植物正常生长的需要。 </w:t>
      </w:r>
    </w:p>
    <w:p>
      <w:pPr>
        <w:pStyle w:val="70"/>
        <w:keepNext w:val="0"/>
        <w:keepLines w:val="0"/>
        <w:pageBreakBefore w:val="0"/>
        <w:widowControl w:val="0"/>
        <w:numPr>
          <w:ilvl w:val="0"/>
          <w:numId w:val="2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除杂草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经常除杂草，将高于目的草种的杂草及时去除，使坪面目的草种的纯度达93%以上。 </w:t>
      </w:r>
    </w:p>
    <w:p>
      <w:pPr>
        <w:pStyle w:val="70"/>
        <w:keepNext w:val="0"/>
        <w:keepLines w:val="0"/>
        <w:pageBreakBefore w:val="0"/>
        <w:widowControl w:val="0"/>
        <w:numPr>
          <w:ilvl w:val="0"/>
          <w:numId w:val="2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填平坑洼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及时填平坑洼地，使草坪内无坑洼积水。 </w:t>
      </w:r>
    </w:p>
    <w:p>
      <w:pPr>
        <w:pStyle w:val="70"/>
        <w:keepNext w:val="0"/>
        <w:keepLines w:val="0"/>
        <w:pageBreakBefore w:val="0"/>
        <w:widowControl w:val="0"/>
        <w:numPr>
          <w:ilvl w:val="0"/>
          <w:numId w:val="2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对被破坏或其它原因引起死亡的草坪植物要及时补植，使草地完整，无明显裸露地。补植要补与原草坪相同的草种，适当密植，一个月内覆盖率达92%。 </w:t>
      </w:r>
    </w:p>
    <w:p>
      <w:pPr>
        <w:pStyle w:val="70"/>
        <w:keepNext w:val="0"/>
        <w:keepLines w:val="0"/>
        <w:pageBreakBefore w:val="0"/>
        <w:widowControl w:val="0"/>
        <w:numPr>
          <w:ilvl w:val="0"/>
          <w:numId w:val="2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病虫害的防治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采取综合防治、化学防治、物理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在10%以下。</w:t>
      </w:r>
    </w:p>
    <w:p>
      <w:pPr>
        <w:pStyle w:val="70"/>
        <w:keepNext w:val="0"/>
        <w:keepLines w:val="0"/>
        <w:pageBreakBefore w:val="0"/>
        <w:widowControl w:val="0"/>
        <w:numPr>
          <w:ilvl w:val="0"/>
          <w:numId w:val="2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复壮</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定期采用打孔、疏草、铺沙等复壮措施，改良生境。结合其他养护措施，使草坪保持平整、健壮。 </w:t>
      </w:r>
    </w:p>
    <w:p>
      <w:pPr>
        <w:pStyle w:val="70"/>
        <w:keepNext w:val="0"/>
        <w:keepLines w:val="0"/>
        <w:pageBreakBefore w:val="0"/>
        <w:widowControl w:val="0"/>
        <w:numPr>
          <w:ilvl w:val="6"/>
          <w:numId w:val="2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灌木和花卉管养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灌木和花卉三级管养的标准是生长正常，造型较美观，具有一定的艺术感，花卉能适时开花。 </w:t>
      </w:r>
    </w:p>
    <w:p>
      <w:pPr>
        <w:pStyle w:val="70"/>
        <w:keepNext w:val="0"/>
        <w:keepLines w:val="0"/>
        <w:pageBreakBefore w:val="0"/>
        <w:widowControl w:val="0"/>
        <w:numPr>
          <w:ilvl w:val="1"/>
          <w:numId w:val="2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生长势正常，生长量接近该种类该规格的平均年生长量；枝叶正常，无枯枝残叶，花坛、绿篱完整，花卉能适时开花。 </w:t>
      </w:r>
    </w:p>
    <w:p>
      <w:pPr>
        <w:pStyle w:val="70"/>
        <w:keepNext w:val="0"/>
        <w:keepLines w:val="0"/>
        <w:pageBreakBefore w:val="0"/>
        <w:widowControl w:val="0"/>
        <w:numPr>
          <w:ilvl w:val="1"/>
          <w:numId w:val="2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修剪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造型美观，与环境协调，花卉要适时开花，及时修剪残花败叶。 </w:t>
      </w:r>
    </w:p>
    <w:p>
      <w:pPr>
        <w:pStyle w:val="70"/>
        <w:keepNext w:val="0"/>
        <w:keepLines w:val="0"/>
        <w:pageBreakBefore w:val="0"/>
        <w:widowControl w:val="0"/>
        <w:numPr>
          <w:ilvl w:val="1"/>
          <w:numId w:val="2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植物的生长及开花特性进行合理灌溉和施肥。在雨水缺少的季节，每天的淋水量要求接近于该种类该规格的蒸腾量，使含水量保持在：砂土为3-5%，砂壤土为6-10%，壤土为12-20%，粘土为20-21%。需水量大的植物，其土壤含水量一般要求砂土为4.5-5%，砂壤土为8.5-11.5%，壤土为17-22%，壤土为21-22%，粘土为18-20%。一般要求在每年春季或秋季重点施肥1-2次。肥料不能裸露，可采用埋施或水施等不同方法。埋施要先挖穴或开沟，施肥后要回填土、踏实、淋足水、找平。 </w:t>
      </w:r>
    </w:p>
    <w:p>
      <w:pPr>
        <w:pStyle w:val="70"/>
        <w:keepNext w:val="0"/>
        <w:keepLines w:val="0"/>
        <w:pageBreakBefore w:val="0"/>
        <w:widowControl w:val="0"/>
        <w:numPr>
          <w:ilvl w:val="1"/>
          <w:numId w:val="2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除杂草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经常除杂草和松土，除杂草时要保护根系，不能伤根及造成根系裸露，更不能造成黄土裸露。 </w:t>
      </w:r>
    </w:p>
    <w:p>
      <w:pPr>
        <w:pStyle w:val="70"/>
        <w:keepNext w:val="0"/>
        <w:keepLines w:val="0"/>
        <w:pageBreakBefore w:val="0"/>
        <w:widowControl w:val="0"/>
        <w:numPr>
          <w:ilvl w:val="1"/>
          <w:numId w:val="2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在每年春、夏季不失时机的对死苗进行补植。补植要补回原来的种类并力求规格与原来植株接近，以保证较好的景观效果。补植要按照种植规范进行，施足基肥并加强淋水等保养措施，保证成活率达90%以上。 </w:t>
      </w:r>
    </w:p>
    <w:p>
      <w:pPr>
        <w:pStyle w:val="70"/>
        <w:keepNext w:val="0"/>
        <w:keepLines w:val="0"/>
        <w:pageBreakBefore w:val="0"/>
        <w:widowControl w:val="0"/>
        <w:numPr>
          <w:ilvl w:val="1"/>
          <w:numId w:val="2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做好病虫害的防治工作，以防为主，精心管养，使植物增强抗病虫能力，采取综合防治、化学防治、物理防治和生物防治等方法防止病虫害蔓延和影响植物生长。尽量采用生物防治的办法，以减少对环境的污染，用化学方法防治时，喷药一般要在晚上进行；药物、用量及对环境的影响，要遵照环保的要求和标准。发生病虫为害，最严重的危害率在10%以下。 </w:t>
      </w:r>
    </w:p>
    <w:p>
      <w:pPr>
        <w:pStyle w:val="70"/>
        <w:keepNext w:val="0"/>
        <w:keepLines w:val="0"/>
        <w:pageBreakBefore w:val="0"/>
        <w:widowControl w:val="0"/>
        <w:numPr>
          <w:ilvl w:val="6"/>
          <w:numId w:val="2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乔木管养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乔木三级管养的标准是生长正常，枝叶正常，无死树缺株，无枯枝残叶。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生长势正常，生长量接近该树种该规格平均年生长量，枝叶正常，无枯枝残叶。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修剪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及时剪去干枯枝叶和病枝。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不同生长季节的天气情况，不同植物种类和不同树龄适当淋水，并要求在每年的春、秋季重点施肥1次。施肥量根据树木的种类和生长情况而定，种植三年以内的乔木和树穴有植被的乔木要适当增加施肥量和次数。肥料要埋施，先打穴或开沟，施肥后要回填土、踏实、淋足水，找平，切忌肥料裸露。乔木施肥穴的规格一般为30×30×40厘米，挖沟的规格为30×40厘米。挖穴或开沟的位置一般是树冠外缘的投影（行道树除外），每株树挖对称的两穴或四穴。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在每年春、夏季不失时机地对死树进行补植。补植要补回原来的树种并力求规格与原有的树木接近，以保证景观效果。补植要按照树木种植规范进行，施足基肥并加强淋水等保养措施，保证成活率榕树类达90%，其它树种达80%。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做好病虫害的防治工作，以防为主，精心管养，使植物增强抗病能力，经常检查，早发现早治理。采取综合防治、化学防治、物理人工防治和生物防治等方法防止病虫害蔓延和影响乔木生长，尽量采用生物防治的办法，以减少对环境的污染，用化学方法防治时，喷药一般要在晚上进行；药物、用量及对环境的影响，要符合环保的要求和标准。发生病虫为害，最严重的危害率在10%以下，单株受害程度在10%以下。 </w:t>
      </w:r>
    </w:p>
    <w:p>
      <w:pPr>
        <w:pStyle w:val="70"/>
        <w:keepNext w:val="0"/>
        <w:keepLines w:val="0"/>
        <w:pageBreakBefore w:val="0"/>
        <w:widowControl w:val="0"/>
        <w:numPr>
          <w:ilvl w:val="6"/>
          <w:numId w:val="2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园路管理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园路三级管理的标准是路面保持清洁、美观、完好无损，要求及时清除路面垃圾杂物，修补破损并保持完好；要求路面干净美观，以增强园林美化效果。</w:t>
      </w:r>
    </w:p>
    <w:p>
      <w:pPr>
        <w:pStyle w:val="70"/>
        <w:keepNext w:val="0"/>
        <w:keepLines w:val="0"/>
        <w:pageBreakBefore w:val="0"/>
        <w:widowControl w:val="0"/>
        <w:numPr>
          <w:ilvl w:val="6"/>
          <w:numId w:val="2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环境卫生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环境卫生的三级标准是绿地清洁，无垃圾杂物，无石砾砖块，无干枯枝叶，无粪便暴露，无鼠洞和蚊蝇滋生。 </w:t>
      </w:r>
    </w:p>
    <w:p>
      <w:pPr>
        <w:pStyle w:val="70"/>
        <w:keepNext w:val="0"/>
        <w:keepLines w:val="0"/>
        <w:pageBreakBefore w:val="0"/>
        <w:widowControl w:val="0"/>
        <w:numPr>
          <w:ilvl w:val="0"/>
          <w:numId w:val="3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清洁、保洁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每天6:30—18:30保持绿地无垃圾杂物，包括生活垃圾、景石外的石砾砖块、干枝枯叶、粪便，无鼠洞和蚊蝇滋生地等，发现鼠洞要及时堵塞。清除垃圾杂物后要注意保洁。 </w:t>
      </w:r>
    </w:p>
    <w:p>
      <w:pPr>
        <w:pStyle w:val="70"/>
        <w:keepNext w:val="0"/>
        <w:keepLines w:val="0"/>
        <w:pageBreakBefore w:val="0"/>
        <w:widowControl w:val="0"/>
        <w:numPr>
          <w:ilvl w:val="0"/>
          <w:numId w:val="3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清运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归堆后的垃圾杂物和萝筐等器具要放在隐蔽的地方，当天垃圾当天清运，不过夜，不焚烧。 </w:t>
      </w:r>
    </w:p>
    <w:p>
      <w:pPr>
        <w:pStyle w:val="70"/>
        <w:keepNext w:val="0"/>
        <w:keepLines w:val="0"/>
        <w:pageBreakBefore w:val="0"/>
        <w:widowControl w:val="0"/>
        <w:numPr>
          <w:ilvl w:val="6"/>
          <w:numId w:val="2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绿地维护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绿地维护的三级标准是绿地红线范围内不被侵占，绿地版图完整，花草树木不受破坏，无乱摆乱卖、乱停乱放的现象。 </w:t>
      </w:r>
    </w:p>
    <w:p>
      <w:pPr>
        <w:pStyle w:val="70"/>
        <w:keepNext w:val="0"/>
        <w:keepLines w:val="0"/>
        <w:pageBreakBefore w:val="0"/>
        <w:widowControl w:val="0"/>
        <w:numPr>
          <w:ilvl w:val="0"/>
          <w:numId w:val="3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保护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对任何侵占和破坏行为要加以制止并及时报告绿化管理部门。经批准临时借用的绿地，监督其按期恢复绿化。如发现未经审批擅自占用绿地、或者超过审批面积或数量占用绿地的、或未按要求按期恢复绿化的，要立即上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 xml:space="preserve">。如发现未经审批擅自迁移树木或超过审批数量迁移树木的或树木迁移不符合规范的，要立即上报。 </w:t>
      </w:r>
    </w:p>
    <w:p>
      <w:pPr>
        <w:pStyle w:val="70"/>
        <w:keepNext w:val="0"/>
        <w:keepLines w:val="0"/>
        <w:pageBreakBefore w:val="0"/>
        <w:widowControl w:val="0"/>
        <w:numPr>
          <w:ilvl w:val="0"/>
          <w:numId w:val="3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监管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加强监管，使绿地内没有堆放东西和停放自行车、机动车，没有人力车和机动车驶进草地，没有设摊摆卖等进行损害花草树木的活动，没有在树上挂标语、晾衣服等现象。 </w:t>
      </w:r>
    </w:p>
    <w:p>
      <w:pPr>
        <w:pStyle w:val="70"/>
        <w:keepNext w:val="0"/>
        <w:keepLines w:val="0"/>
        <w:pageBreakBefore w:val="0"/>
        <w:widowControl w:val="0"/>
        <w:numPr>
          <w:ilvl w:val="6"/>
          <w:numId w:val="2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设施维护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喷灌系统、护栏、坐凳、康体设施、游玩设施、园林建筑小品、护树设施、灯光设施、供水、喷泉等。保护好绿化设施，确保其完好无损和美观，如发现设施破损，应及时修复，消除安全隐患，对破坏绿化设施行为要加以制止并及时报告绿化管理部门。保护绿化供水设施，防止绿化用水被盗用。中标人需每月将园林小品、花基座凳、园林铺地、围墙围栏车挡等所有设施进行全面检查，清洁、维修一遍，每年全面翻新一遍。检查时应对绿地样点内所有设施的功能性和景观性进行检查。中标人还需对辖区绿地内的设施进行一次全面的普查登记，录入绿地档案，报采购人备案，并每个月申报变更情况。护树桩、护栏、水电等若有损坏当日修好，其他设施按整改要求期限（3天）修好。</w:t>
      </w:r>
    </w:p>
    <w:p>
      <w:pPr>
        <w:pStyle w:val="70"/>
        <w:keepNext w:val="0"/>
        <w:keepLines w:val="0"/>
        <w:pageBreakBefore w:val="0"/>
        <w:widowControl w:val="0"/>
        <w:numPr>
          <w:ilvl w:val="5"/>
          <w:numId w:val="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相邻林地管养要求</w:t>
      </w:r>
    </w:p>
    <w:p>
      <w:pPr>
        <w:pStyle w:val="70"/>
        <w:keepNext w:val="0"/>
        <w:keepLines w:val="0"/>
        <w:pageBreakBefore w:val="0"/>
        <w:widowControl w:val="0"/>
        <w:numPr>
          <w:ilvl w:val="6"/>
          <w:numId w:val="3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林地养护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保障优良乡土景观树种生长良好，具有较好景观效果。</w:t>
      </w:r>
    </w:p>
    <w:p>
      <w:pPr>
        <w:pStyle w:val="70"/>
        <w:keepNext w:val="0"/>
        <w:keepLines w:val="0"/>
        <w:pageBreakBefore w:val="0"/>
        <w:widowControl w:val="0"/>
        <w:numPr>
          <w:ilvl w:val="6"/>
          <w:numId w:val="3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环境卫生</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环境卫生的标准是林地清洁，无生活垃圾，无建筑垃圾，无大型枯枝，无片状倒树、无片状死树。</w:t>
      </w:r>
    </w:p>
    <w:p>
      <w:pPr>
        <w:pStyle w:val="70"/>
        <w:keepNext w:val="0"/>
        <w:keepLines w:val="0"/>
        <w:pageBreakBefore w:val="0"/>
        <w:widowControl w:val="0"/>
        <w:numPr>
          <w:ilvl w:val="0"/>
          <w:numId w:val="3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清洁、保洁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每天8:00—18:00保持林地无生活垃圾。</w:t>
      </w:r>
    </w:p>
    <w:p>
      <w:pPr>
        <w:pStyle w:val="70"/>
        <w:keepNext w:val="0"/>
        <w:keepLines w:val="0"/>
        <w:pageBreakBefore w:val="0"/>
        <w:widowControl w:val="0"/>
        <w:numPr>
          <w:ilvl w:val="0"/>
          <w:numId w:val="3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清运</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归堆后的垃圾杂物和垃圾收集容器等器具放在隐蔽的地方，定期清运。</w:t>
      </w:r>
    </w:p>
    <w:p>
      <w:pPr>
        <w:pStyle w:val="70"/>
        <w:keepNext w:val="0"/>
        <w:keepLines w:val="0"/>
        <w:pageBreakBefore w:val="0"/>
        <w:widowControl w:val="0"/>
        <w:numPr>
          <w:ilvl w:val="6"/>
          <w:numId w:val="3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林地维护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维护的标准是林地红线范围内不被侵占，无乱挖滥填、乱伐林木、乱摆卖、乱停放、乱搭建的现象。</w:t>
      </w:r>
    </w:p>
    <w:p>
      <w:pPr>
        <w:pStyle w:val="70"/>
        <w:keepNext w:val="0"/>
        <w:keepLines w:val="0"/>
        <w:pageBreakBefore w:val="0"/>
        <w:widowControl w:val="0"/>
        <w:numPr>
          <w:ilvl w:val="0"/>
          <w:numId w:val="3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保护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保护林地红线和红线内的花草树木，对任何侵占和破坏行为要加以制止并及时报告绿化管理部门和林地管理部门部门；对制止无效的，应及时函告街道执法队或者森林公安。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占用的林地，协助审批部门监督其按期恢复绿化，如发现未按要求按期恢复绿化或者超范围占用的，要立即上报。保护绿地红线和红线内的花草树木，对任何侵占和破坏行为要加以制止并及时报告绿化管理部门。</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经批准临时占用的绿地，监督其按期恢复绿化。如发现未经审批擅自占用绿地或者超过审批面积或数量占用绿地的或未按要求按期恢复绿化的，要立即上报。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。如发现未经审批擅自迁移树木或超过审批数量迁移树木的或树木迁移不符合规范的，要立即上报。</w:t>
      </w:r>
    </w:p>
    <w:p>
      <w:pPr>
        <w:pStyle w:val="70"/>
        <w:keepNext w:val="0"/>
        <w:keepLines w:val="0"/>
        <w:pageBreakBefore w:val="0"/>
        <w:widowControl w:val="0"/>
        <w:numPr>
          <w:ilvl w:val="0"/>
          <w:numId w:val="3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监管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加强监管，确保林地内没有倒土、堆放杂物、停放车辆、设摊摆卖、踢球戏耍、晾衣、张挂或乱搭建等损坏花草树木的行为。</w:t>
      </w:r>
    </w:p>
    <w:p>
      <w:pPr>
        <w:pStyle w:val="70"/>
        <w:keepNext w:val="0"/>
        <w:keepLines w:val="0"/>
        <w:pageBreakBefore w:val="0"/>
        <w:widowControl w:val="0"/>
        <w:numPr>
          <w:ilvl w:val="6"/>
          <w:numId w:val="3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安全生产</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重视安全生产，落实安全措施，做好林地防火工作。</w:t>
      </w:r>
    </w:p>
    <w:p>
      <w:pPr>
        <w:pStyle w:val="70"/>
        <w:keepNext w:val="0"/>
        <w:keepLines w:val="0"/>
        <w:pageBreakBefore w:val="0"/>
        <w:widowControl w:val="0"/>
        <w:numPr>
          <w:ilvl w:val="5"/>
          <w:numId w:val="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立体绿化管养要求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立体绿化管养维护工作应贯彻安全、生态、美观、经济、环保的原则。除应符合《立体绿化管养技术规程》（DB4403/T 177—2021）要求外，还应遵守CJJ/T287—2018和DB4403/T87—2020 的相关要求。</w:t>
      </w:r>
    </w:p>
    <w:p>
      <w:pPr>
        <w:pStyle w:val="70"/>
        <w:keepNext w:val="0"/>
        <w:keepLines w:val="0"/>
        <w:pageBreakBefore w:val="0"/>
        <w:widowControl w:val="0"/>
        <w:numPr>
          <w:ilvl w:val="1"/>
          <w:numId w:val="36"/>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垂直绿化（悬挂绿化）管养要求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垂直绿化的管养标准是生长旺盛，应做到墙面、棚架整齐丰满，攀缘植物枝条疏密有致、架面分布均匀、叶色浓绿，整齐雅观，一年四季常绿（落叶植物除外），有花攀缘植物要适时开花，无病虫害枯枝，棚架支架应做到稳固坚实，攀援绑扎合理。</w:t>
      </w:r>
    </w:p>
    <w:p>
      <w:pPr>
        <w:pStyle w:val="70"/>
        <w:keepNext w:val="0"/>
        <w:keepLines w:val="0"/>
        <w:pageBreakBefore w:val="0"/>
        <w:widowControl w:val="0"/>
        <w:numPr>
          <w:ilvl w:val="0"/>
          <w:numId w:val="37"/>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墙体绿化管养维护</w:t>
      </w:r>
    </w:p>
    <w:p>
      <w:pPr>
        <w:pStyle w:val="70"/>
        <w:keepNext w:val="0"/>
        <w:keepLines w:val="0"/>
        <w:pageBreakBefore w:val="0"/>
        <w:widowControl w:val="0"/>
        <w:numPr>
          <w:ilvl w:val="0"/>
          <w:numId w:val="3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景观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攀爬式与垂钓式墙面绿化：绿化结构合理，牵引及时有度，无徒长枝，边缘清晰，整体景观效果优良。叶色鲜亮，且与叶型协调。枝蔓在墙面分布均匀，覆盖率≥90%。同一品种的株高、叶色基本一致，均一度≥98%，且最大偏差＜5%。</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模块式与铺贴式墙面绿化：植被结构合理，层次分明，枝叶致密、均一，整体景观效果优良。植被结构合理，层次分明，枝叶致密、均一，整体景观效果优良。绿化覆盖率≥95%，且最大秃斑面积&lt;0.01m²。同一品种的株高、叶色基本一致，均一度≥98%，且最大偏差＜5%。</w:t>
      </w:r>
    </w:p>
    <w:p>
      <w:pPr>
        <w:pStyle w:val="70"/>
        <w:keepNext w:val="0"/>
        <w:keepLines w:val="0"/>
        <w:pageBreakBefore w:val="0"/>
        <w:widowControl w:val="0"/>
        <w:numPr>
          <w:ilvl w:val="0"/>
          <w:numId w:val="3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生长良好，达到正常生长量；观花植物能正常开花。无枯枝、残花。</w:t>
      </w:r>
    </w:p>
    <w:p>
      <w:pPr>
        <w:pStyle w:val="70"/>
        <w:keepNext w:val="0"/>
        <w:keepLines w:val="0"/>
        <w:pageBreakBefore w:val="0"/>
        <w:widowControl w:val="0"/>
        <w:numPr>
          <w:ilvl w:val="0"/>
          <w:numId w:val="3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灌溉设施完善，满足植物正常生长和景观的需求；排水通畅、有序，无积水。</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根据墙体绿化工艺、季节及植物的生长情况调整灌溉时间和灌溉频率。灌溉应湿透根系层，保证植物正常生长，具体操作还应遵守《园林绿化管养规范》（DB4403/T 87—2020）的相关要求。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补种的各类植物，应及时浇水，通常需在浇透定根水后转入正常养护。</w:t>
      </w:r>
    </w:p>
    <w:p>
      <w:pPr>
        <w:pStyle w:val="70"/>
        <w:keepNext w:val="0"/>
        <w:keepLines w:val="0"/>
        <w:pageBreakBefore w:val="0"/>
        <w:widowControl w:val="0"/>
        <w:numPr>
          <w:ilvl w:val="0"/>
          <w:numId w:val="3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攀爬式和垂吊式墙体绿化定期施用缓释复合肥。每年施肥至少2次。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模块式、铺贴式墙体绿化应定期施肥，所施肥料采用液体复合肥。每年施肥至少4次。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生长较差、恢复较慢的新栽苗或需要促进植物快速生长时采用叶面施肥。</w:t>
      </w:r>
    </w:p>
    <w:p>
      <w:pPr>
        <w:pStyle w:val="70"/>
        <w:keepNext w:val="0"/>
        <w:keepLines w:val="0"/>
        <w:pageBreakBefore w:val="0"/>
        <w:widowControl w:val="0"/>
        <w:numPr>
          <w:ilvl w:val="0"/>
          <w:numId w:val="3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土壤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攀爬式与垂钓式墙面绿化：盆栽式有效种植土层厚度≥50cm；人工栽培基质水分渗透系数≥3×10-3cm/s；种植土其它理化指标应达到《园林绿化种植土质量》（DB440300/T 34-2008）的花坛土质量要求一级标准。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模块式与铺贴式墙面绿化：种植介质保水透气，满足植物根系的正常发育；能够根据植物正常生长需要结合灌溉系统提供所需营养。</w:t>
      </w:r>
    </w:p>
    <w:p>
      <w:pPr>
        <w:pStyle w:val="70"/>
        <w:keepNext w:val="0"/>
        <w:keepLines w:val="0"/>
        <w:pageBreakBefore w:val="0"/>
        <w:widowControl w:val="0"/>
        <w:numPr>
          <w:ilvl w:val="0"/>
          <w:numId w:val="3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整形修剪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攀爬式和垂吊式墙体绿化栽植后在生长季节应进行理藤、造型，以逐步达到均匀满铺的效果。理藤时应将新生枝条进行固定。理藤可以在植株秋季生长停滞期和春季萌芽前进行。栽植2年以上的植株应对上部枝叶进行疏枝以减少枝条重叠和交叉，适当疏剪下部枝叶，并剪除重叠枝、徒长枝、虚弱枝和病虫枝；对生长势衰弱的植株应进行强度重剪，促进萌发。</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模块式、铺贴式墙体绿化，定期进行修剪。枝叶稀少的植株可通过摘心或修剪部分徒长枝，长势衰弱或带病的植株可通过重剪，促进新枝萌发；观叶植物全部通过轻剪、摘心方式进行，部分植物可不用修剪，如鸢尾、山菅兰、蚌兰等植物，修剪后各植物色块应平整无明显凹凸感。</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每年修剪至少2次。</w:t>
      </w:r>
    </w:p>
    <w:p>
      <w:pPr>
        <w:pStyle w:val="70"/>
        <w:keepNext w:val="0"/>
        <w:keepLines w:val="0"/>
        <w:pageBreakBefore w:val="0"/>
        <w:widowControl w:val="0"/>
        <w:numPr>
          <w:ilvl w:val="0"/>
          <w:numId w:val="3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不失时机地进行补植。补植要补回原来的种类并加强淋水、养护等管理措施，保证成活率达90%以上。</w:t>
      </w:r>
    </w:p>
    <w:p>
      <w:pPr>
        <w:pStyle w:val="70"/>
        <w:keepNext w:val="0"/>
        <w:keepLines w:val="0"/>
        <w:pageBreakBefore w:val="0"/>
        <w:widowControl w:val="0"/>
        <w:numPr>
          <w:ilvl w:val="0"/>
          <w:numId w:val="3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病虫害防治应贯彻“预防为主，综合防治”的原则。及时做好病虫害监测，加强病虫害防治。每月开展1次检查评估。</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室内墙体绿化春夏季应每隔半个月进行一次灭蚊。</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墙体绿化出现病虫害后，应及时清理病虫落叶、杂草等，消灭病虫源以防止扩散、蔓延。可根据实际情况，采取物理防治、化学防治等方法进行病虫害的防治。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须无危险性、检疫性有害生物；基本无有害生物危害症状；病虫害发生率＜3%；杂草率＜3%，且无恶性杂草。</w:t>
      </w:r>
    </w:p>
    <w:p>
      <w:pPr>
        <w:pStyle w:val="70"/>
        <w:keepNext w:val="0"/>
        <w:keepLines w:val="0"/>
        <w:pageBreakBefore w:val="0"/>
        <w:widowControl w:val="0"/>
        <w:numPr>
          <w:ilvl w:val="0"/>
          <w:numId w:val="3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定期对水电设施做安全检查，损坏应及时维修。每月检查至少1次。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定期检查和清理排水系统，清除落叶枯枝，保持排水畅通。每月清理至少2次。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室内墙体绿化如采用循环水灌溉，应定期抽取存水并补充新鲜水。每星期换水1次。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定期检查灌溉系统的设备、管线、控制系统运行情况。及时更换或补装老化及缺失的管道、部件，防止滴、渗、漏现象发生；疏通或更换堵塞的滴头、滴箭等。每月维护1次。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定期检查种植模块，发现破损、开裂，应及时维修更换。每季度维护1次。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模块式墙体绿化系统，应按照管护范围内模块总量的5%备足备用模块。备用模块植物要求养护到位、生长势良好，随时能上架替换备用。</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锚点、紧固件、龙骨、辅助攀爬设施等的固定情况及锈蚀情况，做到无锈蚀、无松动、无老化，发现结构裂痕等安全现象应及时上报监理单位和建设单位；超出有效期的结构件、连接件应及时更换。每年维护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定期检查墙体防潮情况，如有异常应及时维护。每年维护2次。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设有景观照明的墙体绿化，定期检查电路和照明设施，发现损坏及时修理。每年维护2次。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其他设施每年维护2次。</w:t>
      </w:r>
    </w:p>
    <w:p>
      <w:pPr>
        <w:pStyle w:val="70"/>
        <w:keepNext w:val="0"/>
        <w:keepLines w:val="0"/>
        <w:pageBreakBefore w:val="0"/>
        <w:widowControl w:val="0"/>
        <w:numPr>
          <w:ilvl w:val="0"/>
          <w:numId w:val="37"/>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桥体绿化管养维护</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原则</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桥体绿化按照工艺不同进行精细化管养。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桥体绿化的桥柱绿化、引桥绿化如采用墙体绿化工艺，按照墙体绿化的技术规程进行管养。</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景观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植株枝条飘逸下垂，整体景观效果优良；叶色鲜亮，且与叶型协调；植株密度适宜，绿化覆盖率≥98%；同一品种的株高、叶色基本一致，均一度≥98%，且最大偏差＜5%.</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生长势强，生长量均超过相同种类、相同规格的年平均生长量。枝繁叶茂；花果正常率≥95%；无缺株、枯枝、残花。</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灌溉设施完善，满足植物正常生长和景观的需求；排水通畅、有序，无积水。</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采用自动灌溉系统时，根据植物特性和实地环境情况设定灌溉程序，并按季节调整灌溉时间和灌溉频率，保证植物正常生长。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灌水量应适中且均匀，既要满足植物的需求，又要避免过多的水溢出，影响行车及行人。</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养护频率依照墙体绿化进行。</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施肥以液肥为主、干肥为辅；无机肥为主，有机肥兼用。施用干肥时，宜采用缓释肥，均匀撒施在种植槽面。每年施肥至少4次。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施肥量应综合考虑气候、气温，并根据苗木种类、苗龄、生长期和肥源以及栽植基质理化状况，植株营养状况确定，并按如下要求进行：</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a）营养生长期宜选择含氮量高的复合肥，可选用N-P2 O5-K2 O为25-15-15的肥料；</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b）促花及开花季节，宜选择磷钾含量高的复合肥，可选用N-P2 O5-K2 O为15-20-25的肥料；</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c）冬季到来前适当增施钾肥以增强植株抗寒能力；</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d）施肥应避免高温、寒冷时期，应薄肥少施。</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土壤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基质内径宽度应≥0.40m，深度应≥0.50m；人工栽培基质水分渗透系数≥3×10-3cm/s；种植土其它理化指标应达到《园林绿化种植土质量》（DB440300/T 34-2008）的花坛土质量要求一级标准。</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定期修剪，控制冠幅，保持景观效果；修剪应遵循“先上后下、先内后外、去弱留强、去老留新”的原则。每年修剪至少2次。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应运用压枝、绑扎等方法引导植物枝条往适宜的方向生长，使植物均匀覆盖桥体及建筑沿口护栏，枝条自然下垂。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高架路桥、立交桥和人行天桥影响行车辆、行人视线和安全的枝条，应及时修剪；对于下垂枝条无法在桥上进行人工修剪的，宜使用高空作业车操作。</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花期调控</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对需要花期调控的植物品种，应综合运用水分管理、修剪、施肥、喷施化学药剂等多种方法进行花期调控。</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补植苗木</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对各种原因引起死亡、残缺的植株，应及时进行补植更换，并加强管理。补植的苗木种类应与原种类规格相近。补植更换不超过7天。补植要补回原来的种类并加强淋水、养护等管理措施，保证成活率达90%以上。</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除草和保洁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定期清除种植槽内的杂草、枯枝落叶，应保持种植槽内清洁，无垃圾、杂物。每半月清理至少1次。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连续半个月无降雨，应对植物叶片进行冲洒，洗去积尘。每月冲洒至少4次。</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监测，加强病虫害防治。每月1次检查评估。采取综合防治、化学防治、物理人工防治和生物防治等方法防止病虫害蔓延和影响植物生长。尽量采用生物防治的办法，以减少对环境的污染，用化学方法防治时，喷药一般要在晚上进行，药物、用量及对环境的影响，要符合环保的要求和标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须无危险性、检疫性有害生物；基本无有害生物危害症状；病虫害发生率＜3%；杂草率＜3%，且无恶性杂草。</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定期巡查，应建立定期巡查制度，采取巡查和重点抽查相结合的方式。每周巡查至少1次。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检查时不扰动绿化植物及绿化设施，对能观察到的构件状况进行检查和记录，提出相应的维护措施。检查内容如下：</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a）支架结构及固定构件的残缺、开裂、松动、变形、锈蚀等情况；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b）与构件联结桥梁栏杆、梁体、防撞栏的变形、锈蚀、混凝土开裂、剥落等状况；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c）支架结构外包外装饰板缺损、变形、脱落、污秽等情况；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d）排水系统残缺、松脱、堵塞、漏水等情况；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e）复合结构花盆的残缺、开裂、锈蚀等情况；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f）钢筋混凝土花槽的混凝土开裂、脱落、漏水、钢筋锈蚀等情况；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g）其他影响绿化设施使用安全及结构安全的因素。</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重点抽查部位主要包括巡查无法检查到的支架结构及固定构件、排水系统、与构件联结桥梁栏杆、梁体、防撞栏。每次重点抽查的位置宜尽量避免与以前的抽检位置重合。重点抽查应以目测近距离检查为主，以活动门式架或高空作业车作为辅助观测平台，并配备照相机、裂缝观测仪等必要的检查器材。重点抽查时，应随机抽取绿化设施的检查位置进行检查，检查前应拆除相应部位的外包外装饰板。如仍无法全面观察抽检部位的构件所有状况，应由中标人清除抽样部位花盆内的植物及泥土。</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定期检查灌溉系统，发现破损、断裂、脱落、滴漏等情况，应及时维修、更换，保持系统通畅。配备充足的灌溉系统配件，及时更换老化管件。每季度维护至少2次。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定期清理排水系统，避免植株浸水。暴雨后也应清理排水系统，及时排除积水。每月清理至少1次。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定期对支撑底座、种植槽以及底座与桥梁的连接构件等部位的质量、安全进行检查。及时更换破损的种植槽，若底座与桥梁的连接构件存在松动、脱落等安全隐患，应立即加固或拆除。每年检查维护至少1次。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保持种植槽等承载体的安全、美观、整洁，定期清洗。对油漆剥落的支撑底座及时油漆，底座定期油漆。每年油漆至少1次。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养护单位按照养护范围内种植槽总数的5%备足备用种植槽；种植槽内植物要求养护到位、生长势良好。每年检查维护至少1次。</w:t>
      </w:r>
    </w:p>
    <w:p>
      <w:pPr>
        <w:pStyle w:val="70"/>
        <w:keepNext w:val="0"/>
        <w:keepLines w:val="0"/>
        <w:pageBreakBefore w:val="0"/>
        <w:widowControl w:val="0"/>
        <w:numPr>
          <w:ilvl w:val="0"/>
          <w:numId w:val="37"/>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棚架绿化管养维护</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景观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藤蔓植物枝条牵引及时，枝叶分布均一，整体景观效果优良；叶色鲜亮，且与叶型协调；植株密度适宜，遮阴率≥80%；同一品种的株高、叶色基本一致，均一度≥95%，且最大偏差＜8%。</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生长势强健，生长量不小于该种类该规格的年平均生长量；开花藤本营养生长和生殖生长协调，花期开花繁茂；无缺株、枯枝、残花。 </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灌溉设施完善，满足植物正常生长和景观的需求；排水通畅、有序，无积水。</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棚架绿化应根据季节和植物生长状况调整灌水频率和灌水量，保证植物正常生长。旱季和雨季非雨天超过5天，每月灌溉至少2次；雨季非雨天不超过5天可不灌溉。</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定期施用缓释复合肥。生长较差、恢复较慢的新栽苗或需要促进植物快速生长时可采用根外追肥。促花及开花季节，宜选择磷钾含量高的复合肥，可选用N-P</w:t>
      </w:r>
      <w:r>
        <w:rPr>
          <w:rFonts w:hint="eastAsia" w:asciiTheme="minorEastAsia" w:hAnsiTheme="minorEastAsia" w:eastAsiaTheme="minorEastAsia" w:cstheme="minorEastAsia"/>
          <w:color w:val="auto"/>
          <w:sz w:val="21"/>
          <w:szCs w:val="21"/>
          <w:highlight w:val="none"/>
          <w:vertAlign w:val="subscript"/>
        </w:rPr>
        <w:t>2</w:t>
      </w:r>
      <w:r>
        <w:rPr>
          <w:rFonts w:hint="eastAsia" w:asciiTheme="minorEastAsia" w:hAnsiTheme="minorEastAsia" w:eastAsiaTheme="minorEastAsia" w:cstheme="minorEastAsia"/>
          <w:color w:val="auto"/>
          <w:sz w:val="21"/>
          <w:szCs w:val="21"/>
          <w:highlight w:val="none"/>
        </w:rPr>
        <w:t>O</w:t>
      </w:r>
      <w:r>
        <w:rPr>
          <w:rFonts w:hint="eastAsia" w:asciiTheme="minorEastAsia" w:hAnsiTheme="minorEastAsia" w:eastAsiaTheme="minorEastAsia" w:cstheme="minorEastAsia"/>
          <w:color w:val="auto"/>
          <w:sz w:val="21"/>
          <w:szCs w:val="21"/>
          <w:highlight w:val="none"/>
          <w:vertAlign w:val="subscript"/>
        </w:rPr>
        <w:t>5</w:t>
      </w:r>
      <w:r>
        <w:rPr>
          <w:rFonts w:hint="eastAsia" w:asciiTheme="minorEastAsia" w:hAnsiTheme="minorEastAsia" w:eastAsiaTheme="minorEastAsia" w:cstheme="minorEastAsia"/>
          <w:color w:val="auto"/>
          <w:sz w:val="21"/>
          <w:szCs w:val="21"/>
          <w:highlight w:val="none"/>
        </w:rPr>
        <w:t>-K</w:t>
      </w:r>
      <w:r>
        <w:rPr>
          <w:rFonts w:hint="eastAsia" w:asciiTheme="minorEastAsia" w:hAnsiTheme="minorEastAsia" w:eastAsiaTheme="minorEastAsia" w:cstheme="minorEastAsia"/>
          <w:color w:val="auto"/>
          <w:sz w:val="21"/>
          <w:szCs w:val="21"/>
          <w:highlight w:val="none"/>
          <w:vertAlign w:val="subscript"/>
        </w:rPr>
        <w:t>2</w:t>
      </w:r>
      <w:r>
        <w:rPr>
          <w:rFonts w:hint="eastAsia" w:asciiTheme="minorEastAsia" w:hAnsiTheme="minorEastAsia" w:eastAsiaTheme="minorEastAsia" w:cstheme="minorEastAsia"/>
          <w:color w:val="auto"/>
          <w:sz w:val="21"/>
          <w:szCs w:val="21"/>
          <w:highlight w:val="none"/>
        </w:rPr>
        <w:t>O为15-20-25的肥料。每年施肥至少2次。</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土壤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土壤无污染，表面平整疏松不板结，无明显低洼；盆栽式棚架绿化基质保水透气，有效种植土层厚度≥50cm；人工栽培基质水分渗透系数≥3×10-3cm/s；种植土其它理化指标应达到《园林绿化种植土质量》（DB440300/T 34-2008）的花坛土质量要求一级标准。</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理藤和修剪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棚架绿化在生长季节应进行理藤、造型，以逐步达到均匀满铺的效果；理藤时应将新生枝条进行固定。栽植2年以上的植株应对上部枝叶进行疏枝以减少枝条重叠，并适当疏剪下部枝叶。每年修剪至少2次。</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不失时机地进行补植。补植要补回原来的种类并加强淋水、养护等管理措施，保证成活率达90%以上。</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监测，加强病虫害防治。出现病虫害后，应及时清理病虫落叶、杂草等，消灭病虫源以防止扩散、蔓延。可根据实际情况，采取物理防治、化学防治等方法进行病虫害的防治。每季度检查评估至少1次。用化学方法防治时，喷药一般要在晚上进行，药物、用量及对环境的影响，要符合环保的要求和标准。发生病虫为害时，最严重的危害率在5%以下。</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须无危险性、检疫性有害生物；基本无有害生物危害症状；病虫害发生率＜3%；杂草率＜3%，且无恶性杂草。</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定期检查棚架结构的紧固程度和锈蚀情况，并进行防腐防锈。超出有效期的结构件、连接件应及时更换。每年维护至少2次。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定期检查种植槽（箱），发现种植槽（箱）老化变形时，应及时修复或更换。每季度检查维护至少1次。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采用自动灌溉系统，应定期检查灌溉系统的设备、管线、控制系统运行情况，包括调试自动控制系统；更换或补装老化及缺失的管道、部件，防止滴、渗、漏现象发生；疏通或更换堵塞的滴头、滴箭等。每月检查维护至少1次。</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屋顶绿化管养要求</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景观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简单式屋顶绿化：植被整洁，边界清晰，景观效果良好；植株密度适宜，覆盖率≥95%，且最大秃斑面积&lt;0.10m²。</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园式屋顶绿化：群落结构合理，层次清晰，整体景观效果优良；色彩鲜亮，叶型优美，且色彩、叶型协调；植株密度适宜，覆盖率≥95%，且最大秃斑面积&lt;0.03m²；同一品种的株高、花期及花色基本一致，整齐度≥90%，且最大偏差＜12%。</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简单式屋顶绿化：生长健壮，叶色正常；花果正常率≥95%；无倒伏。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花园式屋顶绿化：生长势强，茎杆粗壮，冠幅饱满；无缺株，无倒伏；无枯枝、残花。</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灌溉设施完善，满足植物正常生长和景观的需求；排水通畅、有序，无积水。</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每日的灌溉时间应根据季节和气温而定。雨季（4-10月）植物生长用水宜以自然降雨为主，辅之灌溉；旱季（11月-次年3月）以灌溉为主。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灌溉应根据屋顶绿化类型、植物种类、季节和养护等级调整灌溉次数和灌水量，灌溉应湿透根系层，保证植物正常生长，具体操作还应遵守《园林绿化管养规范》（DB4403/T 87—2020）的相关要求。</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根据植物长势，合理安排施肥次数和施肥量，应施用复合型环保缓释有机肥，改善基质层的透气性。施肥时应即时洒水溶解，按照以下方式施肥：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a.草坪类简单式屋顶绿化每年施肥至少2次；耐旱植物类简单式屋顶绿化每年施肥至少1次；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b.混合式和花园式屋顶绿化每年施肥至少2次；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植物长势较弱时，可在生长期内按照30-50g/㎡的比例每年施用1-2次叶面肥。</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土壤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简单式屋顶绿化：土层厚度≥20cm；人工栽培基质水分渗透系数≥3×10-3cm/s；种植土其它理化指标应达到《园林绿化种植土质量》（DB440300/T 34-2008）的花坛土质量一级标准。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园式屋顶绿化：土壤无污染，表面平整不板结，无明显低洼，无水土流失现象，边缘线优美且低于周边道牙5cm；通气孔隙度≥15%；土壤水分渗透系数≥5×10-4cm/s；种植土土层厚度及其它理化指标应达到《园林绿化种植土质量》（DB440300/T 34-2008）的花坛土质量要求一级标准。</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种植基质补充</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因植物生长消耗或渗透流失造成基质减少，应及时补充栽培基质，按照如下要求补充：</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a．简单式屋顶绿化每年补充至少1次；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b．混合式和花园式屋顶绿化每年补充至少2次。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补充种植基质的理化性质应符合下表要求。</w:t>
      </w:r>
    </w:p>
    <w:p>
      <w:pPr>
        <w:adjustRightInd w:val="0"/>
        <w:snapToGrid w:val="0"/>
        <w:spacing w:before="120" w:beforeLines="50" w:after="120" w:afterLines="50"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屋顶绿化种植基质理化性质要求</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261"/>
        <w:gridCol w:w="3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restart"/>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性质</w:t>
            </w:r>
          </w:p>
        </w:tc>
        <w:tc>
          <w:tcPr>
            <w:tcW w:w="6720" w:type="dxa"/>
            <w:gridSpan w:val="2"/>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continue"/>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简单式屋顶绿化</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混合式和花园式屋顶绿化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最大粒径</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＜20mm</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饱和容重</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450-650kg/m³</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150-1300kg/m³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总孔隙度</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80-90%</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入渗率</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≥200mm/h</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≥60mm/h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PH值</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5.5-8.0</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可溶性盐含量</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＜3.5g/kg</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＜2.5g/kg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有机质含量</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30-100g/kg</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50-200g/kg</w:t>
            </w:r>
          </w:p>
        </w:tc>
      </w:tr>
    </w:tbl>
    <w:p>
      <w:pPr>
        <w:adjustRightInd w:val="0"/>
        <w:snapToGrid w:val="0"/>
        <w:spacing w:line="240" w:lineRule="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植物修剪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根据乔木和灌木的生长特性及时修枝整形，严格控制植株高度和疏密度，保持根冠比平衡。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修剪植株的重叠枝、交叉枝、内膛枝、徒长枝、虚弱枝和病虫枝等。修剪及维护符合以下要求：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a.修剪整形每年至少4次；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b.检查并维护树木防护设施，发现倒伏及时整改。每年维护至少2次。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及时清除杂草、杂生苗、枯枝落叶，尤其是大型杂草、攀援性杂草或具有入侵性的深根性目标外来植物，球根类、宿根类外来植物还应清除地下部分。除草次数及注意事项如下：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a.杂草清除每半月至少1次。每次清理过后，需将可见的杂草拔除干净，保证良好的景观效果；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b.简单式屋顶绿化选用景天类植物时，需于每年春季植物萌动期内及时清除过老植物体。</w:t>
      </w:r>
    </w:p>
    <w:p>
      <w:pPr>
        <w:pStyle w:val="70"/>
        <w:keepNext w:val="0"/>
        <w:keepLines w:val="0"/>
        <w:pageBreakBefore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植物补植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发现苗木死亡应查明死因并及时清除，采取相应措施恢复植物景观。并按以下要求进行恢复：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a.应对基质进行处理后再补植；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b.补植苗木类型应与原种类一致，规格相近；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c.补植7天内完成。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补植要补回原来的种类并加强淋水、养护等管理措施，保证成活率达90%以上。</w:t>
      </w:r>
    </w:p>
    <w:p>
      <w:pPr>
        <w:pStyle w:val="70"/>
        <w:keepNext w:val="0"/>
        <w:keepLines w:val="0"/>
        <w:pageBreakBefore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病虫害的防治工作，贯彻“预防为主、综合治理”的原则。及时做好病虫害调查和监测工作，采用综合防治措施，喷施相应的药剂，一般需连续喷药三次，每次间隔5-7天，若遇雨应补喷。</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宜使用低毒、无味药剂，不应使用剧毒化学药剂和有机氯、有机汞化学农药。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每2个月检查评估一次病虫害状况。</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须无危险性、检疫性有害生物；基本无有害生物危害症状；病虫害发生率＜3%；杂草率＜3%，且无恶性杂草。</w:t>
      </w:r>
    </w:p>
    <w:p>
      <w:pPr>
        <w:pStyle w:val="70"/>
        <w:keepNext w:val="0"/>
        <w:keepLines w:val="0"/>
        <w:pageBreakBefore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（1）定期检查和维护设施设备，确保设施设备完好无损、结构件牢固安全。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（2）定期对水电设施作安全检查，确保灌溉系统运行正常，损坏应及时维修。每月维护1次。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（3）定期清理排水检查孔和排水沟（排水渠、排水暗沟），及时清理落叶枯枝，保持排水畅通。每月清理1次。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（4）定期检查园路与铺装，如出现下沉、变形，应及时修复。每半年至少维护1次。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（5）定期检查园林建筑、构筑物和小品等，保持美观整洁、无安全隐患；发现装饰面层脱落、损坏及有安全隐患的，应及时维修。每半年至少维护1次。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（6）定期维护金属构件，防止生锈；对出现生锈现象的，应及时进行除锈处理。每年至少维护1次。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（7）定期对木构件进行防腐处理。每年至少维护1次。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（8）定期对屋顶防水情况进行观测，一旦发现有漏水情况出现，应及时上报建设单位。每月观测1次。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（9）设有景观照明的屋顶绿化，定期检查电路和照明设施，发现损坏及时修理。每半年至少维护1次。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（10）其他设施每年至少维护1次。</w:t>
      </w:r>
    </w:p>
    <w:p>
      <w:pPr>
        <w:pStyle w:val="70"/>
        <w:keepNext w:val="0"/>
        <w:keepLines w:val="0"/>
        <w:pageBreakBefore w:val="0"/>
        <w:numPr>
          <w:ilvl w:val="5"/>
          <w:numId w:val="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行道树管养要求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一级行道树：树木高度、密度、形态、树冠大小均匀一致，行道树树干直立，倾斜数量不超过该路段行道树2%，无缺株，对倒伏、受损的树木应及时扶正、支撑或补种。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二级行道树：树木高度、密度、形态、树冠大小均匀一致，行道树树干直立，倾斜数量不超过该路段行道树5%，无缺株，对倒伏、受损的树木应及时扶正、支撑或补种。</w:t>
      </w:r>
    </w:p>
    <w:p>
      <w:pPr>
        <w:pStyle w:val="70"/>
        <w:keepNext w:val="0"/>
        <w:keepLines w:val="0"/>
        <w:pageBreakBefore w:val="0"/>
        <w:numPr>
          <w:ilvl w:val="6"/>
          <w:numId w:val="4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生长势强，枝叶健壮，叶色青绿，无枯枝残叶。</w:t>
      </w:r>
    </w:p>
    <w:p>
      <w:pPr>
        <w:pStyle w:val="70"/>
        <w:keepNext w:val="0"/>
        <w:keepLines w:val="0"/>
        <w:pageBreakBefore w:val="0"/>
        <w:numPr>
          <w:ilvl w:val="6"/>
          <w:numId w:val="4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整形修剪工作要求：根据植物的生长发育要求、景观要求、安全要求及防风要求等，对植物进行有计划的定期修剪和不定期修剪。对遮挡交通指示牌、监控设施、路灯等公共设施的树木要及时发现，及时修剪。行道树修剪经费如不足的，需在整个</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中调剂经费解决。</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树种的生长特点如萌芽期、花期等，除棕榈等植物外，其它乔木一般在叶芽和花芽分化前进行修剪，避免把叶芽和花芽剪掉，使花乔木花繁叶茂；乔木整形效果要与周围环境协调，以增强园林美化效果，行道树修剪要保持树冠完整美观，主侧枝分布均称和数量，内瞠不空又通风透光，根据不同路段车辆、行人等情况确定下缘线高度和树冠体量，下缘线高度一般控制在2.3～3.5米之间，树高一般控制在10～17米之间，注意不能影响高压线、路灯和交通指示牌；修剪时按操作规程进行，尽量减少伤口，剪口要平，不劈不裂，不能留有树钉，直径超过4cm以上的剪锯口，应涂抹防腐剂促进伤口愈合；阴枝、下垂枝、病虫枝、干枯枝叶及下缘线下的萌蘖枝要及时剪除；及时摘除残花、干果。</w:t>
      </w:r>
    </w:p>
    <w:p>
      <w:pPr>
        <w:pStyle w:val="70"/>
        <w:keepNext w:val="0"/>
        <w:keepLines w:val="0"/>
        <w:pageBreakBefore w:val="0"/>
        <w:numPr>
          <w:ilvl w:val="6"/>
          <w:numId w:val="4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不同生长季节的天气情况，不同植物种类和不同树龄适当淋水，并在每年的春、秋重点施肥2～3次。施肥量根据树木的种类和生长情况而定，种植三年以内的乔木和树穴有植被的乔木要适当增加施肥量和次数。肥料要埋施，先打穴或开沟。施肥后要回填土，踏实、淋足水，找平，切忌肥料裸露。乔木施肥穴的规格一般为40×30×40厘米，挖沟的规格为30×40厘米。挖穴或开沟的位置一般是树冠外缘的投线影（行列树除外），每株树挖对称的两穴或四穴。</w:t>
      </w:r>
    </w:p>
    <w:p>
      <w:pPr>
        <w:pStyle w:val="70"/>
        <w:keepNext w:val="0"/>
        <w:keepLines w:val="0"/>
        <w:pageBreakBefore w:val="0"/>
        <w:numPr>
          <w:ilvl w:val="6"/>
          <w:numId w:val="4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补植、改植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理死树，要求在两周内补植回原来的树种并力求规格与原有的树木接近，以保证优良的景观效果。补植要按照树木种植规范进行，施足基肥并加强淋水等保养措施，确保成活率。对已呈老化或明显与周围环境景观不协调的树木应及时进行改植。</w:t>
      </w:r>
    </w:p>
    <w:p>
      <w:pPr>
        <w:pStyle w:val="70"/>
        <w:keepNext w:val="0"/>
        <w:keepLines w:val="0"/>
        <w:pageBreakBefore w:val="0"/>
        <w:numPr>
          <w:ilvl w:val="6"/>
          <w:numId w:val="4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加抗病虫能力，经常检查，早发现早处理。采取综合防治、化学防治、物理人工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在5%以下，单株的树干病虫害发生率＜1%，枝叶病虫害发生率＜5%。</w:t>
      </w:r>
    </w:p>
    <w:p>
      <w:pPr>
        <w:pStyle w:val="70"/>
        <w:keepNext w:val="0"/>
        <w:keepLines w:val="0"/>
        <w:pageBreakBefore w:val="0"/>
        <w:numPr>
          <w:ilvl w:val="6"/>
          <w:numId w:val="4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防台风及意外</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做好防台风工作。台风前加强防御措施，合理修剪，加固护树设施，以增强抵御台风的能力。台风吹袭期间迅速清理倒树断枝，疏通道路。台风后及时进行扶树、护树，补好残缺，清除断枝、落叶和垃圾，使绿化景观尽快恢复。遇雷电风雨、人畜危害或交通意外而使树木歪斜或倒树断枝，要立即处理、疏通道路。</w:t>
      </w:r>
    </w:p>
    <w:p>
      <w:pPr>
        <w:pStyle w:val="70"/>
        <w:keepNext w:val="0"/>
        <w:keepLines w:val="0"/>
        <w:pageBreakBefore w:val="0"/>
        <w:numPr>
          <w:ilvl w:val="6"/>
          <w:numId w:val="4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护树设施的管理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护树设施的管理标准是整齐、直立、高度一致。护树桩、板、胶带有霉烂、松脱、断裂要及时更换，使其达到护树效果。护树板、胶带要根据树木生长情况及时松绑；不需要的护树设施要及时拆除、清理。</w:t>
      </w:r>
    </w:p>
    <w:p>
      <w:pPr>
        <w:pStyle w:val="70"/>
        <w:keepNext w:val="0"/>
        <w:keepLines w:val="0"/>
        <w:pageBreakBefore w:val="0"/>
        <w:numPr>
          <w:ilvl w:val="6"/>
          <w:numId w:val="4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监管保护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对任何侵占和破坏行道树的行为要加以制止并及时报告绿化管理部门。经批准临时迁移的树木，监督其按技术规范进行树木迁移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。如发现未经审批擅自迁移树木、或超过审批数量迁移树木的、或树木迁移不符合规范的，要立即上报。</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二</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 xml:space="preserve">）公园绿地管养技术要求 </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1.服务内容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公园绿地管养的工作内容：绿化养护、卫生保洁、设施维护及安全。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绿化养护：日常浇水、中耕施肥、修剪、防病虫害、土壤改良、园艺造型、拔除杂草、整形细剪剥芽、树桩绑扎、加土扶正、补植（包括特色苗木补植）、洒水、防台风加固、水生植物养护（包括自然驳岸）。</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卫生保洁：钩除枯枝、环境清理、垃圾清运、路面清扫、水体保洁。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设施维护及安全：绿地维护、地勤安全、灌溉排水、绿化设施维护（（包括卫生设施、喷灌系统、喷泉、水体、护栏、园林建筑及小品、园道、宣传牌、绿地铺装、花基、护树设施、灯光设施、监控设施、健身设施、直饮水机等）。</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2.技术要求</w:t>
      </w:r>
    </w:p>
    <w:p>
      <w:pPr>
        <w:pStyle w:val="70"/>
        <w:keepNext w:val="0"/>
        <w:keepLines w:val="0"/>
        <w:pageBreakBefore w:val="0"/>
        <w:numPr>
          <w:ilvl w:val="5"/>
          <w:numId w:val="43"/>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园容卫生</w:t>
      </w:r>
    </w:p>
    <w:p>
      <w:pPr>
        <w:pStyle w:val="70"/>
        <w:keepNext w:val="0"/>
        <w:keepLines w:val="0"/>
        <w:pageBreakBefore w:val="0"/>
        <w:numPr>
          <w:ilvl w:val="6"/>
          <w:numId w:val="44"/>
        </w:numPr>
        <w:kinsoku/>
        <w:wordWrap/>
        <w:overflowPunct/>
        <w:topLinePunct w:val="0"/>
        <w:autoSpaceDE/>
        <w:autoSpaceDN/>
        <w:bidi w:val="0"/>
        <w:adjustRightInd w:val="0"/>
        <w:snapToGrid w:val="0"/>
        <w:spacing w:line="240" w:lineRule="auto"/>
        <w:ind w:left="0" w:firstLine="421" w:firstLineChars="200"/>
        <w:jc w:val="both"/>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一般要求</w:t>
      </w:r>
    </w:p>
    <w:p>
      <w:pPr>
        <w:pStyle w:val="70"/>
        <w:keepNext w:val="0"/>
        <w:keepLines w:val="0"/>
        <w:pageBreakBefore w:val="0"/>
        <w:numPr>
          <w:ilvl w:val="0"/>
          <w:numId w:val="45"/>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公园的开园时间为日常保洁时间，应做到开园时间不间断保洁，公园开放时间内应做到干净整洁，无生活垃圾，无建筑垃圾，无卫生死角。</w:t>
      </w:r>
    </w:p>
    <w:p>
      <w:pPr>
        <w:pStyle w:val="70"/>
        <w:keepNext w:val="0"/>
        <w:keepLines w:val="0"/>
        <w:pageBreakBefore w:val="0"/>
        <w:numPr>
          <w:ilvl w:val="0"/>
          <w:numId w:val="45"/>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卫生管理实行定岗定员，责任到人。保洁岗分为固定岗与流动岗。固定岗人员负责岗位区域工作时间内的保洁，流动岗人员负责固定岗工作时间外的保洁。</w:t>
      </w:r>
    </w:p>
    <w:p>
      <w:pPr>
        <w:pStyle w:val="70"/>
        <w:keepNext w:val="0"/>
        <w:keepLines w:val="0"/>
        <w:pageBreakBefore w:val="0"/>
        <w:numPr>
          <w:ilvl w:val="0"/>
          <w:numId w:val="45"/>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保洁人员应穿着工作服、工作鞋，做到着装整齐,保洁人员应文明、安全、有序的完成工作，尽量减少对游园公众形成干扰。</w:t>
      </w:r>
    </w:p>
    <w:p>
      <w:pPr>
        <w:pStyle w:val="70"/>
        <w:keepNext w:val="0"/>
        <w:keepLines w:val="0"/>
        <w:pageBreakBefore w:val="0"/>
        <w:numPr>
          <w:ilvl w:val="0"/>
          <w:numId w:val="45"/>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垃圾处理应做到日产日清，未能及时清运出场的垃圾应在当天转运至垃圾中转站，禁止焚烧；垃圾应实行分类收集，危险废弃物品应运送到专门的处理场处置；垃圾中转站日产日清，应做到无垃圾残留、无明显异味、无污迹、无积水、无鼠害、无虫蝇滋生。</w:t>
      </w:r>
    </w:p>
    <w:p>
      <w:pPr>
        <w:pStyle w:val="70"/>
        <w:keepNext w:val="0"/>
        <w:keepLines w:val="0"/>
        <w:pageBreakBefore w:val="0"/>
        <w:numPr>
          <w:ilvl w:val="6"/>
          <w:numId w:val="44"/>
        </w:numPr>
        <w:kinsoku/>
        <w:wordWrap/>
        <w:overflowPunct/>
        <w:topLinePunct w:val="0"/>
        <w:autoSpaceDE/>
        <w:autoSpaceDN/>
        <w:bidi w:val="0"/>
        <w:adjustRightInd w:val="0"/>
        <w:snapToGrid w:val="0"/>
        <w:spacing w:line="240" w:lineRule="auto"/>
        <w:ind w:left="0" w:firstLine="421" w:firstLineChars="200"/>
        <w:jc w:val="both"/>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公园绿地保洁</w:t>
      </w:r>
    </w:p>
    <w:p>
      <w:pPr>
        <w:pStyle w:val="70"/>
        <w:keepNext w:val="0"/>
        <w:keepLines w:val="0"/>
        <w:pageBreakBefore w:val="0"/>
        <w:numPr>
          <w:ilvl w:val="0"/>
          <w:numId w:val="46"/>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分类分级要求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公园特级绿地、一级绿地、二级绿地、三地绿地的园容卫生应符合下表要求：</w:t>
      </w:r>
    </w:p>
    <w:p>
      <w:pPr>
        <w:adjustRightInd w:val="0"/>
        <w:snapToGrid w:val="0"/>
        <w:spacing w:before="120" w:beforeLines="50" w:after="120" w:afterLines="50" w:line="240" w:lineRule="auto"/>
        <w:ind w:firstLine="421" w:firstLineChars="20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公园绿地保洁分类分级要求</w:t>
      </w:r>
    </w:p>
    <w:tbl>
      <w:tblPr>
        <w:tblStyle w:val="42"/>
        <w:tblW w:w="90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2"/>
        <w:gridCol w:w="999"/>
        <w:gridCol w:w="1889"/>
        <w:gridCol w:w="1891"/>
        <w:gridCol w:w="1891"/>
        <w:gridCol w:w="16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blHeader/>
          <w:jc w:val="center"/>
        </w:trPr>
        <w:tc>
          <w:tcPr>
            <w:tcW w:w="1751" w:type="dxa"/>
            <w:gridSpan w:val="2"/>
            <w:tcBorders>
              <w:top w:val="single" w:color="000000" w:sz="4" w:space="0"/>
              <w:left w:val="single" w:color="000000" w:sz="4" w:space="0"/>
              <w:bottom w:val="single" w:color="000000" w:sz="4" w:space="0"/>
              <w:right w:val="single" w:color="000000" w:sz="4" w:space="0"/>
            </w:tcBorders>
            <w:shd w:val="clear" w:color="auto" w:fill="C6D9F1"/>
            <w:noWrap w:val="0"/>
            <w:vAlign w:val="center"/>
          </w:tcPr>
          <w:p>
            <w:pPr>
              <w:pStyle w:val="195"/>
              <w:spacing w:line="240" w:lineRule="auto"/>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sz w:val="21"/>
                <w:szCs w:val="21"/>
                <w:highlight w:val="none"/>
              </w:rPr>
              <w:t>类别</w:t>
            </w:r>
          </w:p>
        </w:tc>
        <w:tc>
          <w:tcPr>
            <w:tcW w:w="1889" w:type="dxa"/>
            <w:tcBorders>
              <w:top w:val="single" w:color="000000" w:sz="4" w:space="0"/>
              <w:left w:val="single" w:color="000000" w:sz="4" w:space="0"/>
              <w:bottom w:val="single" w:color="000000" w:sz="4" w:space="0"/>
              <w:right w:val="single" w:color="000000" w:sz="4" w:space="0"/>
            </w:tcBorders>
            <w:shd w:val="clear" w:color="auto" w:fill="C6D9F1"/>
            <w:noWrap w:val="0"/>
            <w:vAlign w:val="center"/>
          </w:tcPr>
          <w:p>
            <w:pPr>
              <w:pStyle w:val="195"/>
              <w:spacing w:line="240" w:lineRule="auto"/>
              <w:ind w:left="554" w:right="44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特级绿地</w:t>
            </w:r>
          </w:p>
        </w:tc>
        <w:tc>
          <w:tcPr>
            <w:tcW w:w="1891" w:type="dxa"/>
            <w:tcBorders>
              <w:top w:val="single" w:color="000000" w:sz="4" w:space="0"/>
              <w:left w:val="single" w:color="000000" w:sz="4" w:space="0"/>
              <w:bottom w:val="single" w:color="000000" w:sz="4" w:space="0"/>
              <w:right w:val="single" w:color="000000" w:sz="4" w:space="0"/>
            </w:tcBorders>
            <w:shd w:val="clear" w:color="auto" w:fill="C6D9F1"/>
            <w:noWrap w:val="0"/>
            <w:vAlign w:val="center"/>
          </w:tcPr>
          <w:p>
            <w:pPr>
              <w:pStyle w:val="195"/>
              <w:spacing w:line="240" w:lineRule="auto"/>
              <w:ind w:left="57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一级绿地</w:t>
            </w:r>
          </w:p>
        </w:tc>
        <w:tc>
          <w:tcPr>
            <w:tcW w:w="1891" w:type="dxa"/>
            <w:tcBorders>
              <w:top w:val="single" w:color="000000" w:sz="4" w:space="0"/>
              <w:left w:val="single" w:color="000000" w:sz="4" w:space="0"/>
              <w:bottom w:val="single" w:color="000000" w:sz="4" w:space="0"/>
              <w:right w:val="single" w:color="000000" w:sz="4" w:space="0"/>
            </w:tcBorders>
            <w:shd w:val="clear" w:color="auto" w:fill="C6D9F1"/>
            <w:noWrap w:val="0"/>
            <w:vAlign w:val="center"/>
          </w:tcPr>
          <w:p>
            <w:pPr>
              <w:pStyle w:val="195"/>
              <w:spacing w:line="240" w:lineRule="auto"/>
              <w:ind w:left="57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二级绿地</w:t>
            </w:r>
          </w:p>
        </w:tc>
        <w:tc>
          <w:tcPr>
            <w:tcW w:w="1666" w:type="dxa"/>
            <w:tcBorders>
              <w:top w:val="single" w:color="000000" w:sz="4" w:space="0"/>
              <w:left w:val="single" w:color="000000" w:sz="4" w:space="0"/>
              <w:bottom w:val="single" w:color="000000" w:sz="4" w:space="0"/>
              <w:right w:val="single" w:color="000000" w:sz="4" w:space="0"/>
            </w:tcBorders>
            <w:shd w:val="clear" w:color="auto" w:fill="C6D9F1"/>
            <w:noWrap w:val="0"/>
            <w:vAlign w:val="center"/>
          </w:tcPr>
          <w:p>
            <w:pPr>
              <w:pStyle w:val="195"/>
              <w:spacing w:line="240" w:lineRule="auto"/>
              <w:ind w:left="572"/>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三级绿地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752" w:type="dxa"/>
            <w:vMerge w:val="restart"/>
            <w:tcBorders>
              <w:top w:val="nil"/>
              <w:left w:val="single" w:color="000000" w:sz="4" w:space="0"/>
              <w:bottom w:val="single" w:color="000000" w:sz="4" w:space="0"/>
              <w:right w:val="single" w:color="000000" w:sz="4" w:space="0"/>
            </w:tcBorders>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p>
          <w:p>
            <w:pPr>
              <w:pStyle w:val="195"/>
              <w:spacing w:before="92" w:line="240" w:lineRule="auto"/>
              <w:ind w:left="194" w:right="182"/>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绿地保洁</w:t>
            </w:r>
          </w:p>
        </w:tc>
        <w:tc>
          <w:tcPr>
            <w:tcW w:w="999" w:type="dxa"/>
            <w:tcBorders>
              <w:top w:val="single" w:color="000000" w:sz="4" w:space="0"/>
              <w:left w:val="single" w:color="000000" w:sz="4" w:space="0"/>
              <w:bottom w:val="single" w:color="000000" w:sz="4" w:space="0"/>
              <w:right w:val="single" w:color="000000" w:sz="4" w:space="0"/>
            </w:tcBorders>
            <w:noWrap w:val="0"/>
            <w:vAlign w:val="center"/>
          </w:tcPr>
          <w:p>
            <w:pPr>
              <w:pStyle w:val="195"/>
              <w:spacing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草坪及低矮地被等绿地</w:t>
            </w:r>
          </w:p>
        </w:tc>
        <w:tc>
          <w:tcPr>
            <w:tcW w:w="1889"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autoSpaceDE w:val="0"/>
              <w:autoSpaceDN w:val="0"/>
              <w:spacing w:before="82" w:line="240" w:lineRule="auto"/>
              <w:ind w:left="18"/>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1）无成片落叶</w:t>
            </w:r>
          </w:p>
          <w:p>
            <w:pPr>
              <w:pStyle w:val="195"/>
              <w:autoSpaceDE w:val="0"/>
              <w:autoSpaceDN w:val="0"/>
              <w:spacing w:before="81" w:line="240" w:lineRule="auto"/>
              <w:ind w:left="18"/>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2）无建筑垃圾</w:t>
            </w:r>
          </w:p>
          <w:p>
            <w:pPr>
              <w:pStyle w:val="195"/>
              <w:autoSpaceDE w:val="0"/>
              <w:autoSpaceDN w:val="0"/>
              <w:spacing w:before="2" w:line="240" w:lineRule="auto"/>
              <w:ind w:right="9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3）无生活垃圾及其</w:t>
            </w:r>
            <w:r>
              <w:rPr>
                <w:rFonts w:hint="eastAsia" w:asciiTheme="minorEastAsia" w:hAnsiTheme="minorEastAsia" w:eastAsiaTheme="minorEastAsia" w:cstheme="minorEastAsia"/>
                <w:color w:val="auto"/>
                <w:spacing w:val="-6"/>
                <w:sz w:val="21"/>
                <w:szCs w:val="21"/>
                <w:highlight w:val="none"/>
              </w:rPr>
              <w:t>他杂物</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1）无成片落叶</w:t>
            </w:r>
          </w:p>
          <w:p>
            <w:pPr>
              <w:pStyle w:val="195"/>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2）无建筑垃圾</w:t>
            </w:r>
          </w:p>
          <w:p>
            <w:pPr>
              <w:pStyle w:val="195"/>
              <w:autoSpaceDE w:val="0"/>
              <w:autoSpaceDN w:val="0"/>
              <w:spacing w:before="2" w:line="240" w:lineRule="auto"/>
              <w:ind w:right="7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1"/>
                <w:sz w:val="21"/>
                <w:szCs w:val="21"/>
                <w:highlight w:val="none"/>
              </w:rPr>
              <w:t>3）无生活垃圾及其</w:t>
            </w:r>
            <w:r>
              <w:rPr>
                <w:rFonts w:hint="eastAsia" w:asciiTheme="minorEastAsia" w:hAnsiTheme="minorEastAsia" w:eastAsiaTheme="minorEastAsia" w:cstheme="minorEastAsia"/>
                <w:color w:val="auto"/>
                <w:sz w:val="21"/>
                <w:szCs w:val="21"/>
                <w:highlight w:val="none"/>
              </w:rPr>
              <w:t>他杂物</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47"/>
              </w:numPr>
              <w:autoSpaceDE w:val="0"/>
              <w:autoSpaceDN w:val="0"/>
              <w:spacing w:before="82" w:line="240" w:lineRule="auto"/>
              <w:ind w:hanging="24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47"/>
              </w:numPr>
              <w:autoSpaceDE w:val="0"/>
              <w:autoSpaceDN w:val="0"/>
              <w:spacing w:before="81" w:line="240" w:lineRule="auto"/>
              <w:ind w:hanging="24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47"/>
              </w:numPr>
              <w:autoSpaceDE w:val="0"/>
              <w:autoSpaceDN w:val="0"/>
              <w:spacing w:before="2" w:line="240" w:lineRule="auto"/>
              <w:ind w:left="107" w:right="70"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2"/>
                <w:sz w:val="21"/>
                <w:szCs w:val="21"/>
                <w:highlight w:val="none"/>
              </w:rPr>
              <w:t>无生活垃圾及其</w:t>
            </w:r>
            <w:r>
              <w:rPr>
                <w:rFonts w:hint="eastAsia" w:asciiTheme="minorEastAsia" w:hAnsiTheme="minorEastAsia" w:eastAsiaTheme="minorEastAsia" w:cstheme="minorEastAsia"/>
                <w:color w:val="auto"/>
                <w:sz w:val="21"/>
                <w:szCs w:val="21"/>
                <w:highlight w:val="none"/>
              </w:rPr>
              <w:t>他杂物</w:t>
            </w:r>
          </w:p>
        </w:tc>
        <w:tc>
          <w:tcPr>
            <w:tcW w:w="1666"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4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4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4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3" w:hRule="atLeast"/>
          <w:jc w:val="center"/>
        </w:trPr>
        <w:tc>
          <w:tcPr>
            <w:tcW w:w="75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999" w:type="dxa"/>
            <w:tcBorders>
              <w:top w:val="single" w:color="000000" w:sz="4" w:space="0"/>
              <w:left w:val="single" w:color="000000" w:sz="4" w:space="0"/>
              <w:bottom w:val="single" w:color="000000" w:sz="4" w:space="0"/>
              <w:right w:val="single" w:color="000000" w:sz="4" w:space="0"/>
            </w:tcBorders>
            <w:noWrap w:val="0"/>
            <w:vAlign w:val="center"/>
          </w:tcPr>
          <w:p>
            <w:pPr>
              <w:pStyle w:val="195"/>
              <w:spacing w:before="128" w:line="240" w:lineRule="auto"/>
              <w:ind w:left="108" w:right="61"/>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地被、花坛、绿篱等绿地</w:t>
            </w:r>
          </w:p>
        </w:tc>
        <w:tc>
          <w:tcPr>
            <w:tcW w:w="1889"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4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无枯枝枯叶</w:t>
            </w:r>
          </w:p>
          <w:p>
            <w:pPr>
              <w:pStyle w:val="195"/>
              <w:numPr>
                <w:ilvl w:val="0"/>
                <w:numId w:val="4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无落叶沉积</w:t>
            </w:r>
          </w:p>
          <w:p>
            <w:pPr>
              <w:pStyle w:val="195"/>
              <w:numPr>
                <w:ilvl w:val="0"/>
                <w:numId w:val="4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表面无成片树叶</w:t>
            </w:r>
          </w:p>
          <w:p>
            <w:pPr>
              <w:pStyle w:val="195"/>
              <w:numPr>
                <w:ilvl w:val="0"/>
                <w:numId w:val="4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4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无大型枯枝枯叶</w:t>
            </w:r>
          </w:p>
          <w:p>
            <w:pPr>
              <w:pStyle w:val="195"/>
              <w:numPr>
                <w:ilvl w:val="0"/>
                <w:numId w:val="50"/>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落叶沉积厚度不</w:t>
            </w:r>
            <w:r>
              <w:rPr>
                <w:rFonts w:hint="eastAsia" w:asciiTheme="minorEastAsia" w:hAnsiTheme="minorEastAsia" w:eastAsiaTheme="minorEastAsia" w:cstheme="minorEastAsia"/>
                <w:color w:val="auto"/>
                <w:spacing w:val="16"/>
                <w:sz w:val="21"/>
                <w:szCs w:val="21"/>
                <w:highlight w:val="none"/>
              </w:rPr>
              <w:t>应超过</w:t>
            </w:r>
            <w:r>
              <w:rPr>
                <w:rFonts w:hint="eastAsia" w:asciiTheme="minorEastAsia" w:hAnsiTheme="minorEastAsia" w:eastAsiaTheme="minorEastAsia" w:cstheme="minorEastAsia"/>
                <w:color w:val="auto"/>
                <w:sz w:val="21"/>
                <w:szCs w:val="21"/>
                <w:highlight w:val="none"/>
              </w:rPr>
              <w:t>10厘米3）表面无成片树叶</w:t>
            </w:r>
          </w:p>
          <w:p>
            <w:pPr>
              <w:pStyle w:val="195"/>
              <w:numPr>
                <w:ilvl w:val="0"/>
                <w:numId w:val="51"/>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2"/>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无大型枯枝枯叶</w:t>
            </w:r>
          </w:p>
          <w:p>
            <w:pPr>
              <w:pStyle w:val="195"/>
              <w:numPr>
                <w:ilvl w:val="0"/>
                <w:numId w:val="52"/>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落叶沉积厚度不</w:t>
            </w:r>
            <w:r>
              <w:rPr>
                <w:rFonts w:hint="eastAsia" w:asciiTheme="minorEastAsia" w:hAnsiTheme="minorEastAsia" w:eastAsiaTheme="minorEastAsia" w:cstheme="minorEastAsia"/>
                <w:color w:val="auto"/>
                <w:spacing w:val="15"/>
                <w:sz w:val="21"/>
                <w:szCs w:val="21"/>
                <w:highlight w:val="none"/>
              </w:rPr>
              <w:t>应超过</w:t>
            </w:r>
            <w:r>
              <w:rPr>
                <w:rFonts w:hint="eastAsia" w:asciiTheme="minorEastAsia" w:hAnsiTheme="minorEastAsia" w:eastAsiaTheme="minorEastAsia" w:cstheme="minorEastAsia"/>
                <w:color w:val="auto"/>
                <w:sz w:val="21"/>
                <w:szCs w:val="21"/>
                <w:highlight w:val="none"/>
              </w:rPr>
              <w:t>10厘米</w:t>
            </w:r>
          </w:p>
          <w:p>
            <w:pPr>
              <w:pStyle w:val="195"/>
              <w:numPr>
                <w:ilvl w:val="0"/>
                <w:numId w:val="52"/>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表面无成片树叶</w:t>
            </w:r>
          </w:p>
          <w:p>
            <w:pPr>
              <w:pStyle w:val="195"/>
              <w:numPr>
                <w:ilvl w:val="0"/>
                <w:numId w:val="53"/>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3"/>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666"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无大型枯枝枯叶</w:t>
            </w:r>
          </w:p>
          <w:p>
            <w:pPr>
              <w:pStyle w:val="195"/>
              <w:numPr>
                <w:ilvl w:val="0"/>
                <w:numId w:val="54"/>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落叶沉积厚度不</w:t>
            </w:r>
            <w:r>
              <w:rPr>
                <w:rFonts w:hint="eastAsia" w:asciiTheme="minorEastAsia" w:hAnsiTheme="minorEastAsia" w:eastAsiaTheme="minorEastAsia" w:cstheme="minorEastAsia"/>
                <w:color w:val="auto"/>
                <w:spacing w:val="14"/>
                <w:sz w:val="21"/>
                <w:szCs w:val="21"/>
                <w:highlight w:val="none"/>
              </w:rPr>
              <w:t>应超过</w:t>
            </w:r>
            <w:r>
              <w:rPr>
                <w:rFonts w:hint="eastAsia" w:asciiTheme="minorEastAsia" w:hAnsiTheme="minorEastAsia" w:eastAsiaTheme="minorEastAsia" w:cstheme="minorEastAsia"/>
                <w:color w:val="auto"/>
                <w:sz w:val="21"/>
                <w:szCs w:val="21"/>
                <w:highlight w:val="none"/>
              </w:rPr>
              <w:t>10厘米</w:t>
            </w:r>
          </w:p>
          <w:p>
            <w:pPr>
              <w:pStyle w:val="195"/>
              <w:numPr>
                <w:ilvl w:val="0"/>
                <w:numId w:val="54"/>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表面无成片树叶</w:t>
            </w:r>
          </w:p>
          <w:p>
            <w:pPr>
              <w:pStyle w:val="195"/>
              <w:numPr>
                <w:ilvl w:val="0"/>
                <w:numId w:val="55"/>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5"/>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7" w:hRule="atLeast"/>
          <w:jc w:val="center"/>
        </w:trPr>
        <w:tc>
          <w:tcPr>
            <w:tcW w:w="752" w:type="dxa"/>
            <w:tcBorders>
              <w:top w:val="nil"/>
              <w:left w:val="single" w:color="000000" w:sz="4" w:space="0"/>
              <w:bottom w:val="single" w:color="000000" w:sz="4" w:space="0"/>
              <w:right w:val="single" w:color="000000" w:sz="4" w:space="0"/>
            </w:tcBorders>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w:t>
            </w:r>
          </w:p>
          <w:p>
            <w:pPr>
              <w:pStyle w:val="195"/>
              <w:spacing w:before="92" w:line="240" w:lineRule="auto"/>
              <w:ind w:left="194" w:right="182"/>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硬质地面保洁</w:t>
            </w:r>
          </w:p>
        </w:tc>
        <w:tc>
          <w:tcPr>
            <w:tcW w:w="999" w:type="dxa"/>
            <w:tcBorders>
              <w:top w:val="single" w:color="000000" w:sz="4" w:space="0"/>
              <w:left w:val="single" w:color="000000" w:sz="4" w:space="0"/>
              <w:bottom w:val="single" w:color="000000" w:sz="4" w:space="0"/>
              <w:right w:val="single" w:color="000000" w:sz="4" w:space="0"/>
            </w:tcBorders>
            <w:noWrap w:val="0"/>
            <w:vAlign w:val="center"/>
          </w:tcPr>
          <w:p>
            <w:pPr>
              <w:pStyle w:val="195"/>
              <w:spacing w:before="1"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广场、园路、停车场等铺装场地</w:t>
            </w:r>
          </w:p>
        </w:tc>
        <w:tc>
          <w:tcPr>
            <w:tcW w:w="1889"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w:t>
            </w:r>
          </w:p>
          <w:p>
            <w:pPr>
              <w:pStyle w:val="195"/>
              <w:numPr>
                <w:ilvl w:val="0"/>
                <w:numId w:val="56"/>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56"/>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5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56"/>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5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6"/>
              </w:numPr>
              <w:autoSpaceDE w:val="0"/>
              <w:autoSpaceDN w:val="0"/>
              <w:spacing w:before="2"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无生活垃圾及其</w:t>
            </w:r>
            <w:r>
              <w:rPr>
                <w:rFonts w:hint="eastAsia" w:asciiTheme="minorEastAsia" w:hAnsiTheme="minorEastAsia" w:eastAsiaTheme="minorEastAsia" w:cstheme="minorEastAsia"/>
                <w:color w:val="auto"/>
                <w:spacing w:val="-6"/>
                <w:sz w:val="21"/>
                <w:szCs w:val="21"/>
                <w:highlight w:val="none"/>
              </w:rPr>
              <w:t>他杂物</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5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5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5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5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5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5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5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5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5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5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666"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5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5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5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无片状污渍</w:t>
            </w:r>
          </w:p>
          <w:p>
            <w:pPr>
              <w:pStyle w:val="195"/>
              <w:numPr>
                <w:ilvl w:val="0"/>
                <w:numId w:val="5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无密集口香糖痕迹</w:t>
            </w:r>
          </w:p>
          <w:p>
            <w:pPr>
              <w:pStyle w:val="195"/>
              <w:numPr>
                <w:ilvl w:val="0"/>
                <w:numId w:val="5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52" w:type="dxa"/>
            <w:tcBorders>
              <w:top w:val="nil"/>
              <w:left w:val="single" w:color="000000" w:sz="4" w:space="0"/>
              <w:bottom w:val="single" w:color="auto" w:sz="4" w:space="0"/>
              <w:right w:val="single" w:color="000000" w:sz="4" w:space="0"/>
            </w:tcBorders>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999" w:type="dxa"/>
            <w:tcBorders>
              <w:top w:val="single" w:color="000000" w:sz="4" w:space="0"/>
              <w:left w:val="single" w:color="000000" w:sz="4" w:space="0"/>
              <w:bottom w:val="single" w:color="auto" w:sz="4" w:space="0"/>
              <w:right w:val="single" w:color="000000" w:sz="4" w:space="0"/>
            </w:tcBorders>
            <w:noWrap w:val="0"/>
            <w:vAlign w:val="center"/>
          </w:tcPr>
          <w:p>
            <w:pPr>
              <w:pStyle w:val="195"/>
              <w:spacing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盘山公路及登山道</w:t>
            </w:r>
          </w:p>
        </w:tc>
        <w:tc>
          <w:tcPr>
            <w:tcW w:w="1889" w:type="dxa"/>
            <w:tcBorders>
              <w:top w:val="single" w:color="000000" w:sz="4" w:space="0"/>
              <w:left w:val="single" w:color="000000" w:sz="4" w:space="0"/>
              <w:bottom w:val="single" w:color="auto" w:sz="4" w:space="0"/>
              <w:right w:val="single" w:color="000000" w:sz="4" w:space="0"/>
            </w:tcBorders>
            <w:noWrap w:val="0"/>
            <w:vAlign w:val="top"/>
          </w:tcPr>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before="11"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449" w:right="44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tc>
        <w:tc>
          <w:tcPr>
            <w:tcW w:w="1891" w:type="dxa"/>
            <w:tcBorders>
              <w:top w:val="single" w:color="000000" w:sz="4" w:space="0"/>
              <w:left w:val="single" w:color="000000" w:sz="4" w:space="0"/>
              <w:bottom w:val="single" w:color="auto" w:sz="4" w:space="0"/>
              <w:right w:val="single" w:color="000000" w:sz="4" w:space="0"/>
            </w:tcBorders>
            <w:noWrap w:val="0"/>
            <w:vAlign w:val="top"/>
          </w:tcPr>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before="11"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864" w:right="855"/>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tc>
        <w:tc>
          <w:tcPr>
            <w:tcW w:w="1891" w:type="dxa"/>
            <w:tcBorders>
              <w:top w:val="single" w:color="000000" w:sz="4" w:space="0"/>
              <w:left w:val="single" w:color="000000" w:sz="4" w:space="0"/>
              <w:bottom w:val="single" w:color="auto"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6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6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无大块建筑垃圾</w:t>
            </w:r>
          </w:p>
          <w:p>
            <w:pPr>
              <w:pStyle w:val="195"/>
              <w:numPr>
                <w:ilvl w:val="0"/>
                <w:numId w:val="6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666" w:type="dxa"/>
            <w:tcBorders>
              <w:top w:val="single" w:color="000000" w:sz="4" w:space="0"/>
              <w:left w:val="single" w:color="000000" w:sz="4" w:space="0"/>
              <w:bottom w:val="single" w:color="auto"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1"/>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6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无片状污渍</w:t>
            </w:r>
          </w:p>
          <w:p>
            <w:pPr>
              <w:pStyle w:val="195"/>
              <w:numPr>
                <w:ilvl w:val="0"/>
                <w:numId w:val="61"/>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无密集口香糖痕迹</w:t>
            </w:r>
          </w:p>
          <w:p>
            <w:pPr>
              <w:pStyle w:val="195"/>
              <w:numPr>
                <w:ilvl w:val="0"/>
                <w:numId w:val="6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无大块建筑垃圾</w:t>
            </w:r>
          </w:p>
          <w:p>
            <w:pPr>
              <w:pStyle w:val="195"/>
              <w:numPr>
                <w:ilvl w:val="0"/>
                <w:numId w:val="6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52" w:type="dxa"/>
            <w:vMerge w:val="restart"/>
            <w:tcBorders>
              <w:top w:val="single" w:color="auto" w:sz="4" w:space="0"/>
              <w:left w:val="single" w:color="auto" w:sz="4" w:space="0"/>
              <w:right w:val="single" w:color="auto" w:sz="4" w:space="0"/>
            </w:tcBorders>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园林</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设施</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保洁</w:t>
            </w: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before="51"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健身器材、游乐设施、垃圾箱、电话亭、宣传栏、橱窗及具有休憩功能的座椅、凳、桌等设施的表面</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2"/>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2"/>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无灰尘</w:t>
            </w:r>
          </w:p>
          <w:p>
            <w:pPr>
              <w:pStyle w:val="195"/>
              <w:numPr>
                <w:ilvl w:val="0"/>
                <w:numId w:val="62"/>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2"/>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2"/>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3"/>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无灰尘</w:t>
            </w:r>
          </w:p>
          <w:p>
            <w:pPr>
              <w:pStyle w:val="195"/>
              <w:numPr>
                <w:ilvl w:val="0"/>
                <w:numId w:val="6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3"/>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3"/>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4"/>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无灰尘</w:t>
            </w:r>
          </w:p>
          <w:p>
            <w:pPr>
              <w:pStyle w:val="195"/>
              <w:numPr>
                <w:ilvl w:val="0"/>
                <w:numId w:val="6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4"/>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4"/>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5"/>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5"/>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65"/>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无片状污渍</w:t>
            </w:r>
          </w:p>
          <w:p>
            <w:pPr>
              <w:pStyle w:val="195"/>
              <w:numPr>
                <w:ilvl w:val="0"/>
                <w:numId w:val="65"/>
              </w:numPr>
              <w:autoSpaceDE w:val="0"/>
              <w:autoSpaceDN w:val="0"/>
              <w:spacing w:before="81" w:line="240" w:lineRule="auto"/>
              <w:ind w:left="108"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无乱张贴、无乱</w:t>
            </w:r>
            <w:r>
              <w:rPr>
                <w:rFonts w:hint="eastAsia" w:asciiTheme="minorEastAsia" w:hAnsiTheme="minorEastAsia" w:eastAsiaTheme="minorEastAsia" w:cstheme="minorEastAsia"/>
                <w:color w:val="auto"/>
                <w:spacing w:val="-9"/>
                <w:sz w:val="21"/>
                <w:szCs w:val="21"/>
                <w:highlight w:val="none"/>
              </w:rPr>
              <w:t>涂画</w:t>
            </w:r>
          </w:p>
          <w:p>
            <w:pPr>
              <w:pStyle w:val="195"/>
              <w:numPr>
                <w:ilvl w:val="0"/>
                <w:numId w:val="65"/>
              </w:numPr>
              <w:autoSpaceDE w:val="0"/>
              <w:autoSpaceDN w:val="0"/>
              <w:spacing w:before="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无明显鸟粪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52" w:type="dxa"/>
            <w:vMerge w:val="continue"/>
            <w:tcBorders>
              <w:left w:val="single" w:color="auto" w:sz="4" w:space="0"/>
              <w:right w:val="single" w:color="auto" w:sz="4" w:space="0"/>
            </w:tcBorders>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before="3"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标示牌、园灯、围栏、通讯电力设备箱等设施的外表面</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6"/>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无灰尘</w:t>
            </w:r>
          </w:p>
          <w:p>
            <w:pPr>
              <w:pStyle w:val="195"/>
              <w:numPr>
                <w:ilvl w:val="0"/>
                <w:numId w:val="6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6"/>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6"/>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66"/>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无灰尘</w:t>
            </w:r>
          </w:p>
          <w:p>
            <w:pPr>
              <w:pStyle w:val="195"/>
              <w:numPr>
                <w:ilvl w:val="0"/>
                <w:numId w:val="6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7"/>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7"/>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67"/>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6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8"/>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8"/>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68"/>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9"/>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9"/>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无明显积尘</w:t>
            </w:r>
          </w:p>
          <w:p>
            <w:pPr>
              <w:pStyle w:val="195"/>
              <w:numPr>
                <w:ilvl w:val="0"/>
                <w:numId w:val="69"/>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无片状污渍</w:t>
            </w:r>
          </w:p>
          <w:p>
            <w:pPr>
              <w:pStyle w:val="195"/>
              <w:numPr>
                <w:ilvl w:val="0"/>
                <w:numId w:val="69"/>
              </w:numPr>
              <w:autoSpaceDE w:val="0"/>
              <w:autoSpaceDN w:val="0"/>
              <w:spacing w:before="81" w:line="240" w:lineRule="auto"/>
              <w:ind w:left="108"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无乱张贴、无乱</w:t>
            </w:r>
            <w:r>
              <w:rPr>
                <w:rFonts w:hint="eastAsia" w:asciiTheme="minorEastAsia" w:hAnsiTheme="minorEastAsia" w:eastAsiaTheme="minorEastAsia" w:cstheme="minorEastAsia"/>
                <w:color w:val="auto"/>
                <w:spacing w:val="-9"/>
                <w:sz w:val="21"/>
                <w:szCs w:val="21"/>
                <w:highlight w:val="none"/>
              </w:rPr>
              <w:t>涂画</w:t>
            </w:r>
          </w:p>
          <w:p>
            <w:pPr>
              <w:pStyle w:val="195"/>
              <w:numPr>
                <w:ilvl w:val="0"/>
                <w:numId w:val="69"/>
              </w:numPr>
              <w:autoSpaceDE w:val="0"/>
              <w:autoSpaceDN w:val="0"/>
              <w:spacing w:before="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69"/>
              </w:numPr>
              <w:autoSpaceDE w:val="0"/>
              <w:autoSpaceDN w:val="0"/>
              <w:spacing w:before="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无明显鸟粪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52" w:type="dxa"/>
            <w:vMerge w:val="restart"/>
            <w:tcBorders>
              <w:left w:val="single" w:color="auto" w:sz="4" w:space="0"/>
              <w:right w:val="single" w:color="auto" w:sz="4" w:space="0"/>
            </w:tcBorders>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4</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园林</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建筑</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与小</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品保</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洁</w:t>
            </w: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亭、台、楼、阁、榭及其他园林建筑的地面</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w:t>
            </w:r>
          </w:p>
          <w:p>
            <w:pPr>
              <w:pStyle w:val="195"/>
              <w:numPr>
                <w:ilvl w:val="0"/>
                <w:numId w:val="7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7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7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7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7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无生活垃圾及其</w:t>
            </w:r>
            <w:r>
              <w:rPr>
                <w:rFonts w:hint="eastAsia" w:asciiTheme="minorEastAsia" w:hAnsiTheme="minorEastAsia" w:eastAsiaTheme="minorEastAsia" w:cstheme="minorEastAsia"/>
                <w:color w:val="auto"/>
                <w:spacing w:val="-6"/>
                <w:sz w:val="21"/>
                <w:szCs w:val="21"/>
                <w:highlight w:val="none"/>
              </w:rPr>
              <w:t>他杂物</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1"/>
              </w:numPr>
              <w:autoSpaceDE w:val="0"/>
              <w:autoSpaceDN w:val="0"/>
              <w:spacing w:before="82"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w:t>
            </w:r>
          </w:p>
          <w:p>
            <w:pPr>
              <w:pStyle w:val="195"/>
              <w:numPr>
                <w:ilvl w:val="0"/>
                <w:numId w:val="71"/>
              </w:numPr>
              <w:autoSpaceDE w:val="0"/>
              <w:autoSpaceDN w:val="0"/>
              <w:spacing w:before="81"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1"/>
              </w:numPr>
              <w:autoSpaceDE w:val="0"/>
              <w:autoSpaceDN w:val="0"/>
              <w:spacing w:before="81"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71"/>
              </w:numPr>
              <w:autoSpaceDE w:val="0"/>
              <w:autoSpaceDN w:val="0"/>
              <w:spacing w:before="82"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71"/>
              </w:numPr>
              <w:autoSpaceDE w:val="0"/>
              <w:autoSpaceDN w:val="0"/>
              <w:spacing w:before="81"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71"/>
              </w:numPr>
              <w:autoSpaceDE w:val="0"/>
              <w:autoSpaceDN w:val="0"/>
              <w:spacing w:before="82"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71"/>
              </w:numPr>
              <w:autoSpaceDE w:val="0"/>
              <w:autoSpaceDN w:val="0"/>
              <w:spacing w:before="82"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无生活垃圾及其他</w:t>
            </w:r>
            <w:r>
              <w:rPr>
                <w:rFonts w:hint="eastAsia" w:asciiTheme="minorEastAsia" w:hAnsiTheme="minorEastAsia" w:eastAsiaTheme="minorEastAsia" w:cstheme="minorEastAsia"/>
                <w:color w:val="auto"/>
                <w:sz w:val="21"/>
                <w:szCs w:val="21"/>
                <w:highlight w:val="none"/>
              </w:rPr>
              <w:t>杂物</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2"/>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w:t>
            </w:r>
          </w:p>
          <w:p>
            <w:pPr>
              <w:pStyle w:val="195"/>
              <w:numPr>
                <w:ilvl w:val="0"/>
                <w:numId w:val="72"/>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2"/>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无尘土</w:t>
            </w:r>
          </w:p>
          <w:p>
            <w:pPr>
              <w:pStyle w:val="195"/>
              <w:numPr>
                <w:ilvl w:val="0"/>
                <w:numId w:val="72"/>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72"/>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72"/>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72"/>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无生活垃圾及其</w:t>
            </w:r>
            <w:r>
              <w:rPr>
                <w:rFonts w:hint="eastAsia" w:asciiTheme="minorEastAsia" w:hAnsiTheme="minorEastAsia" w:eastAsiaTheme="minorEastAsia" w:cstheme="minorEastAsia"/>
                <w:color w:val="auto"/>
                <w:spacing w:val="-7"/>
                <w:sz w:val="21"/>
                <w:szCs w:val="21"/>
                <w:highlight w:val="none"/>
              </w:rPr>
              <w:t>他杂物</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3"/>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73"/>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无明显污渍</w:t>
            </w:r>
          </w:p>
          <w:p>
            <w:pPr>
              <w:pStyle w:val="195"/>
              <w:numPr>
                <w:ilvl w:val="0"/>
                <w:numId w:val="73"/>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无明显积土</w:t>
            </w:r>
          </w:p>
          <w:p>
            <w:pPr>
              <w:pStyle w:val="195"/>
              <w:numPr>
                <w:ilvl w:val="0"/>
                <w:numId w:val="73"/>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73"/>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无密集口香糖痕迹</w:t>
            </w:r>
          </w:p>
          <w:p>
            <w:pPr>
              <w:pStyle w:val="195"/>
              <w:numPr>
                <w:ilvl w:val="0"/>
                <w:numId w:val="73"/>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73"/>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无生活垃圾及其</w:t>
            </w:r>
            <w:r>
              <w:rPr>
                <w:rFonts w:hint="eastAsia" w:asciiTheme="minorEastAsia" w:hAnsiTheme="minorEastAsia" w:eastAsiaTheme="minorEastAsia" w:cstheme="minorEastAsia"/>
                <w:color w:val="auto"/>
                <w:spacing w:val="-7"/>
                <w:sz w:val="21"/>
                <w:szCs w:val="21"/>
                <w:highlight w:val="none"/>
              </w:rPr>
              <w:t>他杂物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52" w:type="dxa"/>
            <w:vMerge w:val="continue"/>
            <w:tcBorders>
              <w:left w:val="single" w:color="auto" w:sz="4" w:space="0"/>
              <w:right w:val="single" w:color="auto" w:sz="4" w:space="0"/>
            </w:tcBorders>
            <w:noWrap w:val="0"/>
            <w:vAlign w:val="center"/>
          </w:tcPr>
          <w:p>
            <w:pPr>
              <w:widowControl/>
              <w:spacing w:line="240" w:lineRule="auto"/>
              <w:jc w:val="center"/>
              <w:rPr>
                <w:rFonts w:hint="eastAsia" w:asciiTheme="minorEastAsia" w:hAnsiTheme="minorEastAsia" w:eastAsiaTheme="minorEastAsia" w:cstheme="minorEastAsia"/>
                <w:b/>
                <w:color w:val="auto"/>
                <w:sz w:val="21"/>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亭、台、楼、阁、榭及其他园林建筑的立柱与内表面</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74"/>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4"/>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75"/>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5"/>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76"/>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6"/>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4)无鸟粪</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7"/>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77"/>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无明显污渍</w:t>
            </w:r>
          </w:p>
          <w:p>
            <w:pPr>
              <w:pStyle w:val="195"/>
              <w:numPr>
                <w:ilvl w:val="0"/>
                <w:numId w:val="77"/>
              </w:numPr>
              <w:autoSpaceDE w:val="0"/>
              <w:autoSpaceDN w:val="0"/>
              <w:spacing w:before="81" w:line="240" w:lineRule="auto"/>
              <w:ind w:left="108"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无乱张贴、无乱</w:t>
            </w:r>
            <w:r>
              <w:rPr>
                <w:rFonts w:hint="eastAsia" w:asciiTheme="minorEastAsia" w:hAnsiTheme="minorEastAsia" w:eastAsiaTheme="minorEastAsia" w:cstheme="minorEastAsia"/>
                <w:color w:val="auto"/>
                <w:spacing w:val="-9"/>
                <w:sz w:val="21"/>
                <w:szCs w:val="21"/>
                <w:highlight w:val="none"/>
              </w:rPr>
              <w:t>涂画</w:t>
            </w:r>
          </w:p>
          <w:p>
            <w:pPr>
              <w:pStyle w:val="195"/>
              <w:spacing w:before="4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无明显鸟粪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752" w:type="dxa"/>
            <w:vMerge w:val="continue"/>
            <w:tcBorders>
              <w:left w:val="single" w:color="auto" w:sz="4" w:space="0"/>
              <w:right w:val="single" w:color="auto" w:sz="4" w:space="0"/>
            </w:tcBorders>
            <w:noWrap w:val="0"/>
            <w:vAlign w:val="center"/>
          </w:tcPr>
          <w:p>
            <w:pPr>
              <w:widowControl/>
              <w:spacing w:line="240" w:lineRule="auto"/>
              <w:jc w:val="center"/>
              <w:rPr>
                <w:rFonts w:hint="eastAsia" w:asciiTheme="minorEastAsia" w:hAnsiTheme="minorEastAsia" w:eastAsiaTheme="minorEastAsia" w:cstheme="minorEastAsia"/>
                <w:b/>
                <w:color w:val="auto"/>
                <w:sz w:val="21"/>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before="51" w:line="240" w:lineRule="auto"/>
              <w:ind w:left="108" w:right="5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亭、台、楼、阁、榭及其他园林建筑的屋顶</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无树叶层积</w:t>
            </w:r>
          </w:p>
          <w:p>
            <w:pPr>
              <w:pStyle w:val="195"/>
              <w:numPr>
                <w:ilvl w:val="0"/>
                <w:numId w:val="7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无树叶层积</w:t>
            </w:r>
          </w:p>
          <w:p>
            <w:pPr>
              <w:pStyle w:val="195"/>
              <w:numPr>
                <w:ilvl w:val="0"/>
                <w:numId w:val="7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无树叶层积</w:t>
            </w:r>
          </w:p>
          <w:p>
            <w:pPr>
              <w:pStyle w:val="195"/>
              <w:numPr>
                <w:ilvl w:val="0"/>
                <w:numId w:val="8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1"/>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无树叶层积</w:t>
            </w:r>
          </w:p>
          <w:p>
            <w:pPr>
              <w:pStyle w:val="195"/>
              <w:numPr>
                <w:ilvl w:val="0"/>
                <w:numId w:val="81"/>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spacing w:before="4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752" w:type="dxa"/>
            <w:vMerge w:val="continue"/>
            <w:tcBorders>
              <w:left w:val="single" w:color="auto" w:sz="4" w:space="0"/>
              <w:right w:val="single" w:color="auto" w:sz="4" w:space="0"/>
            </w:tcBorders>
            <w:noWrap w:val="0"/>
            <w:vAlign w:val="center"/>
          </w:tcPr>
          <w:p>
            <w:pPr>
              <w:widowControl/>
              <w:spacing w:line="240" w:lineRule="auto"/>
              <w:jc w:val="center"/>
              <w:rPr>
                <w:rFonts w:hint="eastAsia" w:asciiTheme="minorEastAsia" w:hAnsiTheme="minorEastAsia" w:eastAsiaTheme="minorEastAsia" w:cstheme="minorEastAsia"/>
                <w:b/>
                <w:color w:val="auto"/>
                <w:sz w:val="21"/>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before="51"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假山叠石</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2"/>
              </w:numPr>
              <w:autoSpaceDE w:val="0"/>
              <w:autoSpaceDN w:val="0"/>
              <w:spacing w:before="82" w:line="240" w:lineRule="auto"/>
              <w:ind w:hanging="36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无枯枝落叶</w:t>
            </w:r>
          </w:p>
          <w:p>
            <w:pPr>
              <w:pStyle w:val="195"/>
              <w:numPr>
                <w:ilvl w:val="0"/>
                <w:numId w:val="82"/>
              </w:numPr>
              <w:autoSpaceDE w:val="0"/>
              <w:autoSpaceDN w:val="0"/>
              <w:spacing w:before="81" w:line="240" w:lineRule="auto"/>
              <w:ind w:hanging="36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无落叶层积</w:t>
            </w:r>
          </w:p>
          <w:p>
            <w:pPr>
              <w:pStyle w:val="195"/>
              <w:numPr>
                <w:ilvl w:val="0"/>
                <w:numId w:val="82"/>
              </w:numPr>
              <w:autoSpaceDE w:val="0"/>
              <w:autoSpaceDN w:val="0"/>
              <w:spacing w:before="82" w:line="240" w:lineRule="auto"/>
              <w:ind w:hanging="36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numPr>
                <w:ilvl w:val="0"/>
                <w:numId w:val="82"/>
              </w:numPr>
              <w:autoSpaceDE w:val="0"/>
              <w:autoSpaceDN w:val="0"/>
              <w:spacing w:before="82" w:line="240" w:lineRule="auto"/>
              <w:ind w:hanging="36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无大型枯枝落叶</w:t>
            </w:r>
          </w:p>
          <w:p>
            <w:pPr>
              <w:pStyle w:val="195"/>
              <w:numPr>
                <w:ilvl w:val="0"/>
                <w:numId w:val="83"/>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无落叶层积</w:t>
            </w:r>
          </w:p>
          <w:p>
            <w:pPr>
              <w:pStyle w:val="195"/>
              <w:numPr>
                <w:ilvl w:val="0"/>
                <w:numId w:val="8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numPr>
                <w:ilvl w:val="0"/>
                <w:numId w:val="8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无大型枯枝落叶</w:t>
            </w:r>
          </w:p>
          <w:p>
            <w:pPr>
              <w:pStyle w:val="195"/>
              <w:numPr>
                <w:ilvl w:val="0"/>
                <w:numId w:val="84"/>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无落叶层积</w:t>
            </w:r>
          </w:p>
          <w:p>
            <w:pPr>
              <w:pStyle w:val="195"/>
              <w:numPr>
                <w:ilvl w:val="0"/>
                <w:numId w:val="8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numPr>
                <w:ilvl w:val="0"/>
                <w:numId w:val="8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无大型枯枝落叶</w:t>
            </w:r>
          </w:p>
          <w:p>
            <w:pPr>
              <w:pStyle w:val="195"/>
              <w:numPr>
                <w:ilvl w:val="0"/>
                <w:numId w:val="85"/>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无落叶层积</w:t>
            </w:r>
          </w:p>
          <w:p>
            <w:pPr>
              <w:pStyle w:val="195"/>
              <w:numPr>
                <w:ilvl w:val="0"/>
                <w:numId w:val="8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numPr>
                <w:ilvl w:val="0"/>
                <w:numId w:val="8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无密集杂灌草生长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752" w:type="dxa"/>
            <w:vMerge w:val="continue"/>
            <w:tcBorders>
              <w:left w:val="single" w:color="auto" w:sz="4" w:space="0"/>
              <w:bottom w:val="single" w:color="auto" w:sz="4" w:space="0"/>
              <w:right w:val="single" w:color="auto" w:sz="4" w:space="0"/>
            </w:tcBorders>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before="51"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景墙、雕塑等园林小品</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86"/>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86"/>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86"/>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86"/>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8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87"/>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87"/>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87"/>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8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88"/>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88"/>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88"/>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8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无密集污渍</w:t>
            </w:r>
          </w:p>
          <w:p>
            <w:pPr>
              <w:pStyle w:val="195"/>
              <w:numPr>
                <w:ilvl w:val="0"/>
                <w:numId w:val="89"/>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无乱张贴、无乱</w:t>
            </w:r>
            <w:r>
              <w:rPr>
                <w:rFonts w:hint="eastAsia" w:asciiTheme="minorEastAsia" w:hAnsiTheme="minorEastAsia" w:eastAsiaTheme="minorEastAsia" w:cstheme="minorEastAsia"/>
                <w:color w:val="auto"/>
                <w:spacing w:val="-9"/>
                <w:sz w:val="21"/>
                <w:szCs w:val="21"/>
                <w:highlight w:val="none"/>
              </w:rPr>
              <w:t>涂画</w:t>
            </w:r>
          </w:p>
          <w:p>
            <w:pPr>
              <w:pStyle w:val="195"/>
              <w:numPr>
                <w:ilvl w:val="0"/>
                <w:numId w:val="89"/>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89"/>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无明显鸟粪</w:t>
            </w:r>
          </w:p>
        </w:tc>
      </w:tr>
    </w:tbl>
    <w:p>
      <w:pPr>
        <w:pStyle w:val="196"/>
        <w:spacing w:line="240" w:lineRule="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widowControl w:val="0"/>
        <w:numPr>
          <w:ilvl w:val="0"/>
          <w:numId w:val="46"/>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操作规程</w:t>
      </w:r>
    </w:p>
    <w:p>
      <w:pPr>
        <w:adjustRightInd w:val="0"/>
        <w:snapToGrid w:val="0"/>
        <w:spacing w:before="120" w:beforeLines="50" w:after="120" w:afterLines="50" w:line="240" w:lineRule="auto"/>
        <w:ind w:firstLine="421" w:firstLineChars="20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各级绿地保洁操作规程</w:t>
      </w:r>
    </w:p>
    <w:tbl>
      <w:tblPr>
        <w:tblStyle w:val="42"/>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1"/>
        <w:gridCol w:w="1012"/>
        <w:gridCol w:w="1809"/>
        <w:gridCol w:w="1891"/>
        <w:gridCol w:w="1890"/>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blHeader/>
          <w:jc w:val="center"/>
        </w:trPr>
        <w:tc>
          <w:tcPr>
            <w:tcW w:w="1763" w:type="dxa"/>
            <w:gridSpan w:val="2"/>
            <w:shd w:val="clear" w:color="auto" w:fill="C6D9F1"/>
            <w:noWrap w:val="0"/>
            <w:vAlign w:val="top"/>
          </w:tcPr>
          <w:p>
            <w:pPr>
              <w:pStyle w:val="195"/>
              <w:spacing w:before="119" w:line="240" w:lineRule="auto"/>
              <w:ind w:right="15"/>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sz w:val="21"/>
                <w:szCs w:val="21"/>
                <w:highlight w:val="none"/>
              </w:rPr>
              <w:t>类别</w:t>
            </w:r>
          </w:p>
        </w:tc>
        <w:tc>
          <w:tcPr>
            <w:tcW w:w="1809" w:type="dxa"/>
            <w:shd w:val="clear" w:color="auto" w:fill="C6D9F1"/>
            <w:noWrap w:val="0"/>
            <w:vAlign w:val="top"/>
          </w:tcPr>
          <w:p>
            <w:pPr>
              <w:pStyle w:val="195"/>
              <w:spacing w:before="119" w:line="240" w:lineRule="auto"/>
              <w:ind w:left="568" w:right="46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特级绿地</w:t>
            </w:r>
          </w:p>
        </w:tc>
        <w:tc>
          <w:tcPr>
            <w:tcW w:w="1891" w:type="dxa"/>
            <w:shd w:val="clear" w:color="auto" w:fill="C6D9F1"/>
            <w:noWrap w:val="0"/>
            <w:vAlign w:val="top"/>
          </w:tcPr>
          <w:p>
            <w:pPr>
              <w:pStyle w:val="195"/>
              <w:spacing w:before="119" w:line="240" w:lineRule="auto"/>
              <w:ind w:left="62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一级绿地</w:t>
            </w:r>
          </w:p>
        </w:tc>
        <w:tc>
          <w:tcPr>
            <w:tcW w:w="1890" w:type="dxa"/>
            <w:shd w:val="clear" w:color="auto" w:fill="C6D9F1"/>
            <w:noWrap w:val="0"/>
            <w:vAlign w:val="top"/>
          </w:tcPr>
          <w:p>
            <w:pPr>
              <w:pStyle w:val="195"/>
              <w:spacing w:before="119" w:line="240" w:lineRule="auto"/>
              <w:ind w:right="526"/>
              <w:jc w:val="righ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二级绿地</w:t>
            </w:r>
          </w:p>
        </w:tc>
        <w:tc>
          <w:tcPr>
            <w:tcW w:w="1888" w:type="dxa"/>
            <w:shd w:val="clear" w:color="auto" w:fill="C6D9F1"/>
            <w:noWrap w:val="0"/>
            <w:vAlign w:val="top"/>
          </w:tcPr>
          <w:p>
            <w:pPr>
              <w:pStyle w:val="195"/>
              <w:spacing w:before="119" w:line="240" w:lineRule="auto"/>
              <w:ind w:right="524"/>
              <w:jc w:val="righ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三级绿地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7" w:hRule="atLeast"/>
          <w:jc w:val="center"/>
        </w:trPr>
        <w:tc>
          <w:tcPr>
            <w:tcW w:w="751" w:type="dxa"/>
            <w:vMerge w:val="restart"/>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p>
          <w:p>
            <w:pPr>
              <w:pStyle w:val="195"/>
              <w:spacing w:before="92" w:line="240" w:lineRule="auto"/>
              <w:ind w:left="194" w:right="182"/>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绿地保洁</w:t>
            </w:r>
          </w:p>
        </w:tc>
        <w:tc>
          <w:tcPr>
            <w:tcW w:w="1012" w:type="dxa"/>
            <w:noWrap w:val="0"/>
            <w:vAlign w:val="center"/>
          </w:tcPr>
          <w:p>
            <w:pPr>
              <w:pStyle w:val="195"/>
              <w:spacing w:before="131" w:line="240" w:lineRule="auto"/>
              <w:ind w:left="108" w:right="9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草坪及低矮地被等绿地</w:t>
            </w:r>
          </w:p>
        </w:tc>
        <w:tc>
          <w:tcPr>
            <w:tcW w:w="1809" w:type="dxa"/>
            <w:noWrap w:val="0"/>
            <w:vAlign w:val="top"/>
          </w:tcPr>
          <w:p>
            <w:pPr>
              <w:pStyle w:val="195"/>
              <w:spacing w:before="50" w:line="240" w:lineRule="auto"/>
              <w:ind w:left="108" w:right="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一天打扫两次，早上</w:t>
            </w:r>
            <w:r>
              <w:rPr>
                <w:rFonts w:hint="eastAsia" w:asciiTheme="minorEastAsia" w:hAnsiTheme="minorEastAsia" w:eastAsiaTheme="minorEastAsia" w:cstheme="minorEastAsia"/>
                <w:color w:val="auto"/>
                <w:spacing w:val="-7"/>
                <w:sz w:val="21"/>
                <w:szCs w:val="21"/>
                <w:highlight w:val="none"/>
              </w:rPr>
              <w:t>下午各一次；其他时间连续保洁，随见随</w:t>
            </w:r>
            <w:r>
              <w:rPr>
                <w:rFonts w:hint="eastAsia" w:asciiTheme="minorEastAsia" w:hAnsiTheme="minorEastAsia" w:eastAsiaTheme="minorEastAsia" w:cstheme="minorEastAsia"/>
                <w:color w:val="auto"/>
                <w:sz w:val="21"/>
                <w:szCs w:val="21"/>
                <w:highlight w:val="none"/>
              </w:rPr>
              <w:t>扫。</w:t>
            </w:r>
          </w:p>
        </w:tc>
        <w:tc>
          <w:tcPr>
            <w:tcW w:w="1891" w:type="dxa"/>
            <w:noWrap w:val="0"/>
            <w:vAlign w:val="top"/>
          </w:tcPr>
          <w:p>
            <w:pPr>
              <w:pStyle w:val="195"/>
              <w:spacing w:before="50" w:line="240" w:lineRule="auto"/>
              <w:ind w:left="108" w:right="8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w:t>
            </w:r>
          </w:p>
          <w:p>
            <w:pPr>
              <w:pStyle w:val="195"/>
              <w:spacing w:before="2"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扫。</w:t>
            </w:r>
          </w:p>
        </w:tc>
        <w:tc>
          <w:tcPr>
            <w:tcW w:w="1890" w:type="dxa"/>
            <w:noWrap w:val="0"/>
            <w:vAlign w:val="top"/>
          </w:tcPr>
          <w:p>
            <w:pPr>
              <w:pStyle w:val="195"/>
              <w:spacing w:before="50" w:line="240" w:lineRule="auto"/>
              <w:ind w:left="108" w:right="8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w:t>
            </w:r>
          </w:p>
          <w:p>
            <w:pPr>
              <w:pStyle w:val="195"/>
              <w:spacing w:before="2"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扫。</w:t>
            </w:r>
          </w:p>
        </w:tc>
        <w:tc>
          <w:tcPr>
            <w:tcW w:w="1888" w:type="dxa"/>
            <w:noWrap w:val="0"/>
            <w:vAlign w:val="top"/>
          </w:tcPr>
          <w:p>
            <w:pPr>
              <w:pStyle w:val="195"/>
              <w:spacing w:before="50" w:line="240" w:lineRule="auto"/>
              <w:ind w:left="109" w:right="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w:t>
            </w:r>
          </w:p>
          <w:p>
            <w:pPr>
              <w:pStyle w:val="195"/>
              <w:spacing w:before="2" w:line="240" w:lineRule="auto"/>
              <w:ind w:left="1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line="240" w:lineRule="auto"/>
              <w:ind w:left="108" w:right="9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地被、花坛、绿篱等绿地</w:t>
            </w:r>
          </w:p>
        </w:tc>
        <w:tc>
          <w:tcPr>
            <w:tcW w:w="1809" w:type="dxa"/>
            <w:noWrap w:val="0"/>
            <w:vAlign w:val="top"/>
          </w:tcPr>
          <w:p>
            <w:pPr>
              <w:pStyle w:val="195"/>
              <w:spacing w:before="136" w:line="240" w:lineRule="auto"/>
              <w:ind w:left="108" w:right="8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一天捡拾两次，早上</w:t>
            </w:r>
            <w:r>
              <w:rPr>
                <w:rFonts w:hint="eastAsia" w:asciiTheme="minorEastAsia" w:hAnsiTheme="minorEastAsia" w:eastAsiaTheme="minorEastAsia" w:cstheme="minorEastAsia"/>
                <w:color w:val="auto"/>
                <w:spacing w:val="4"/>
                <w:sz w:val="21"/>
                <w:szCs w:val="21"/>
                <w:highlight w:val="none"/>
              </w:rPr>
              <w:t>下午各一次； 其他</w:t>
            </w:r>
            <w:r>
              <w:rPr>
                <w:rFonts w:hint="eastAsia" w:asciiTheme="minorEastAsia" w:hAnsiTheme="minorEastAsia" w:eastAsiaTheme="minorEastAsia" w:cstheme="minorEastAsia"/>
                <w:color w:val="auto"/>
                <w:spacing w:val="-4"/>
                <w:sz w:val="21"/>
                <w:szCs w:val="21"/>
                <w:highlight w:val="none"/>
              </w:rPr>
              <w:t>时间连续保洁，随见随捡。</w:t>
            </w:r>
          </w:p>
        </w:tc>
        <w:tc>
          <w:tcPr>
            <w:tcW w:w="1891" w:type="dxa"/>
            <w:noWrap w:val="0"/>
            <w:vAlign w:val="top"/>
          </w:tcPr>
          <w:p>
            <w:pPr>
              <w:pStyle w:val="195"/>
              <w:spacing w:before="136" w:line="240" w:lineRule="auto"/>
              <w:ind w:left="108" w:right="8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一天捡拾两次，早上</w:t>
            </w:r>
            <w:r>
              <w:rPr>
                <w:rFonts w:hint="eastAsia" w:asciiTheme="minorEastAsia" w:hAnsiTheme="minorEastAsia" w:eastAsiaTheme="minorEastAsia" w:cstheme="minorEastAsia"/>
                <w:color w:val="auto"/>
                <w:spacing w:val="-5"/>
                <w:sz w:val="21"/>
                <w:szCs w:val="21"/>
                <w:highlight w:val="none"/>
              </w:rPr>
              <w:t>下午各一次； 其他时</w:t>
            </w:r>
            <w:r>
              <w:rPr>
                <w:rFonts w:hint="eastAsia" w:asciiTheme="minorEastAsia" w:hAnsiTheme="minorEastAsia" w:eastAsiaTheme="minorEastAsia" w:cstheme="minorEastAsia"/>
                <w:color w:val="auto"/>
                <w:spacing w:val="4"/>
                <w:sz w:val="21"/>
                <w:szCs w:val="21"/>
                <w:highlight w:val="none"/>
              </w:rPr>
              <w:t>间连续保洁，随见随</w:t>
            </w:r>
            <w:r>
              <w:rPr>
                <w:rFonts w:hint="eastAsia" w:asciiTheme="minorEastAsia" w:hAnsiTheme="minorEastAsia" w:eastAsiaTheme="minorEastAsia" w:cstheme="minorEastAsia"/>
                <w:color w:val="auto"/>
                <w:sz w:val="21"/>
                <w:szCs w:val="21"/>
                <w:highlight w:val="none"/>
              </w:rPr>
              <w:t>捡。</w:t>
            </w:r>
          </w:p>
        </w:tc>
        <w:tc>
          <w:tcPr>
            <w:tcW w:w="1890" w:type="dxa"/>
            <w:noWrap w:val="0"/>
            <w:vAlign w:val="top"/>
          </w:tcPr>
          <w:p>
            <w:pPr>
              <w:pStyle w:val="195"/>
              <w:spacing w:before="136" w:line="240" w:lineRule="auto"/>
              <w:ind w:left="108" w:right="8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一天捡拾两次，早上</w:t>
            </w:r>
            <w:r>
              <w:rPr>
                <w:rFonts w:hint="eastAsia" w:asciiTheme="minorEastAsia" w:hAnsiTheme="minorEastAsia" w:eastAsiaTheme="minorEastAsia" w:cstheme="minorEastAsia"/>
                <w:color w:val="auto"/>
                <w:spacing w:val="-5"/>
                <w:sz w:val="21"/>
                <w:szCs w:val="21"/>
                <w:highlight w:val="none"/>
              </w:rPr>
              <w:t>下午各一次； 其他时</w:t>
            </w:r>
            <w:r>
              <w:rPr>
                <w:rFonts w:hint="eastAsia" w:asciiTheme="minorEastAsia" w:hAnsiTheme="minorEastAsia" w:eastAsiaTheme="minorEastAsia" w:cstheme="minorEastAsia"/>
                <w:color w:val="auto"/>
                <w:spacing w:val="4"/>
                <w:sz w:val="21"/>
                <w:szCs w:val="21"/>
                <w:highlight w:val="none"/>
              </w:rPr>
              <w:t>间连续保洁，随见随</w:t>
            </w:r>
            <w:r>
              <w:rPr>
                <w:rFonts w:hint="eastAsia" w:asciiTheme="minorEastAsia" w:hAnsiTheme="minorEastAsia" w:eastAsiaTheme="minorEastAsia" w:cstheme="minorEastAsia"/>
                <w:color w:val="auto"/>
                <w:sz w:val="21"/>
                <w:szCs w:val="21"/>
                <w:highlight w:val="none"/>
              </w:rPr>
              <w:t>捡。</w:t>
            </w:r>
          </w:p>
        </w:tc>
        <w:tc>
          <w:tcPr>
            <w:tcW w:w="1888" w:type="dxa"/>
            <w:noWrap w:val="0"/>
            <w:vAlign w:val="top"/>
          </w:tcPr>
          <w:p>
            <w:pPr>
              <w:pStyle w:val="195"/>
              <w:spacing w:before="136" w:line="240" w:lineRule="auto"/>
              <w:ind w:left="109" w:right="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一天捡拾两次，早上</w:t>
            </w:r>
            <w:r>
              <w:rPr>
                <w:rFonts w:hint="eastAsia" w:asciiTheme="minorEastAsia" w:hAnsiTheme="minorEastAsia" w:eastAsiaTheme="minorEastAsia" w:cstheme="minorEastAsia"/>
                <w:color w:val="auto"/>
                <w:spacing w:val="-7"/>
                <w:sz w:val="21"/>
                <w:szCs w:val="21"/>
                <w:highlight w:val="none"/>
              </w:rPr>
              <w:t>下午各一次； 其他时</w:t>
            </w:r>
            <w:r>
              <w:rPr>
                <w:rFonts w:hint="eastAsia" w:asciiTheme="minorEastAsia" w:hAnsiTheme="minorEastAsia" w:eastAsiaTheme="minorEastAsia" w:cstheme="minorEastAsia"/>
                <w:color w:val="auto"/>
                <w:spacing w:val="4"/>
                <w:sz w:val="21"/>
                <w:szCs w:val="21"/>
                <w:highlight w:val="none"/>
              </w:rPr>
              <w:t>间连续保洁，随见随</w:t>
            </w:r>
            <w:r>
              <w:rPr>
                <w:rFonts w:hint="eastAsia" w:asciiTheme="minorEastAsia" w:hAnsiTheme="minorEastAsia" w:eastAsiaTheme="minorEastAsia" w:cstheme="minorEastAsia"/>
                <w:color w:val="auto"/>
                <w:sz w:val="21"/>
                <w:szCs w:val="21"/>
                <w:highlight w:val="none"/>
              </w:rPr>
              <w:t>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7" w:hRule="atLeast"/>
          <w:jc w:val="center"/>
        </w:trPr>
        <w:tc>
          <w:tcPr>
            <w:tcW w:w="751" w:type="dxa"/>
            <w:vMerge w:val="restart"/>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w:t>
            </w:r>
          </w:p>
          <w:p>
            <w:pPr>
              <w:pStyle w:val="195"/>
              <w:spacing w:before="92" w:line="240" w:lineRule="auto"/>
              <w:ind w:left="194" w:right="182"/>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硬质地面保洁</w:t>
            </w:r>
          </w:p>
        </w:tc>
        <w:tc>
          <w:tcPr>
            <w:tcW w:w="1012" w:type="dxa"/>
            <w:noWrap w:val="0"/>
            <w:vAlign w:val="center"/>
          </w:tcPr>
          <w:p>
            <w:pPr>
              <w:pStyle w:val="195"/>
              <w:spacing w:before="1" w:line="240" w:lineRule="auto"/>
              <w:ind w:left="108" w:right="9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广场、园路、停车场等铺装场地</w:t>
            </w:r>
          </w:p>
        </w:tc>
        <w:tc>
          <w:tcPr>
            <w:tcW w:w="1809" w:type="dxa"/>
            <w:noWrap w:val="0"/>
            <w:vAlign w:val="top"/>
          </w:tcPr>
          <w:p>
            <w:pPr>
              <w:pStyle w:val="195"/>
              <w:spacing w:before="4"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108" w:right="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一天打扫两次，早上</w:t>
            </w:r>
            <w:r>
              <w:rPr>
                <w:rFonts w:hint="eastAsia" w:asciiTheme="minorEastAsia" w:hAnsiTheme="minorEastAsia" w:eastAsiaTheme="minorEastAsia" w:cstheme="minorEastAsia"/>
                <w:color w:val="auto"/>
                <w:spacing w:val="-7"/>
                <w:sz w:val="21"/>
                <w:szCs w:val="21"/>
                <w:highlight w:val="none"/>
              </w:rPr>
              <w:t>下午各一次；其他时间连续保洁，随见随</w:t>
            </w:r>
            <w:r>
              <w:rPr>
                <w:rFonts w:hint="eastAsia" w:asciiTheme="minorEastAsia" w:hAnsiTheme="minorEastAsia" w:eastAsiaTheme="minorEastAsia" w:cstheme="minorEastAsia"/>
                <w:color w:val="auto"/>
                <w:sz w:val="21"/>
                <w:szCs w:val="21"/>
                <w:highlight w:val="none"/>
              </w:rPr>
              <w:t>扫。</w:t>
            </w:r>
          </w:p>
          <w:p>
            <w:pPr>
              <w:pStyle w:val="195"/>
              <w:spacing w:before="3"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4"/>
                <w:sz w:val="21"/>
                <w:szCs w:val="21"/>
                <w:highlight w:val="none"/>
              </w:rPr>
              <w:t xml:space="preserve">广场、园路每年的 </w:t>
            </w:r>
            <w:r>
              <w:rPr>
                <w:rFonts w:hint="eastAsia" w:asciiTheme="minorEastAsia" w:hAnsiTheme="minorEastAsia" w:eastAsiaTheme="minorEastAsia" w:cstheme="minorEastAsia"/>
                <w:color w:val="auto"/>
                <w:spacing w:val="-8"/>
                <w:sz w:val="21"/>
                <w:szCs w:val="21"/>
                <w:highlight w:val="none"/>
              </w:rPr>
              <w:t>11</w:t>
            </w:r>
          </w:p>
          <w:p>
            <w:pPr>
              <w:pStyle w:val="195"/>
              <w:spacing w:before="8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 xml:space="preserve">月至次年 </w:t>
            </w:r>
            <w:r>
              <w:rPr>
                <w:rFonts w:hint="eastAsia" w:asciiTheme="minorEastAsia" w:hAnsiTheme="minorEastAsia" w:eastAsiaTheme="minorEastAsia" w:cstheme="minorEastAsia"/>
                <w:color w:val="auto"/>
                <w:sz w:val="21"/>
                <w:szCs w:val="21"/>
                <w:highlight w:val="none"/>
              </w:rPr>
              <w:t xml:space="preserve">3 </w:t>
            </w:r>
            <w:r>
              <w:rPr>
                <w:rFonts w:hint="eastAsia" w:asciiTheme="minorEastAsia" w:hAnsiTheme="minorEastAsia" w:eastAsiaTheme="minorEastAsia" w:cstheme="minorEastAsia"/>
                <w:color w:val="auto"/>
                <w:spacing w:val="-8"/>
                <w:sz w:val="21"/>
                <w:szCs w:val="21"/>
                <w:highlight w:val="none"/>
              </w:rPr>
              <w:t>月，两周</w:t>
            </w:r>
          </w:p>
          <w:p>
            <w:pPr>
              <w:pStyle w:val="195"/>
              <w:spacing w:before="8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冲洗一次；</w:t>
            </w:r>
            <w:r>
              <w:rPr>
                <w:rFonts w:hint="eastAsia" w:asciiTheme="minorEastAsia" w:hAnsiTheme="minorEastAsia" w:eastAsiaTheme="minorEastAsia" w:cstheme="minorEastAsia"/>
                <w:color w:val="auto"/>
                <w:spacing w:val="-14"/>
                <w:sz w:val="21"/>
                <w:szCs w:val="21"/>
                <w:highlight w:val="none"/>
              </w:rPr>
              <w:t>4</w:t>
            </w:r>
            <w:r>
              <w:rPr>
                <w:rFonts w:hint="eastAsia" w:asciiTheme="minorEastAsia" w:hAnsiTheme="minorEastAsia" w:eastAsiaTheme="minorEastAsia" w:cstheme="minorEastAsia"/>
                <w:color w:val="auto"/>
                <w:spacing w:val="-1"/>
                <w:sz w:val="21"/>
                <w:szCs w:val="21"/>
                <w:highlight w:val="none"/>
              </w:rPr>
              <w:t xml:space="preserve"> </w:t>
            </w:r>
            <w:r>
              <w:rPr>
                <w:rFonts w:hint="eastAsia" w:asciiTheme="minorEastAsia" w:hAnsiTheme="minorEastAsia" w:eastAsiaTheme="minorEastAsia" w:cstheme="minorEastAsia"/>
                <w:color w:val="auto"/>
                <w:spacing w:val="-15"/>
                <w:sz w:val="21"/>
                <w:szCs w:val="21"/>
                <w:highlight w:val="none"/>
              </w:rPr>
              <w:t xml:space="preserve">月至 </w:t>
            </w:r>
            <w:r>
              <w:rPr>
                <w:rFonts w:hint="eastAsia" w:asciiTheme="minorEastAsia" w:hAnsiTheme="minorEastAsia" w:eastAsiaTheme="minorEastAsia" w:cstheme="minorEastAsia"/>
                <w:color w:val="auto"/>
                <w:sz w:val="21"/>
                <w:szCs w:val="21"/>
                <w:highlight w:val="none"/>
              </w:rPr>
              <w:t>10</w:t>
            </w:r>
          </w:p>
          <w:p>
            <w:pPr>
              <w:pStyle w:val="195"/>
              <w:spacing w:before="82"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月，一月冲洗一次。</w:t>
            </w:r>
          </w:p>
        </w:tc>
        <w:tc>
          <w:tcPr>
            <w:tcW w:w="1891" w:type="dxa"/>
            <w:noWrap w:val="0"/>
            <w:vAlign w:val="top"/>
          </w:tcPr>
          <w:p>
            <w:pPr>
              <w:pStyle w:val="195"/>
              <w:spacing w:before="40" w:line="240" w:lineRule="auto"/>
              <w:ind w:left="108" w:right="8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一天打扫两次，早上下午各一次；其他时间连续保洁，随见随扫。</w:t>
            </w:r>
          </w:p>
          <w:p>
            <w:pPr>
              <w:pStyle w:val="195"/>
              <w:spacing w:before="3" w:line="240" w:lineRule="auto"/>
              <w:ind w:left="108" w:right="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 xml:space="preserve">广场、园路及停车场， </w:t>
            </w:r>
            <w:r>
              <w:rPr>
                <w:rFonts w:hint="eastAsia" w:asciiTheme="minorEastAsia" w:hAnsiTheme="minorEastAsia" w:eastAsiaTheme="minorEastAsia" w:cstheme="minorEastAsia"/>
                <w:color w:val="auto"/>
                <w:spacing w:val="-10"/>
                <w:sz w:val="21"/>
                <w:szCs w:val="21"/>
                <w:highlight w:val="none"/>
              </w:rPr>
              <w:t xml:space="preserve">每年的 </w:t>
            </w:r>
            <w:r>
              <w:rPr>
                <w:rFonts w:hint="eastAsia" w:asciiTheme="minorEastAsia" w:hAnsiTheme="minorEastAsia" w:eastAsiaTheme="minorEastAsia" w:cstheme="minorEastAsia"/>
                <w:color w:val="auto"/>
                <w:spacing w:val="-4"/>
                <w:sz w:val="21"/>
                <w:szCs w:val="21"/>
                <w:highlight w:val="none"/>
              </w:rPr>
              <w:t xml:space="preserve">11 </w:t>
            </w:r>
            <w:r>
              <w:rPr>
                <w:rFonts w:hint="eastAsia" w:asciiTheme="minorEastAsia" w:hAnsiTheme="minorEastAsia" w:eastAsiaTheme="minorEastAsia" w:cstheme="minorEastAsia"/>
                <w:color w:val="auto"/>
                <w:spacing w:val="-8"/>
                <w:sz w:val="21"/>
                <w:szCs w:val="21"/>
                <w:highlight w:val="none"/>
              </w:rPr>
              <w:t xml:space="preserve">月至次年 </w:t>
            </w:r>
            <w:r>
              <w:rPr>
                <w:rFonts w:hint="eastAsia" w:asciiTheme="minorEastAsia" w:hAnsiTheme="minorEastAsia" w:eastAsiaTheme="minorEastAsia" w:cstheme="minorEastAsia"/>
                <w:color w:val="auto"/>
                <w:sz w:val="21"/>
                <w:szCs w:val="21"/>
                <w:highlight w:val="none"/>
              </w:rPr>
              <w:t xml:space="preserve">3 </w:t>
            </w:r>
            <w:r>
              <w:rPr>
                <w:rFonts w:hint="eastAsia" w:asciiTheme="minorEastAsia" w:hAnsiTheme="minorEastAsia" w:eastAsiaTheme="minorEastAsia" w:cstheme="minorEastAsia"/>
                <w:color w:val="auto"/>
                <w:spacing w:val="-6"/>
                <w:sz w:val="21"/>
                <w:szCs w:val="21"/>
                <w:highlight w:val="none"/>
              </w:rPr>
              <w:t>月，两周冲洗一次；</w:t>
            </w:r>
            <w:r>
              <w:rPr>
                <w:rFonts w:hint="eastAsia" w:asciiTheme="minorEastAsia" w:hAnsiTheme="minorEastAsia" w:eastAsiaTheme="minorEastAsia" w:cstheme="minorEastAsia"/>
                <w:color w:val="auto"/>
                <w:spacing w:val="-9"/>
                <w:sz w:val="21"/>
                <w:szCs w:val="21"/>
                <w:highlight w:val="none"/>
              </w:rPr>
              <w:t xml:space="preserve">4 </w:t>
            </w:r>
            <w:r>
              <w:rPr>
                <w:rFonts w:hint="eastAsia" w:asciiTheme="minorEastAsia" w:hAnsiTheme="minorEastAsia" w:eastAsiaTheme="minorEastAsia" w:cstheme="minorEastAsia"/>
                <w:color w:val="auto"/>
                <w:spacing w:val="-16"/>
                <w:sz w:val="21"/>
                <w:szCs w:val="21"/>
                <w:highlight w:val="none"/>
              </w:rPr>
              <w:t xml:space="preserve">月至 </w:t>
            </w:r>
            <w:r>
              <w:rPr>
                <w:rFonts w:hint="eastAsia" w:asciiTheme="minorEastAsia" w:hAnsiTheme="minorEastAsia" w:eastAsiaTheme="minorEastAsia" w:cstheme="minorEastAsia"/>
                <w:color w:val="auto"/>
                <w:sz w:val="21"/>
                <w:szCs w:val="21"/>
                <w:highlight w:val="none"/>
              </w:rPr>
              <w:t xml:space="preserve">10 </w:t>
            </w:r>
            <w:r>
              <w:rPr>
                <w:rFonts w:hint="eastAsia" w:asciiTheme="minorEastAsia" w:hAnsiTheme="minorEastAsia" w:eastAsiaTheme="minorEastAsia" w:cstheme="minorEastAsia"/>
                <w:color w:val="auto"/>
                <w:spacing w:val="-7"/>
                <w:sz w:val="21"/>
                <w:szCs w:val="21"/>
                <w:highlight w:val="none"/>
              </w:rPr>
              <w:t>月，一月冲洗</w:t>
            </w:r>
            <w:r>
              <w:rPr>
                <w:rFonts w:hint="eastAsia" w:asciiTheme="minorEastAsia" w:hAnsiTheme="minorEastAsia" w:eastAsiaTheme="minorEastAsia" w:cstheme="minorEastAsia"/>
                <w:color w:val="auto"/>
                <w:sz w:val="21"/>
                <w:szCs w:val="21"/>
                <w:highlight w:val="none"/>
              </w:rPr>
              <w:t>一次。</w:t>
            </w:r>
          </w:p>
        </w:tc>
        <w:tc>
          <w:tcPr>
            <w:tcW w:w="1890" w:type="dxa"/>
            <w:noWrap w:val="0"/>
            <w:vAlign w:val="top"/>
          </w:tcPr>
          <w:p>
            <w:pPr>
              <w:pStyle w:val="195"/>
              <w:spacing w:before="40" w:line="240" w:lineRule="auto"/>
              <w:ind w:left="108" w:right="8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一天打扫两次，早上下午各一次；其他时间连续保洁，随见随扫。</w:t>
            </w:r>
          </w:p>
          <w:p>
            <w:pPr>
              <w:pStyle w:val="195"/>
              <w:spacing w:before="3" w:line="240" w:lineRule="auto"/>
              <w:ind w:left="108" w:right="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 xml:space="preserve">广场、园路及停车场， </w:t>
            </w:r>
            <w:r>
              <w:rPr>
                <w:rFonts w:hint="eastAsia" w:asciiTheme="minorEastAsia" w:hAnsiTheme="minorEastAsia" w:eastAsiaTheme="minorEastAsia" w:cstheme="minorEastAsia"/>
                <w:color w:val="auto"/>
                <w:spacing w:val="-10"/>
                <w:sz w:val="21"/>
                <w:szCs w:val="21"/>
                <w:highlight w:val="none"/>
              </w:rPr>
              <w:t xml:space="preserve">每年的 </w:t>
            </w:r>
            <w:r>
              <w:rPr>
                <w:rFonts w:hint="eastAsia" w:asciiTheme="minorEastAsia" w:hAnsiTheme="minorEastAsia" w:eastAsiaTheme="minorEastAsia" w:cstheme="minorEastAsia"/>
                <w:color w:val="auto"/>
                <w:spacing w:val="-4"/>
                <w:sz w:val="21"/>
                <w:szCs w:val="21"/>
                <w:highlight w:val="none"/>
              </w:rPr>
              <w:t xml:space="preserve">11 </w:t>
            </w:r>
            <w:r>
              <w:rPr>
                <w:rFonts w:hint="eastAsia" w:asciiTheme="minorEastAsia" w:hAnsiTheme="minorEastAsia" w:eastAsiaTheme="minorEastAsia" w:cstheme="minorEastAsia"/>
                <w:color w:val="auto"/>
                <w:spacing w:val="-8"/>
                <w:sz w:val="21"/>
                <w:szCs w:val="21"/>
                <w:highlight w:val="none"/>
              </w:rPr>
              <w:t xml:space="preserve">月至次年 </w:t>
            </w:r>
            <w:r>
              <w:rPr>
                <w:rFonts w:hint="eastAsia" w:asciiTheme="minorEastAsia" w:hAnsiTheme="minorEastAsia" w:eastAsiaTheme="minorEastAsia" w:cstheme="minorEastAsia"/>
                <w:color w:val="auto"/>
                <w:sz w:val="21"/>
                <w:szCs w:val="21"/>
                <w:highlight w:val="none"/>
              </w:rPr>
              <w:t xml:space="preserve">3 </w:t>
            </w:r>
            <w:r>
              <w:rPr>
                <w:rFonts w:hint="eastAsia" w:asciiTheme="minorEastAsia" w:hAnsiTheme="minorEastAsia" w:eastAsiaTheme="minorEastAsia" w:cstheme="minorEastAsia"/>
                <w:color w:val="auto"/>
                <w:spacing w:val="-6"/>
                <w:sz w:val="21"/>
                <w:szCs w:val="21"/>
                <w:highlight w:val="none"/>
              </w:rPr>
              <w:t>月，一月冲洗一次；</w:t>
            </w:r>
            <w:r>
              <w:rPr>
                <w:rFonts w:hint="eastAsia" w:asciiTheme="minorEastAsia" w:hAnsiTheme="minorEastAsia" w:eastAsiaTheme="minorEastAsia" w:cstheme="minorEastAsia"/>
                <w:color w:val="auto"/>
                <w:spacing w:val="-9"/>
                <w:sz w:val="21"/>
                <w:szCs w:val="21"/>
                <w:highlight w:val="none"/>
              </w:rPr>
              <w:t xml:space="preserve">4 </w:t>
            </w:r>
            <w:r>
              <w:rPr>
                <w:rFonts w:hint="eastAsia" w:asciiTheme="minorEastAsia" w:hAnsiTheme="minorEastAsia" w:eastAsiaTheme="minorEastAsia" w:cstheme="minorEastAsia"/>
                <w:color w:val="auto"/>
                <w:spacing w:val="-16"/>
                <w:sz w:val="21"/>
                <w:szCs w:val="21"/>
                <w:highlight w:val="none"/>
              </w:rPr>
              <w:t xml:space="preserve">月至 </w:t>
            </w:r>
            <w:r>
              <w:rPr>
                <w:rFonts w:hint="eastAsia" w:asciiTheme="minorEastAsia" w:hAnsiTheme="minorEastAsia" w:eastAsiaTheme="minorEastAsia" w:cstheme="minorEastAsia"/>
                <w:color w:val="auto"/>
                <w:sz w:val="21"/>
                <w:szCs w:val="21"/>
                <w:highlight w:val="none"/>
              </w:rPr>
              <w:t xml:space="preserve">10 </w:t>
            </w:r>
            <w:r>
              <w:rPr>
                <w:rFonts w:hint="eastAsia" w:asciiTheme="minorEastAsia" w:hAnsiTheme="minorEastAsia" w:eastAsiaTheme="minorEastAsia" w:cstheme="minorEastAsia"/>
                <w:color w:val="auto"/>
                <w:spacing w:val="-7"/>
                <w:sz w:val="21"/>
                <w:szCs w:val="21"/>
                <w:highlight w:val="none"/>
              </w:rPr>
              <w:t>月，两月冲洗</w:t>
            </w:r>
            <w:r>
              <w:rPr>
                <w:rFonts w:hint="eastAsia" w:asciiTheme="minorEastAsia" w:hAnsiTheme="minorEastAsia" w:eastAsiaTheme="minorEastAsia" w:cstheme="minorEastAsia"/>
                <w:color w:val="auto"/>
                <w:sz w:val="21"/>
                <w:szCs w:val="21"/>
                <w:highlight w:val="none"/>
              </w:rPr>
              <w:t>一次。</w:t>
            </w:r>
          </w:p>
        </w:tc>
        <w:tc>
          <w:tcPr>
            <w:tcW w:w="1888" w:type="dxa"/>
            <w:noWrap w:val="0"/>
            <w:vAlign w:val="top"/>
          </w:tcPr>
          <w:p>
            <w:pPr>
              <w:pStyle w:val="195"/>
              <w:spacing w:before="40" w:line="240" w:lineRule="auto"/>
              <w:ind w:left="109" w:right="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一天打扫两次，早上下午各一次；其他时间连续保洁，随见随扫。</w:t>
            </w:r>
          </w:p>
          <w:p>
            <w:pPr>
              <w:pStyle w:val="195"/>
              <w:spacing w:before="3" w:line="240" w:lineRule="auto"/>
              <w:ind w:left="109" w:right="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 xml:space="preserve">广场、园路及停车场， </w:t>
            </w:r>
            <w:r>
              <w:rPr>
                <w:rFonts w:hint="eastAsia" w:asciiTheme="minorEastAsia" w:hAnsiTheme="minorEastAsia" w:eastAsiaTheme="minorEastAsia" w:cstheme="minorEastAsia"/>
                <w:color w:val="auto"/>
                <w:spacing w:val="-11"/>
                <w:sz w:val="21"/>
                <w:szCs w:val="21"/>
                <w:highlight w:val="none"/>
              </w:rPr>
              <w:t xml:space="preserve">每年的 </w:t>
            </w:r>
            <w:r>
              <w:rPr>
                <w:rFonts w:hint="eastAsia" w:asciiTheme="minorEastAsia" w:hAnsiTheme="minorEastAsia" w:eastAsiaTheme="minorEastAsia" w:cstheme="minorEastAsia"/>
                <w:color w:val="auto"/>
                <w:spacing w:val="-4"/>
                <w:sz w:val="21"/>
                <w:szCs w:val="21"/>
                <w:highlight w:val="none"/>
              </w:rPr>
              <w:t xml:space="preserve">11 </w:t>
            </w:r>
            <w:r>
              <w:rPr>
                <w:rFonts w:hint="eastAsia" w:asciiTheme="minorEastAsia" w:hAnsiTheme="minorEastAsia" w:eastAsiaTheme="minorEastAsia" w:cstheme="minorEastAsia"/>
                <w:color w:val="auto"/>
                <w:spacing w:val="-9"/>
                <w:sz w:val="21"/>
                <w:szCs w:val="21"/>
                <w:highlight w:val="none"/>
              </w:rPr>
              <w:t xml:space="preserve">月至次年 </w:t>
            </w:r>
            <w:r>
              <w:rPr>
                <w:rFonts w:hint="eastAsia" w:asciiTheme="minorEastAsia" w:hAnsiTheme="minorEastAsia" w:eastAsiaTheme="minorEastAsia" w:cstheme="minorEastAsia"/>
                <w:color w:val="auto"/>
                <w:sz w:val="21"/>
                <w:szCs w:val="21"/>
                <w:highlight w:val="none"/>
              </w:rPr>
              <w:t xml:space="preserve">3 </w:t>
            </w:r>
            <w:r>
              <w:rPr>
                <w:rFonts w:hint="eastAsia" w:asciiTheme="minorEastAsia" w:hAnsiTheme="minorEastAsia" w:eastAsiaTheme="minorEastAsia" w:cstheme="minorEastAsia"/>
                <w:color w:val="auto"/>
                <w:spacing w:val="-6"/>
                <w:sz w:val="21"/>
                <w:szCs w:val="21"/>
                <w:highlight w:val="none"/>
              </w:rPr>
              <w:t>月，一月冲洗一次；</w:t>
            </w:r>
            <w:r>
              <w:rPr>
                <w:rFonts w:hint="eastAsia" w:asciiTheme="minorEastAsia" w:hAnsiTheme="minorEastAsia" w:eastAsiaTheme="minorEastAsia" w:cstheme="minorEastAsia"/>
                <w:color w:val="auto"/>
                <w:spacing w:val="-10"/>
                <w:sz w:val="21"/>
                <w:szCs w:val="21"/>
                <w:highlight w:val="none"/>
              </w:rPr>
              <w:t xml:space="preserve">4 </w:t>
            </w:r>
            <w:r>
              <w:rPr>
                <w:rFonts w:hint="eastAsia" w:asciiTheme="minorEastAsia" w:hAnsiTheme="minorEastAsia" w:eastAsiaTheme="minorEastAsia" w:cstheme="minorEastAsia"/>
                <w:color w:val="auto"/>
                <w:spacing w:val="-16"/>
                <w:sz w:val="21"/>
                <w:szCs w:val="21"/>
                <w:highlight w:val="none"/>
              </w:rPr>
              <w:t xml:space="preserve">月至 </w:t>
            </w:r>
            <w:r>
              <w:rPr>
                <w:rFonts w:hint="eastAsia" w:asciiTheme="minorEastAsia" w:hAnsiTheme="minorEastAsia" w:eastAsiaTheme="minorEastAsia" w:cstheme="minorEastAsia"/>
                <w:color w:val="auto"/>
                <w:sz w:val="21"/>
                <w:szCs w:val="21"/>
                <w:highlight w:val="none"/>
              </w:rPr>
              <w:t xml:space="preserve">10 </w:t>
            </w:r>
            <w:r>
              <w:rPr>
                <w:rFonts w:hint="eastAsia" w:asciiTheme="minorEastAsia" w:hAnsiTheme="minorEastAsia" w:eastAsiaTheme="minorEastAsia" w:cstheme="minorEastAsia"/>
                <w:color w:val="auto"/>
                <w:spacing w:val="-8"/>
                <w:sz w:val="21"/>
                <w:szCs w:val="21"/>
                <w:highlight w:val="none"/>
              </w:rPr>
              <w:t>月，两月冲洗</w:t>
            </w:r>
            <w:r>
              <w:rPr>
                <w:rFonts w:hint="eastAsia" w:asciiTheme="minorEastAsia" w:hAnsiTheme="minorEastAsia" w:eastAsiaTheme="minorEastAsia" w:cstheme="minorEastAsia"/>
                <w:color w:val="auto"/>
                <w:sz w:val="21"/>
                <w:szCs w:val="21"/>
                <w:highlight w:val="none"/>
              </w:rPr>
              <w:t>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before="151" w:line="240" w:lineRule="auto"/>
              <w:ind w:left="108" w:right="9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盘山公路及登山道</w:t>
            </w:r>
          </w:p>
        </w:tc>
        <w:tc>
          <w:tcPr>
            <w:tcW w:w="1809" w:type="dxa"/>
            <w:noWrap w:val="0"/>
            <w:vAlign w:val="center"/>
          </w:tcPr>
          <w:p>
            <w:pPr>
              <w:pStyle w:val="195"/>
              <w:spacing w:line="240" w:lineRule="auto"/>
              <w:ind w:left="477" w:right="468"/>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tc>
        <w:tc>
          <w:tcPr>
            <w:tcW w:w="1891" w:type="dxa"/>
            <w:noWrap w:val="0"/>
            <w:vAlign w:val="center"/>
          </w:tcPr>
          <w:p>
            <w:pPr>
              <w:pStyle w:val="195"/>
              <w:spacing w:line="240" w:lineRule="auto"/>
              <w:ind w:left="865" w:right="855"/>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tc>
        <w:tc>
          <w:tcPr>
            <w:tcW w:w="1890" w:type="dxa"/>
            <w:noWrap w:val="0"/>
            <w:vAlign w:val="center"/>
          </w:tcPr>
          <w:p>
            <w:pPr>
              <w:pStyle w:val="195"/>
              <w:spacing w:line="240" w:lineRule="auto"/>
              <w:ind w:right="509"/>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一月清洗一次。</w:t>
            </w:r>
          </w:p>
        </w:tc>
        <w:tc>
          <w:tcPr>
            <w:tcW w:w="1888" w:type="dxa"/>
            <w:noWrap w:val="0"/>
            <w:vAlign w:val="center"/>
          </w:tcPr>
          <w:p>
            <w:pPr>
              <w:pStyle w:val="195"/>
              <w:spacing w:line="240" w:lineRule="auto"/>
              <w:ind w:right="506"/>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两月清洗一次。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restart"/>
            <w:noWrap w:val="0"/>
            <w:vAlign w:val="center"/>
          </w:tcPr>
          <w:p>
            <w:pPr>
              <w:pStyle w:val="195"/>
              <w:spacing w:before="1"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园林</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设施</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保洁</w:t>
            </w:r>
          </w:p>
        </w:tc>
        <w:tc>
          <w:tcPr>
            <w:tcW w:w="1012" w:type="dxa"/>
            <w:noWrap w:val="0"/>
            <w:vAlign w:val="top"/>
          </w:tcPr>
          <w:p>
            <w:pPr>
              <w:pStyle w:val="195"/>
              <w:spacing w:before="51" w:line="240" w:lineRule="auto"/>
              <w:ind w:left="108" w:right="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pacing w:val="6"/>
                <w:sz w:val="21"/>
                <w:szCs w:val="21"/>
                <w:highlight w:val="none"/>
              </w:rPr>
              <w:t>健身器材、游乐设施、垃圾箱、电话亭、宣传栏、橱窗及具有休憩功</w:t>
            </w:r>
            <w:r>
              <w:rPr>
                <w:rFonts w:hint="eastAsia" w:asciiTheme="minorEastAsia" w:hAnsiTheme="minorEastAsia" w:eastAsiaTheme="minorEastAsia" w:cstheme="minorEastAsia"/>
                <w:b/>
                <w:color w:val="auto"/>
                <w:spacing w:val="-7"/>
                <w:sz w:val="21"/>
                <w:szCs w:val="21"/>
                <w:highlight w:val="none"/>
              </w:rPr>
              <w:t>能的座椅、凳、</w:t>
            </w:r>
            <w:r>
              <w:rPr>
                <w:rFonts w:hint="eastAsia" w:asciiTheme="minorEastAsia" w:hAnsiTheme="minorEastAsia" w:eastAsiaTheme="minorEastAsia" w:cstheme="minorEastAsia"/>
                <w:b/>
                <w:color w:val="auto"/>
                <w:spacing w:val="6"/>
                <w:sz w:val="21"/>
                <w:szCs w:val="21"/>
                <w:highlight w:val="none"/>
              </w:rPr>
              <w:t>桌等设施的表</w:t>
            </w:r>
            <w:r>
              <w:rPr>
                <w:rFonts w:hint="eastAsia" w:asciiTheme="minorEastAsia" w:hAnsiTheme="minorEastAsia" w:eastAsiaTheme="minorEastAsia" w:cstheme="minorEastAsia"/>
                <w:b/>
                <w:color w:val="auto"/>
                <w:sz w:val="21"/>
                <w:szCs w:val="21"/>
                <w:highlight w:val="none"/>
              </w:rPr>
              <w:t>面</w:t>
            </w:r>
          </w:p>
        </w:tc>
        <w:tc>
          <w:tcPr>
            <w:tcW w:w="1809" w:type="dxa"/>
            <w:noWrap w:val="0"/>
            <w:vAlign w:val="center"/>
          </w:tcPr>
          <w:p>
            <w:pPr>
              <w:pStyle w:val="195"/>
              <w:spacing w:line="240" w:lineRule="auto"/>
              <w:ind w:left="0" w:leftChars="-1" w:hanging="2" w:hangingChars="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一天抹洗两次，早上下午各一次。</w:t>
            </w:r>
          </w:p>
        </w:tc>
        <w:tc>
          <w:tcPr>
            <w:tcW w:w="1891" w:type="dxa"/>
            <w:noWrap w:val="0"/>
            <w:vAlign w:val="center"/>
          </w:tcPr>
          <w:p>
            <w:pPr>
              <w:pStyle w:val="195"/>
              <w:spacing w:line="240" w:lineRule="auto"/>
              <w:ind w:right="37"/>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一天抹洗两次，早上下午各一次。</w:t>
            </w:r>
          </w:p>
        </w:tc>
        <w:tc>
          <w:tcPr>
            <w:tcW w:w="1890" w:type="dxa"/>
            <w:noWrap w:val="0"/>
            <w:vAlign w:val="center"/>
          </w:tcPr>
          <w:p>
            <w:pPr>
              <w:pStyle w:val="195"/>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一天抹洗两次，早上下午各一次。</w:t>
            </w:r>
          </w:p>
        </w:tc>
        <w:tc>
          <w:tcPr>
            <w:tcW w:w="1888" w:type="dxa"/>
            <w:noWrap w:val="0"/>
            <w:vAlign w:val="center"/>
          </w:tcPr>
          <w:p>
            <w:pPr>
              <w:pStyle w:val="195"/>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一天抹洗两次，早上下午各一次。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top"/>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top"/>
          </w:tcPr>
          <w:p>
            <w:pPr>
              <w:pStyle w:val="195"/>
              <w:spacing w:before="151" w:line="240" w:lineRule="auto"/>
              <w:ind w:left="108" w:right="9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pacing w:val="-11"/>
                <w:sz w:val="21"/>
                <w:szCs w:val="21"/>
                <w:highlight w:val="none"/>
              </w:rPr>
              <w:t>标示牌、园灯、</w:t>
            </w:r>
            <w:r>
              <w:rPr>
                <w:rFonts w:hint="eastAsia" w:asciiTheme="minorEastAsia" w:hAnsiTheme="minorEastAsia" w:eastAsiaTheme="minorEastAsia" w:cstheme="minorEastAsia"/>
                <w:b/>
                <w:color w:val="auto"/>
                <w:spacing w:val="6"/>
                <w:sz w:val="21"/>
                <w:szCs w:val="21"/>
                <w:highlight w:val="none"/>
              </w:rPr>
              <w:t>围栏、通讯电力设备箱等设施的外表面</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两周抹洗一次</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两周抹洗一次。</w:t>
            </w:r>
          </w:p>
        </w:tc>
        <w:tc>
          <w:tcPr>
            <w:tcW w:w="1890" w:type="dxa"/>
            <w:noWrap w:val="0"/>
            <w:vAlign w:val="center"/>
          </w:tcPr>
          <w:p>
            <w:pPr>
              <w:pStyle w:val="195"/>
              <w:spacing w:line="240" w:lineRule="auto"/>
              <w:ind w:right="509"/>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两周抹洗一次。</w:t>
            </w:r>
          </w:p>
        </w:tc>
        <w:tc>
          <w:tcPr>
            <w:tcW w:w="1888" w:type="dxa"/>
            <w:noWrap w:val="0"/>
            <w:vAlign w:val="center"/>
          </w:tcPr>
          <w:p>
            <w:pPr>
              <w:pStyle w:val="195"/>
              <w:spacing w:line="240" w:lineRule="auto"/>
              <w:ind w:right="50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两周抹洗一次。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restart"/>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4</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园林</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建筑</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与小</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品保</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洁</w:t>
            </w:r>
          </w:p>
        </w:tc>
        <w:tc>
          <w:tcPr>
            <w:tcW w:w="1012" w:type="dxa"/>
            <w:noWrap w:val="0"/>
            <w:vAlign w:val="center"/>
          </w:tcPr>
          <w:p>
            <w:pPr>
              <w:pStyle w:val="195"/>
              <w:spacing w:before="151" w:line="240" w:lineRule="auto"/>
              <w:ind w:left="108" w:right="95"/>
              <w:rPr>
                <w:rFonts w:hint="eastAsia" w:asciiTheme="minorEastAsia" w:hAnsiTheme="minorEastAsia" w:eastAsiaTheme="minorEastAsia" w:cstheme="minorEastAsia"/>
                <w:b/>
                <w:color w:val="auto"/>
                <w:spacing w:val="-11"/>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亭、台、楼、阁、榭及其他园林建筑的地面</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一天清扫两次，早上</w:t>
            </w:r>
            <w:r>
              <w:rPr>
                <w:rFonts w:hint="eastAsia" w:asciiTheme="minorEastAsia" w:hAnsiTheme="minorEastAsia" w:eastAsiaTheme="minorEastAsia" w:cstheme="minorEastAsia"/>
                <w:color w:val="auto"/>
                <w:spacing w:val="-7"/>
                <w:sz w:val="21"/>
                <w:szCs w:val="21"/>
                <w:highlight w:val="none"/>
              </w:rPr>
              <w:t>下午各一次，其他时间随见随扫；两周清洗一次，其他时间随</w:t>
            </w:r>
            <w:r>
              <w:rPr>
                <w:rFonts w:hint="eastAsia" w:asciiTheme="minorEastAsia" w:hAnsiTheme="minorEastAsia" w:eastAsiaTheme="minorEastAsia" w:cstheme="minorEastAsia"/>
                <w:color w:val="auto"/>
                <w:sz w:val="21"/>
                <w:szCs w:val="21"/>
                <w:highlight w:val="none"/>
              </w:rPr>
              <w:t>脏随洗。</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一天清扫两次，早上下午各一次，其他时间随见随扫；两周清洗一次，其他时间随脏随洗。</w:t>
            </w:r>
          </w:p>
        </w:tc>
        <w:tc>
          <w:tcPr>
            <w:tcW w:w="1890" w:type="dxa"/>
            <w:noWrap w:val="0"/>
            <w:vAlign w:val="center"/>
          </w:tcPr>
          <w:p>
            <w:pPr>
              <w:pStyle w:val="195"/>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一天清扫两次，早上下午各一次，其他时间随见随扫；两周清洗一次，其他时间随脏随洗。</w:t>
            </w:r>
          </w:p>
        </w:tc>
        <w:tc>
          <w:tcPr>
            <w:tcW w:w="1888" w:type="dxa"/>
            <w:noWrap w:val="0"/>
            <w:vAlign w:val="center"/>
          </w:tcPr>
          <w:p>
            <w:pPr>
              <w:pStyle w:val="195"/>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一天清扫两次，早上下午各一次，其他时间随见随扫；两周清洗一次，其他时间随脏随洗。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before="151" w:line="240" w:lineRule="auto"/>
              <w:ind w:left="108" w:right="95"/>
              <w:rPr>
                <w:rFonts w:hint="eastAsia" w:asciiTheme="minorEastAsia" w:hAnsiTheme="minorEastAsia" w:eastAsiaTheme="minorEastAsia" w:cstheme="minorEastAsia"/>
                <w:b/>
                <w:color w:val="auto"/>
                <w:spacing w:val="-11"/>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亭、台、楼、阁、榭及其他园林建筑的立柱与内表面</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一天抹洗一次。</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两天抹洗一次。</w:t>
            </w:r>
          </w:p>
        </w:tc>
        <w:tc>
          <w:tcPr>
            <w:tcW w:w="1890" w:type="dxa"/>
            <w:noWrap w:val="0"/>
            <w:vAlign w:val="center"/>
          </w:tcPr>
          <w:p>
            <w:pPr>
              <w:pStyle w:val="195"/>
              <w:spacing w:line="240" w:lineRule="auto"/>
              <w:ind w:right="509"/>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三天抹洗一次。</w:t>
            </w:r>
          </w:p>
        </w:tc>
        <w:tc>
          <w:tcPr>
            <w:tcW w:w="1888" w:type="dxa"/>
            <w:noWrap w:val="0"/>
            <w:vAlign w:val="center"/>
          </w:tcPr>
          <w:p>
            <w:pPr>
              <w:pStyle w:val="195"/>
              <w:spacing w:line="240" w:lineRule="auto"/>
              <w:ind w:right="50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一周抹洗一次。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before="51" w:line="240" w:lineRule="auto"/>
              <w:ind w:left="108" w:right="95"/>
              <w:rPr>
                <w:rFonts w:hint="eastAsia" w:asciiTheme="minorEastAsia" w:hAnsiTheme="minorEastAsia" w:eastAsiaTheme="minorEastAsia" w:cstheme="minorEastAsia"/>
                <w:b/>
                <w:color w:val="auto"/>
                <w:spacing w:val="-11"/>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亭、台、楼、阁、榭及其他园林建筑的屋顶</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一月清理一次。</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一月清理一次。</w:t>
            </w:r>
          </w:p>
        </w:tc>
        <w:tc>
          <w:tcPr>
            <w:tcW w:w="1890" w:type="dxa"/>
            <w:noWrap w:val="0"/>
            <w:vAlign w:val="center"/>
          </w:tcPr>
          <w:p>
            <w:pPr>
              <w:pStyle w:val="195"/>
              <w:spacing w:line="240" w:lineRule="auto"/>
              <w:ind w:right="509"/>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一月清理一次。</w:t>
            </w:r>
          </w:p>
        </w:tc>
        <w:tc>
          <w:tcPr>
            <w:tcW w:w="1888" w:type="dxa"/>
            <w:noWrap w:val="0"/>
            <w:vAlign w:val="center"/>
          </w:tcPr>
          <w:p>
            <w:pPr>
              <w:pStyle w:val="195"/>
              <w:spacing w:line="240" w:lineRule="auto"/>
              <w:ind w:right="50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一月清理一次。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before="151" w:line="240" w:lineRule="auto"/>
              <w:ind w:left="108" w:right="95"/>
              <w:rPr>
                <w:rFonts w:hint="eastAsia" w:asciiTheme="minorEastAsia" w:hAnsiTheme="minorEastAsia" w:eastAsiaTheme="minorEastAsia" w:cstheme="minorEastAsia"/>
                <w:b/>
                <w:color w:val="auto"/>
                <w:spacing w:val="-11"/>
                <w:sz w:val="21"/>
                <w:szCs w:val="21"/>
                <w:highlight w:val="none"/>
              </w:rPr>
            </w:pPr>
            <w:r>
              <w:rPr>
                <w:rFonts w:hint="eastAsia" w:asciiTheme="minorEastAsia" w:hAnsiTheme="minorEastAsia" w:eastAsiaTheme="minorEastAsia" w:cstheme="minorEastAsia"/>
                <w:b/>
                <w:color w:val="auto"/>
                <w:sz w:val="21"/>
                <w:szCs w:val="21"/>
                <w:highlight w:val="none"/>
              </w:rPr>
              <w:t>假山叠石</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一天清扫一次，一月清理一次。</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两天清扫一次，一月清理一次。</w:t>
            </w:r>
          </w:p>
        </w:tc>
        <w:tc>
          <w:tcPr>
            <w:tcW w:w="1890" w:type="dxa"/>
            <w:noWrap w:val="0"/>
            <w:vAlign w:val="center"/>
          </w:tcPr>
          <w:p>
            <w:pPr>
              <w:pStyle w:val="195"/>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一周清扫一次，一月清理一次。</w:t>
            </w:r>
          </w:p>
        </w:tc>
        <w:tc>
          <w:tcPr>
            <w:tcW w:w="1888" w:type="dxa"/>
            <w:noWrap w:val="0"/>
            <w:vAlign w:val="center"/>
          </w:tcPr>
          <w:p>
            <w:pPr>
              <w:pStyle w:val="195"/>
              <w:spacing w:line="240" w:lineRule="auto"/>
              <w:ind w:right="-1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一周清扫一次，一月清理一次。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before="151" w:line="240" w:lineRule="auto"/>
              <w:ind w:left="108" w:right="95"/>
              <w:rPr>
                <w:rFonts w:hint="eastAsia" w:asciiTheme="minorEastAsia" w:hAnsiTheme="minorEastAsia" w:eastAsiaTheme="minorEastAsia" w:cstheme="minorEastAsia"/>
                <w:b/>
                <w:color w:val="auto"/>
                <w:spacing w:val="-11"/>
                <w:sz w:val="21"/>
                <w:szCs w:val="21"/>
                <w:highlight w:val="none"/>
              </w:rPr>
            </w:pPr>
            <w:r>
              <w:rPr>
                <w:rFonts w:hint="eastAsia" w:asciiTheme="minorEastAsia" w:hAnsiTheme="minorEastAsia" w:eastAsiaTheme="minorEastAsia" w:cstheme="minorEastAsia"/>
                <w:b/>
                <w:color w:val="auto"/>
                <w:sz w:val="21"/>
                <w:szCs w:val="21"/>
                <w:highlight w:val="none"/>
              </w:rPr>
              <w:t>景墙、雕塑等园林小品</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一周抹洗一次。</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一周抹洗一次。</w:t>
            </w:r>
          </w:p>
        </w:tc>
        <w:tc>
          <w:tcPr>
            <w:tcW w:w="1890" w:type="dxa"/>
            <w:noWrap w:val="0"/>
            <w:vAlign w:val="center"/>
          </w:tcPr>
          <w:p>
            <w:pPr>
              <w:pStyle w:val="195"/>
              <w:spacing w:line="240" w:lineRule="auto"/>
              <w:ind w:right="509"/>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一周抹洗一次。</w:t>
            </w:r>
          </w:p>
        </w:tc>
        <w:tc>
          <w:tcPr>
            <w:tcW w:w="1888" w:type="dxa"/>
            <w:noWrap w:val="0"/>
            <w:vAlign w:val="center"/>
          </w:tcPr>
          <w:p>
            <w:pPr>
              <w:pStyle w:val="195"/>
              <w:spacing w:line="240" w:lineRule="auto"/>
              <w:ind w:right="50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一周抹洗一次。</w:t>
            </w:r>
          </w:p>
        </w:tc>
      </w:tr>
    </w:tbl>
    <w:p>
      <w:pPr>
        <w:pStyle w:val="2"/>
        <w:keepNext w:val="0"/>
        <w:keepLines w:val="0"/>
        <w:pageBreakBefore w:val="0"/>
        <w:widowControl w:val="0"/>
        <w:kinsoku/>
        <w:wordWrap/>
        <w:overflowPunct/>
        <w:topLinePunct w:val="0"/>
        <w:autoSpaceDE/>
        <w:autoSpaceDN/>
        <w:bidi w:val="0"/>
        <w:spacing w:line="240" w:lineRule="auto"/>
        <w:textAlignment w:val="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widowControl w:val="0"/>
        <w:numPr>
          <w:ilvl w:val="6"/>
          <w:numId w:val="44"/>
        </w:numPr>
        <w:kinsoku/>
        <w:wordWrap/>
        <w:overflowPunct/>
        <w:topLinePunct w:val="0"/>
        <w:autoSpaceDE/>
        <w:autoSpaceDN/>
        <w:bidi w:val="0"/>
        <w:adjustRightInd w:val="0"/>
        <w:snapToGrid w:val="0"/>
        <w:spacing w:line="240" w:lineRule="auto"/>
        <w:ind w:left="0" w:firstLine="421" w:firstLineChars="200"/>
        <w:jc w:val="both"/>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公园林地保洁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一级林地：应做到无生活垃圾、无建筑垃圾、无大型枯枝、无片状倒树、无死树。</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二级林地：应做到无生活垃圾、无中大型建筑垃圾、无片状倒树、无片状死树。</w:t>
      </w:r>
    </w:p>
    <w:p>
      <w:pPr>
        <w:pStyle w:val="70"/>
        <w:keepNext w:val="0"/>
        <w:keepLines w:val="0"/>
        <w:pageBreakBefore w:val="0"/>
        <w:widowControl w:val="0"/>
        <w:numPr>
          <w:ilvl w:val="6"/>
          <w:numId w:val="44"/>
        </w:numPr>
        <w:kinsoku/>
        <w:wordWrap/>
        <w:overflowPunct/>
        <w:topLinePunct w:val="0"/>
        <w:autoSpaceDE/>
        <w:autoSpaceDN/>
        <w:bidi w:val="0"/>
        <w:adjustRightInd w:val="0"/>
        <w:snapToGrid w:val="0"/>
        <w:spacing w:line="240" w:lineRule="auto"/>
        <w:ind w:left="0" w:firstLine="421" w:firstLineChars="200"/>
        <w:jc w:val="both"/>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公园水体保洁</w:t>
      </w:r>
    </w:p>
    <w:p>
      <w:pPr>
        <w:pStyle w:val="70"/>
        <w:keepNext w:val="0"/>
        <w:keepLines w:val="0"/>
        <w:pageBreakBefore w:val="0"/>
        <w:widowControl w:val="0"/>
        <w:numPr>
          <w:ilvl w:val="0"/>
          <w:numId w:val="90"/>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公园水体保洁要求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落实湖面每日全面打捞，动态清洁；</w:t>
      </w:r>
      <w:r>
        <w:rPr>
          <w:rFonts w:hint="eastAsia" w:asciiTheme="minorEastAsia" w:hAnsiTheme="minorEastAsia" w:eastAsiaTheme="minorEastAsia" w:cstheme="minorEastAsia"/>
          <w:color w:val="auto"/>
          <w:sz w:val="21"/>
          <w:szCs w:val="21"/>
          <w:highlight w:val="none"/>
        </w:rPr>
        <w:t>应做到水面洁净，无漂浮生活垃圾，无漂浮动植物残体及杂物。</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以水泥抹面、马赛克、花岗岩、水磨石、鹅卵石等为面层材料，无水生植物种植的小型景观水体的池壁、池底，应做到池底无明显沉积，池壁无明显污渍。</w:t>
      </w:r>
    </w:p>
    <w:p>
      <w:pPr>
        <w:pStyle w:val="70"/>
        <w:keepNext w:val="0"/>
        <w:keepLines w:val="0"/>
        <w:pageBreakBefore w:val="0"/>
        <w:widowControl w:val="0"/>
        <w:numPr>
          <w:ilvl w:val="0"/>
          <w:numId w:val="90"/>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公园水体保洁操作规程</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湖、河、溪流、泊、池等水体一天打捞两次，早上下午各一次。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以水泥抹面、马赛克、花岗岩、水磨石、鹅卵石等为面层材料的无水生植物种植的小型景观水体的池壁、池底，一月清洗一次。</w:t>
      </w:r>
    </w:p>
    <w:p>
      <w:pPr>
        <w:pStyle w:val="70"/>
        <w:keepNext w:val="0"/>
        <w:keepLines w:val="0"/>
        <w:pageBreakBefore w:val="0"/>
        <w:widowControl w:val="0"/>
        <w:numPr>
          <w:ilvl w:val="5"/>
          <w:numId w:val="43"/>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绿化养护</w:t>
      </w:r>
    </w:p>
    <w:p>
      <w:pPr>
        <w:pStyle w:val="70"/>
        <w:keepNext w:val="0"/>
        <w:keepLines w:val="0"/>
        <w:pageBreakBefore w:val="0"/>
        <w:widowControl w:val="0"/>
        <w:numPr>
          <w:ilvl w:val="6"/>
          <w:numId w:val="9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一般要求</w:t>
      </w:r>
    </w:p>
    <w:p>
      <w:pPr>
        <w:pStyle w:val="70"/>
        <w:keepNext w:val="0"/>
        <w:keepLines w:val="0"/>
        <w:pageBreakBefore w:val="0"/>
        <w:widowControl w:val="0"/>
        <w:numPr>
          <w:ilvl w:val="0"/>
          <w:numId w:val="92"/>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遵照公园总体规划，营造健康有序、环境优美的园林景观。</w:t>
      </w:r>
    </w:p>
    <w:p>
      <w:pPr>
        <w:pStyle w:val="70"/>
        <w:keepNext w:val="0"/>
        <w:keepLines w:val="0"/>
        <w:pageBreakBefore w:val="0"/>
        <w:widowControl w:val="0"/>
        <w:numPr>
          <w:ilvl w:val="0"/>
          <w:numId w:val="92"/>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园内主要植物应设置植物标识牌，标明植物名称及相关科普知识，及时更换破损标牌。</w:t>
      </w:r>
    </w:p>
    <w:p>
      <w:pPr>
        <w:pStyle w:val="70"/>
        <w:keepNext w:val="0"/>
        <w:keepLines w:val="0"/>
        <w:pageBreakBefore w:val="0"/>
        <w:widowControl w:val="0"/>
        <w:numPr>
          <w:ilvl w:val="0"/>
          <w:numId w:val="92"/>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居民区附近区域，节假日及工作日的休息时段（上午8:00 前、中午12:00-14:00）内不应使用油锯、绿篱机、剪草机等噪音较大的绿化机械工具。</w:t>
      </w:r>
    </w:p>
    <w:p>
      <w:pPr>
        <w:pStyle w:val="70"/>
        <w:keepNext w:val="0"/>
        <w:keepLines w:val="0"/>
        <w:pageBreakBefore w:val="0"/>
        <w:widowControl w:val="0"/>
        <w:numPr>
          <w:ilvl w:val="0"/>
          <w:numId w:val="92"/>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节假日和游人较多时不宜进行喷洒农药、修剪乔木与草坪等影响游人活动的绿化养护工作。</w:t>
      </w:r>
    </w:p>
    <w:p>
      <w:pPr>
        <w:pStyle w:val="70"/>
        <w:keepNext w:val="0"/>
        <w:keepLines w:val="0"/>
        <w:pageBreakBefore w:val="0"/>
        <w:widowControl w:val="0"/>
        <w:numPr>
          <w:ilvl w:val="0"/>
          <w:numId w:val="92"/>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病虫害防治工作应符合以下规定：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贯彻“以防为主，综合治理”的方针，做好病虫害监测工作；</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提倡生物防治与物理防治，不得使用国家明令禁止的高毒、高残留农药；</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及时清除、销毁病虫枯死枝；</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喷洒农药时应设立警示标识，做好安全保护措施。</w:t>
      </w:r>
    </w:p>
    <w:p>
      <w:pPr>
        <w:pStyle w:val="70"/>
        <w:keepNext w:val="0"/>
        <w:keepLines w:val="0"/>
        <w:pageBreakBefore w:val="0"/>
        <w:widowControl w:val="0"/>
        <w:numPr>
          <w:ilvl w:val="0"/>
          <w:numId w:val="92"/>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不宜使用有明显异味或臭味的肥料。</w:t>
      </w:r>
    </w:p>
    <w:p>
      <w:pPr>
        <w:pStyle w:val="70"/>
        <w:keepNext w:val="0"/>
        <w:keepLines w:val="0"/>
        <w:pageBreakBefore w:val="0"/>
        <w:widowControl w:val="0"/>
        <w:numPr>
          <w:ilvl w:val="0"/>
          <w:numId w:val="92"/>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pStyle w:val="70"/>
        <w:keepNext w:val="0"/>
        <w:keepLines w:val="0"/>
        <w:pageBreakBefore w:val="0"/>
        <w:widowControl w:val="0"/>
        <w:numPr>
          <w:ilvl w:val="6"/>
          <w:numId w:val="9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绿地植物养护</w:t>
      </w:r>
    </w:p>
    <w:p>
      <w:pPr>
        <w:pStyle w:val="70"/>
        <w:keepNext w:val="0"/>
        <w:keepLines w:val="0"/>
        <w:pageBreakBefore w:val="0"/>
        <w:widowControl w:val="0"/>
        <w:numPr>
          <w:ilvl w:val="0"/>
          <w:numId w:val="93"/>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分级管理要求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绿地植物养护的分级管理应符合下表要求：</w:t>
      </w:r>
    </w:p>
    <w:p>
      <w:pPr>
        <w:adjustRightInd w:val="0"/>
        <w:snapToGrid w:val="0"/>
        <w:spacing w:before="120" w:beforeLines="50" w:after="120" w:afterLines="50"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植物养护分级管理要求</w:t>
      </w:r>
    </w:p>
    <w:tbl>
      <w:tblPr>
        <w:tblStyle w:val="42"/>
        <w:tblW w:w="86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134"/>
        <w:gridCol w:w="2283"/>
        <w:gridCol w:w="1915"/>
        <w:gridCol w:w="1614"/>
        <w:gridCol w:w="168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tblHeader/>
          <w:jc w:val="center"/>
        </w:trPr>
        <w:tc>
          <w:tcPr>
            <w:tcW w:w="1134" w:type="dxa"/>
            <w:tcBorders>
              <w:top w:val="single" w:color="000000" w:sz="8" w:space="0"/>
              <w:left w:val="single" w:color="000000" w:sz="8" w:space="0"/>
              <w:bottom w:val="single" w:color="000000" w:sz="8" w:space="0"/>
              <w:right w:val="single" w:color="000000" w:sz="4" w:space="0"/>
            </w:tcBorders>
            <w:noWrap w:val="0"/>
            <w:vAlign w:val="center"/>
          </w:tcPr>
          <w:p>
            <w:pPr>
              <w:pStyle w:val="195"/>
              <w:tabs>
                <w:tab w:val="left" w:pos="284"/>
              </w:tabs>
              <w:spacing w:before="41"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sz w:val="21"/>
                <w:szCs w:val="21"/>
                <w:highlight w:val="none"/>
              </w:rPr>
              <w:t>类别</w:t>
            </w:r>
          </w:p>
        </w:tc>
        <w:tc>
          <w:tcPr>
            <w:tcW w:w="2283" w:type="dxa"/>
            <w:tcBorders>
              <w:top w:val="single" w:color="000000" w:sz="8" w:space="0"/>
              <w:left w:val="nil"/>
              <w:bottom w:val="single" w:color="000000" w:sz="8" w:space="0"/>
              <w:right w:val="single" w:color="000000" w:sz="4" w:space="0"/>
            </w:tcBorders>
            <w:noWrap w:val="0"/>
            <w:vAlign w:val="center"/>
          </w:tcPr>
          <w:p>
            <w:pPr>
              <w:pStyle w:val="195"/>
              <w:spacing w:before="41" w:line="240" w:lineRule="auto"/>
              <w:ind w:left="765" w:right="748"/>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特级绿地</w:t>
            </w:r>
          </w:p>
        </w:tc>
        <w:tc>
          <w:tcPr>
            <w:tcW w:w="1915" w:type="dxa"/>
            <w:tcBorders>
              <w:top w:val="single" w:color="000000" w:sz="8" w:space="0"/>
              <w:left w:val="nil"/>
              <w:bottom w:val="single" w:color="000000" w:sz="8" w:space="0"/>
              <w:right w:val="single" w:color="000000" w:sz="4" w:space="0"/>
            </w:tcBorders>
            <w:noWrap w:val="0"/>
            <w:vAlign w:val="center"/>
          </w:tcPr>
          <w:p>
            <w:pPr>
              <w:pStyle w:val="195"/>
              <w:spacing w:before="41" w:line="240" w:lineRule="auto"/>
              <w:ind w:left="59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一级绿地</w:t>
            </w:r>
          </w:p>
        </w:tc>
        <w:tc>
          <w:tcPr>
            <w:tcW w:w="1614" w:type="dxa"/>
            <w:tcBorders>
              <w:top w:val="single" w:color="000000" w:sz="8" w:space="0"/>
              <w:left w:val="nil"/>
              <w:bottom w:val="single" w:color="000000" w:sz="8" w:space="0"/>
              <w:right w:val="single" w:color="000000" w:sz="4" w:space="0"/>
            </w:tcBorders>
            <w:noWrap w:val="0"/>
            <w:vAlign w:val="center"/>
          </w:tcPr>
          <w:p>
            <w:pPr>
              <w:pStyle w:val="195"/>
              <w:spacing w:before="41" w:line="240" w:lineRule="auto"/>
              <w:ind w:left="59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二级绿地</w:t>
            </w:r>
          </w:p>
        </w:tc>
        <w:tc>
          <w:tcPr>
            <w:tcW w:w="1684" w:type="dxa"/>
            <w:tcBorders>
              <w:top w:val="single" w:color="000000" w:sz="8" w:space="0"/>
              <w:left w:val="nil"/>
              <w:bottom w:val="single" w:color="000000" w:sz="8" w:space="0"/>
              <w:right w:val="single" w:color="000000" w:sz="8" w:space="0"/>
            </w:tcBorders>
            <w:noWrap w:val="0"/>
            <w:vAlign w:val="center"/>
          </w:tcPr>
          <w:p>
            <w:pPr>
              <w:pStyle w:val="195"/>
              <w:spacing w:before="41" w:line="240" w:lineRule="auto"/>
              <w:ind w:left="59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三级绿地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63" w:hRule="atLeast"/>
          <w:jc w:val="center"/>
        </w:trPr>
        <w:tc>
          <w:tcPr>
            <w:tcW w:w="1134" w:type="dxa"/>
            <w:tcBorders>
              <w:top w:val="single" w:color="000000" w:sz="8" w:space="0"/>
              <w:left w:val="single" w:color="000000" w:sz="8" w:space="0"/>
              <w:bottom w:val="single" w:color="000000" w:sz="4" w:space="0"/>
              <w:right w:val="single" w:color="000000" w:sz="4" w:space="0"/>
            </w:tcBorders>
            <w:noWrap w:val="0"/>
            <w:vAlign w:val="center"/>
          </w:tcPr>
          <w:p>
            <w:pPr>
              <w:pStyle w:val="195"/>
              <w:spacing w:before="1" w:line="240" w:lineRule="auto"/>
              <w:ind w:right="55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w:t>
            </w:r>
          </w:p>
        </w:tc>
        <w:tc>
          <w:tcPr>
            <w:tcW w:w="2283" w:type="dxa"/>
            <w:tcBorders>
              <w:top w:val="single" w:color="000000" w:sz="8" w:space="0"/>
              <w:left w:val="nil"/>
              <w:bottom w:val="single" w:color="000000" w:sz="4" w:space="0"/>
              <w:right w:val="single" w:color="000000" w:sz="4" w:space="0"/>
            </w:tcBorders>
            <w:noWrap w:val="0"/>
            <w:vAlign w:val="center"/>
          </w:tcPr>
          <w:p>
            <w:pPr>
              <w:pStyle w:val="195"/>
              <w:spacing w:before="9"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生长旺盛，枝叶健壮，树形美观，行道树上缘线和下缘线整齐，修剪适度， 无死树缺株，无枯枝残叶， 景观效果优美。</w:t>
            </w:r>
          </w:p>
        </w:tc>
        <w:tc>
          <w:tcPr>
            <w:tcW w:w="1915" w:type="dxa"/>
            <w:tcBorders>
              <w:top w:val="single" w:color="000000" w:sz="8" w:space="0"/>
              <w:left w:val="nil"/>
              <w:bottom w:val="single" w:color="000000" w:sz="4" w:space="0"/>
              <w:right w:val="single" w:color="000000" w:sz="4" w:space="0"/>
            </w:tcBorders>
            <w:noWrap w:val="0"/>
            <w:vAlign w:val="center"/>
          </w:tcPr>
          <w:p>
            <w:pPr>
              <w:pStyle w:val="195"/>
              <w:spacing w:before="7"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111" w:righ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 xml:space="preserve">生长旺盛，枝叶健壮， </w:t>
            </w:r>
            <w:r>
              <w:rPr>
                <w:rFonts w:hint="eastAsia" w:asciiTheme="minorEastAsia" w:hAnsiTheme="minorEastAsia" w:eastAsiaTheme="minorEastAsia" w:cstheme="minorEastAsia"/>
                <w:color w:val="auto"/>
                <w:spacing w:val="9"/>
                <w:sz w:val="21"/>
                <w:szCs w:val="21"/>
                <w:highlight w:val="none"/>
              </w:rPr>
              <w:t>树形美观，行道树上缘线和下缘线基本整齐，修剪适度，无死树缺株，基本无枯枝</w:t>
            </w:r>
            <w:r>
              <w:rPr>
                <w:rFonts w:hint="eastAsia" w:asciiTheme="minorEastAsia" w:hAnsiTheme="minorEastAsia" w:eastAsiaTheme="minorEastAsia" w:cstheme="minorEastAsia"/>
                <w:color w:val="auto"/>
                <w:spacing w:val="-5"/>
                <w:sz w:val="21"/>
                <w:szCs w:val="21"/>
                <w:highlight w:val="none"/>
              </w:rPr>
              <w:t>残叶，景观效果良好。</w:t>
            </w:r>
          </w:p>
        </w:tc>
        <w:tc>
          <w:tcPr>
            <w:tcW w:w="1614" w:type="dxa"/>
            <w:tcBorders>
              <w:top w:val="single" w:color="000000" w:sz="8" w:space="0"/>
              <w:left w:val="nil"/>
              <w:bottom w:val="single" w:color="000000" w:sz="4" w:space="0"/>
              <w:right w:val="single" w:color="000000" w:sz="4" w:space="0"/>
            </w:tcBorders>
            <w:noWrap w:val="0"/>
            <w:vAlign w:val="center"/>
          </w:tcPr>
          <w:p>
            <w:pPr>
              <w:pStyle w:val="195"/>
              <w:spacing w:line="240" w:lineRule="auto"/>
              <w:ind w:left="110" w:right="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 xml:space="preserve">生长良好，枝叶健壮， </w:t>
            </w:r>
            <w:r>
              <w:rPr>
                <w:rFonts w:hint="eastAsia" w:asciiTheme="minorEastAsia" w:hAnsiTheme="minorEastAsia" w:eastAsiaTheme="minorEastAsia" w:cstheme="minorEastAsia"/>
                <w:color w:val="auto"/>
                <w:spacing w:val="9"/>
                <w:sz w:val="21"/>
                <w:szCs w:val="21"/>
                <w:highlight w:val="none"/>
              </w:rPr>
              <w:t>树形美观，无死树缺</w:t>
            </w:r>
            <w:r>
              <w:rPr>
                <w:rFonts w:hint="eastAsia" w:asciiTheme="minorEastAsia" w:hAnsiTheme="minorEastAsia" w:eastAsiaTheme="minorEastAsia" w:cstheme="minorEastAsia"/>
                <w:color w:val="auto"/>
                <w:spacing w:val="-5"/>
                <w:sz w:val="21"/>
                <w:szCs w:val="21"/>
                <w:highlight w:val="none"/>
              </w:rPr>
              <w:t>株，基本无枯枝残叶。</w:t>
            </w:r>
          </w:p>
        </w:tc>
        <w:tc>
          <w:tcPr>
            <w:tcW w:w="1684" w:type="dxa"/>
            <w:tcBorders>
              <w:top w:val="single" w:color="000000" w:sz="8" w:space="0"/>
              <w:left w:val="nil"/>
              <w:bottom w:val="single" w:color="000000" w:sz="4" w:space="0"/>
              <w:right w:val="single" w:color="000000" w:sz="8" w:space="0"/>
            </w:tcBorders>
            <w:noWrap w:val="0"/>
            <w:vAlign w:val="center"/>
          </w:tcPr>
          <w:p>
            <w:pPr>
              <w:pStyle w:val="195"/>
              <w:spacing w:line="240" w:lineRule="auto"/>
              <w:ind w:left="1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 xml:space="preserve">生长正常，枝叶正常， </w:t>
            </w:r>
            <w:r>
              <w:rPr>
                <w:rFonts w:hint="eastAsia" w:asciiTheme="minorEastAsia" w:hAnsiTheme="minorEastAsia" w:eastAsiaTheme="minorEastAsia" w:cstheme="minorEastAsia"/>
                <w:color w:val="auto"/>
                <w:spacing w:val="9"/>
                <w:sz w:val="21"/>
                <w:szCs w:val="21"/>
                <w:highlight w:val="none"/>
              </w:rPr>
              <w:t>无死树缺株，无枯枝</w:t>
            </w:r>
            <w:r>
              <w:rPr>
                <w:rFonts w:hint="eastAsia" w:asciiTheme="minorEastAsia" w:hAnsiTheme="minorEastAsia" w:eastAsiaTheme="minorEastAsia" w:cstheme="minorEastAsia"/>
                <w:color w:val="auto"/>
                <w:sz w:val="21"/>
                <w:szCs w:val="21"/>
                <w:highlight w:val="none"/>
              </w:rPr>
              <w:t>残叶。</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7" w:hRule="atLeast"/>
          <w:jc w:val="center"/>
        </w:trPr>
        <w:tc>
          <w:tcPr>
            <w:tcW w:w="1134" w:type="dxa"/>
            <w:tcBorders>
              <w:top w:val="single" w:color="000000" w:sz="4" w:space="0"/>
              <w:left w:val="single" w:color="000000" w:sz="8" w:space="0"/>
              <w:bottom w:val="single" w:color="000000" w:sz="4" w:space="0"/>
              <w:right w:val="single" w:color="000000" w:sz="4" w:space="0"/>
            </w:tcBorders>
            <w:noWrap w:val="0"/>
            <w:vAlign w:val="center"/>
          </w:tcPr>
          <w:p>
            <w:pPr>
              <w:pStyle w:val="195"/>
              <w:spacing w:before="1" w:line="240" w:lineRule="auto"/>
              <w:ind w:right="55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w:t>
            </w:r>
          </w:p>
        </w:tc>
        <w:tc>
          <w:tcPr>
            <w:tcW w:w="2283" w:type="dxa"/>
            <w:tcBorders>
              <w:top w:val="single" w:color="000000" w:sz="4" w:space="0"/>
              <w:left w:val="nil"/>
              <w:bottom w:val="single" w:color="000000" w:sz="4" w:space="0"/>
              <w:right w:val="single" w:color="000000" w:sz="4" w:space="0"/>
            </w:tcBorders>
            <w:noWrap w:val="0"/>
            <w:vAlign w:val="center"/>
          </w:tcPr>
          <w:p>
            <w:pPr>
              <w:pStyle w:val="195"/>
              <w:spacing w:before="40" w:line="240" w:lineRule="auto"/>
              <w:ind w:left="112" w:right="8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生长旺盛，花繁叶茂，造型美观，修剪工艺精细， 植物造型具有艺术感和创</w:t>
            </w:r>
          </w:p>
          <w:p>
            <w:pPr>
              <w:pStyle w:val="195"/>
              <w:spacing w:before="2"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意。</w:t>
            </w:r>
          </w:p>
        </w:tc>
        <w:tc>
          <w:tcPr>
            <w:tcW w:w="1915" w:type="dxa"/>
            <w:tcBorders>
              <w:top w:val="single" w:color="000000" w:sz="4" w:space="0"/>
              <w:left w:val="nil"/>
              <w:bottom w:val="single" w:color="000000" w:sz="4" w:space="0"/>
              <w:right w:val="single" w:color="000000" w:sz="4" w:space="0"/>
            </w:tcBorders>
            <w:noWrap w:val="0"/>
            <w:vAlign w:val="center"/>
          </w:tcPr>
          <w:p>
            <w:pPr>
              <w:pStyle w:val="195"/>
              <w:spacing w:before="40" w:line="240" w:lineRule="auto"/>
              <w:ind w:left="111" w:righ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 xml:space="preserve">生长旺盛，花繁叶茂， 造型美观，修剪适时， </w:t>
            </w:r>
            <w:r>
              <w:rPr>
                <w:rFonts w:hint="eastAsia" w:asciiTheme="minorEastAsia" w:hAnsiTheme="minorEastAsia" w:eastAsiaTheme="minorEastAsia" w:cstheme="minorEastAsia"/>
                <w:color w:val="auto"/>
                <w:spacing w:val="9"/>
                <w:sz w:val="21"/>
                <w:szCs w:val="21"/>
                <w:highlight w:val="none"/>
              </w:rPr>
              <w:t>具有一定的艺术感和</w:t>
            </w:r>
          </w:p>
          <w:p>
            <w:pPr>
              <w:pStyle w:val="195"/>
              <w:spacing w:before="2"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立体感。</w:t>
            </w:r>
          </w:p>
        </w:tc>
        <w:tc>
          <w:tcPr>
            <w:tcW w:w="1614" w:type="dxa"/>
            <w:tcBorders>
              <w:top w:val="single" w:color="000000" w:sz="4" w:space="0"/>
              <w:left w:val="nil"/>
              <w:bottom w:val="single" w:color="000000" w:sz="4" w:space="0"/>
              <w:right w:val="single" w:color="000000" w:sz="4" w:space="0"/>
            </w:tcBorders>
            <w:noWrap w:val="0"/>
            <w:vAlign w:val="center"/>
          </w:tcPr>
          <w:p>
            <w:pPr>
              <w:pStyle w:val="195"/>
              <w:spacing w:before="4"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110" w:right="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 xml:space="preserve">生长良好，花繁叶茂， 修剪适时，轮廓清晰， </w:t>
            </w:r>
            <w:r>
              <w:rPr>
                <w:rFonts w:hint="eastAsia" w:asciiTheme="minorEastAsia" w:hAnsiTheme="minorEastAsia" w:eastAsiaTheme="minorEastAsia" w:cstheme="minorEastAsia"/>
                <w:color w:val="auto"/>
                <w:sz w:val="21"/>
                <w:szCs w:val="21"/>
                <w:highlight w:val="none"/>
              </w:rPr>
              <w:t>无残缺断层。</w:t>
            </w:r>
          </w:p>
        </w:tc>
        <w:tc>
          <w:tcPr>
            <w:tcW w:w="1684" w:type="dxa"/>
            <w:tcBorders>
              <w:top w:val="single" w:color="000000" w:sz="4" w:space="0"/>
              <w:left w:val="nil"/>
              <w:bottom w:val="single" w:color="000000" w:sz="4" w:space="0"/>
              <w:right w:val="single" w:color="000000" w:sz="8" w:space="0"/>
            </w:tcBorders>
            <w:noWrap w:val="0"/>
            <w:vAlign w:val="center"/>
          </w:tcPr>
          <w:p>
            <w:pPr>
              <w:pStyle w:val="195"/>
              <w:spacing w:before="122" w:line="240" w:lineRule="auto"/>
              <w:ind w:left="109" w:right="8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生长正常，花卉能适时开花。</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jc w:val="center"/>
        </w:trPr>
        <w:tc>
          <w:tcPr>
            <w:tcW w:w="1134" w:type="dxa"/>
            <w:tcBorders>
              <w:top w:val="single" w:color="000000" w:sz="4" w:space="0"/>
              <w:left w:val="single" w:color="000000" w:sz="8" w:space="0"/>
              <w:bottom w:val="single" w:color="000000" w:sz="4" w:space="0"/>
              <w:right w:val="single" w:color="000000" w:sz="4" w:space="0"/>
            </w:tcBorders>
            <w:noWrap w:val="0"/>
            <w:vAlign w:val="center"/>
          </w:tcPr>
          <w:p>
            <w:pPr>
              <w:pStyle w:val="195"/>
              <w:spacing w:line="240" w:lineRule="auto"/>
              <w:ind w:right="55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地被</w:t>
            </w:r>
          </w:p>
        </w:tc>
        <w:tc>
          <w:tcPr>
            <w:tcW w:w="2283" w:type="dxa"/>
            <w:tcBorders>
              <w:top w:val="single" w:color="000000" w:sz="4" w:space="0"/>
              <w:left w:val="nil"/>
              <w:bottom w:val="single" w:color="000000" w:sz="4" w:space="0"/>
              <w:right w:val="single" w:color="000000" w:sz="4"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整齐一致，高度适宜，无</w:t>
            </w:r>
          </w:p>
          <w:p>
            <w:pPr>
              <w:pStyle w:val="195"/>
              <w:spacing w:before="82"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1"/>
                <w:sz w:val="21"/>
                <w:szCs w:val="21"/>
                <w:highlight w:val="none"/>
              </w:rPr>
              <w:t xml:space="preserve">缺株，覆盖率达 </w:t>
            </w:r>
            <w:r>
              <w:rPr>
                <w:rFonts w:hint="eastAsia" w:asciiTheme="minorEastAsia" w:hAnsiTheme="minorEastAsia" w:eastAsiaTheme="minorEastAsia" w:cstheme="minorEastAsia"/>
                <w:color w:val="auto"/>
                <w:sz w:val="21"/>
                <w:szCs w:val="21"/>
                <w:highlight w:val="none"/>
              </w:rPr>
              <w:t>100%以上</w:t>
            </w:r>
          </w:p>
        </w:tc>
        <w:tc>
          <w:tcPr>
            <w:tcW w:w="1915" w:type="dxa"/>
            <w:tcBorders>
              <w:top w:val="single" w:color="000000" w:sz="4" w:space="0"/>
              <w:left w:val="nil"/>
              <w:bottom w:val="single" w:color="000000" w:sz="4" w:space="0"/>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整齐一致，高度适宜，</w:t>
            </w:r>
          </w:p>
          <w:p>
            <w:pPr>
              <w:pStyle w:val="195"/>
              <w:spacing w:before="82"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覆盖率达 98%以上</w:t>
            </w:r>
          </w:p>
        </w:tc>
        <w:tc>
          <w:tcPr>
            <w:tcW w:w="1614" w:type="dxa"/>
            <w:tcBorders>
              <w:top w:val="single" w:color="000000" w:sz="4" w:space="0"/>
              <w:left w:val="nil"/>
              <w:bottom w:val="single" w:color="000000" w:sz="4" w:space="0"/>
              <w:right w:val="single" w:color="000000" w:sz="4" w:space="0"/>
            </w:tcBorders>
            <w:noWrap w:val="0"/>
            <w:vAlign w:val="center"/>
          </w:tcPr>
          <w:p>
            <w:pPr>
              <w:pStyle w:val="195"/>
              <w:spacing w:before="4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整齐一致，高度适宜，</w:t>
            </w:r>
            <w:r>
              <w:rPr>
                <w:rFonts w:hint="eastAsia" w:asciiTheme="minorEastAsia" w:hAnsiTheme="minorEastAsia" w:eastAsiaTheme="minorEastAsia" w:cstheme="minorEastAsia"/>
                <w:color w:val="auto"/>
                <w:sz w:val="21"/>
                <w:szCs w:val="21"/>
                <w:highlight w:val="none"/>
              </w:rPr>
              <w:t>覆盖率达 95%以上</w:t>
            </w:r>
          </w:p>
        </w:tc>
        <w:tc>
          <w:tcPr>
            <w:tcW w:w="1684" w:type="dxa"/>
            <w:tcBorders>
              <w:top w:val="single" w:color="000000" w:sz="4" w:space="0"/>
              <w:left w:val="nil"/>
              <w:bottom w:val="single" w:color="000000" w:sz="4" w:space="0"/>
              <w:right w:val="single" w:color="000000" w:sz="8" w:space="0"/>
            </w:tcBorders>
            <w:noWrap w:val="0"/>
            <w:vAlign w:val="center"/>
          </w:tcPr>
          <w:p>
            <w:pPr>
              <w:pStyle w:val="195"/>
              <w:spacing w:before="40" w:line="240" w:lineRule="auto"/>
              <w:ind w:left="1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整齐一致，高度适宜，</w:t>
            </w:r>
          </w:p>
          <w:p>
            <w:pPr>
              <w:pStyle w:val="195"/>
              <w:spacing w:before="82" w:line="240" w:lineRule="auto"/>
              <w:ind w:left="1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覆盖率达 90%以上</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3" w:hRule="atLeast"/>
          <w:jc w:val="center"/>
        </w:trPr>
        <w:tc>
          <w:tcPr>
            <w:tcW w:w="1134" w:type="dxa"/>
            <w:tcBorders>
              <w:top w:val="single" w:color="000000" w:sz="4" w:space="0"/>
              <w:left w:val="single" w:color="000000" w:sz="8" w:space="0"/>
              <w:bottom w:val="single" w:color="000000" w:sz="8" w:space="0"/>
              <w:right w:val="single" w:color="000000" w:sz="4" w:space="0"/>
            </w:tcBorders>
            <w:noWrap w:val="0"/>
            <w:vAlign w:val="center"/>
          </w:tcPr>
          <w:p>
            <w:pPr>
              <w:pStyle w:val="195"/>
              <w:spacing w:line="240" w:lineRule="auto"/>
              <w:ind w:right="55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草坪</w:t>
            </w:r>
          </w:p>
        </w:tc>
        <w:tc>
          <w:tcPr>
            <w:tcW w:w="2283" w:type="dxa"/>
            <w:tcBorders>
              <w:top w:val="single" w:color="000000" w:sz="4" w:space="0"/>
              <w:left w:val="nil"/>
              <w:bottom w:val="single" w:color="000000" w:sz="8" w:space="0"/>
              <w:right w:val="single" w:color="000000" w:sz="4" w:space="0"/>
            </w:tcBorders>
            <w:noWrap w:val="0"/>
            <w:vAlign w:val="center"/>
          </w:tcPr>
          <w:p>
            <w:pPr>
              <w:pStyle w:val="195"/>
              <w:spacing w:before="41" w:line="240" w:lineRule="auto"/>
              <w:ind w:left="112" w:right="8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目的草种生长旺盛，草坪整齐雅观，四季常绿，覆</w:t>
            </w:r>
            <w:r>
              <w:rPr>
                <w:rFonts w:hint="eastAsia" w:asciiTheme="minorEastAsia" w:hAnsiTheme="minorEastAsia" w:eastAsiaTheme="minorEastAsia" w:cstheme="minorEastAsia"/>
                <w:color w:val="auto"/>
                <w:sz w:val="21"/>
                <w:szCs w:val="21"/>
                <w:highlight w:val="none"/>
              </w:rPr>
              <w:t>盖率达99%</w:t>
            </w:r>
            <w:r>
              <w:rPr>
                <w:rFonts w:hint="eastAsia" w:asciiTheme="minorEastAsia" w:hAnsiTheme="minorEastAsia" w:eastAsiaTheme="minorEastAsia" w:cstheme="minorEastAsia"/>
                <w:color w:val="auto"/>
                <w:spacing w:val="-11"/>
                <w:sz w:val="21"/>
                <w:szCs w:val="21"/>
                <w:highlight w:val="none"/>
              </w:rPr>
              <w:t>以上，杂草率低于3%</w:t>
            </w:r>
            <w:r>
              <w:rPr>
                <w:rFonts w:hint="eastAsia" w:asciiTheme="minorEastAsia" w:hAnsiTheme="minorEastAsia" w:eastAsiaTheme="minorEastAsia" w:cstheme="minorEastAsia"/>
                <w:color w:val="auto"/>
                <w:spacing w:val="-6"/>
                <w:sz w:val="21"/>
                <w:szCs w:val="21"/>
                <w:highlight w:val="none"/>
              </w:rPr>
              <w:t>，无坑洼积水，无裸</w:t>
            </w:r>
            <w:r>
              <w:rPr>
                <w:rFonts w:hint="eastAsia" w:asciiTheme="minorEastAsia" w:hAnsiTheme="minorEastAsia" w:eastAsiaTheme="minorEastAsia" w:cstheme="minorEastAsia"/>
                <w:color w:val="auto"/>
                <w:spacing w:val="6"/>
                <w:sz w:val="21"/>
                <w:szCs w:val="21"/>
                <w:highlight w:val="none"/>
              </w:rPr>
              <w:t>露地，纯草坪和混合草坪</w:t>
            </w:r>
            <w:r>
              <w:rPr>
                <w:rFonts w:hint="eastAsia" w:asciiTheme="minorEastAsia" w:hAnsiTheme="minorEastAsia" w:eastAsiaTheme="minorEastAsia" w:cstheme="minorEastAsia"/>
                <w:color w:val="auto"/>
                <w:spacing w:val="12"/>
                <w:sz w:val="21"/>
                <w:szCs w:val="21"/>
                <w:highlight w:val="none"/>
              </w:rPr>
              <w:t>的目的草种纯度达</w:t>
            </w:r>
            <w:r>
              <w:rPr>
                <w:rFonts w:hint="eastAsia" w:asciiTheme="minorEastAsia" w:hAnsiTheme="minorEastAsia" w:eastAsiaTheme="minorEastAsia" w:cstheme="minorEastAsia"/>
                <w:color w:val="auto"/>
                <w:spacing w:val="4"/>
                <w:sz w:val="21"/>
                <w:szCs w:val="21"/>
                <w:highlight w:val="none"/>
              </w:rPr>
              <w:t>97%</w:t>
            </w:r>
            <w:r>
              <w:rPr>
                <w:rFonts w:hint="eastAsia" w:asciiTheme="minorEastAsia" w:hAnsiTheme="minorEastAsia" w:eastAsiaTheme="minorEastAsia" w:cstheme="minorEastAsia"/>
                <w:color w:val="auto"/>
                <w:sz w:val="21"/>
                <w:szCs w:val="21"/>
                <w:highlight w:val="none"/>
              </w:rPr>
              <w:t>以</w:t>
            </w:r>
          </w:p>
          <w:p>
            <w:pPr>
              <w:pStyle w:val="195"/>
              <w:spacing w:before="4"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上。</w:t>
            </w:r>
          </w:p>
        </w:tc>
        <w:tc>
          <w:tcPr>
            <w:tcW w:w="1915" w:type="dxa"/>
            <w:tcBorders>
              <w:top w:val="single" w:color="000000" w:sz="4" w:space="0"/>
              <w:left w:val="nil"/>
              <w:bottom w:val="single" w:color="000000" w:sz="8" w:space="0"/>
              <w:right w:val="single" w:color="000000" w:sz="4" w:space="0"/>
            </w:tcBorders>
            <w:noWrap w:val="0"/>
            <w:vAlign w:val="center"/>
          </w:tcPr>
          <w:p>
            <w:pPr>
              <w:pStyle w:val="195"/>
              <w:spacing w:before="123" w:line="240" w:lineRule="auto"/>
              <w:ind w:left="111" w:right="8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目的草种生长旺盛， 草坪整齐雅观，四季</w:t>
            </w:r>
            <w:r>
              <w:rPr>
                <w:rFonts w:hint="eastAsia" w:asciiTheme="minorEastAsia" w:hAnsiTheme="minorEastAsia" w:eastAsiaTheme="minorEastAsia" w:cstheme="minorEastAsia"/>
                <w:color w:val="auto"/>
                <w:spacing w:val="6"/>
                <w:sz w:val="21"/>
                <w:szCs w:val="21"/>
                <w:highlight w:val="none"/>
              </w:rPr>
              <w:t xml:space="preserve">常绿，覆盖率达 </w:t>
            </w:r>
            <w:r>
              <w:rPr>
                <w:rFonts w:hint="eastAsia" w:asciiTheme="minorEastAsia" w:hAnsiTheme="minorEastAsia" w:eastAsiaTheme="minorEastAsia" w:cstheme="minorEastAsia"/>
                <w:color w:val="auto"/>
                <w:sz w:val="21"/>
                <w:szCs w:val="21"/>
                <w:highlight w:val="none"/>
              </w:rPr>
              <w:t xml:space="preserve">98% </w:t>
            </w:r>
            <w:r>
              <w:rPr>
                <w:rFonts w:hint="eastAsia" w:asciiTheme="minorEastAsia" w:hAnsiTheme="minorEastAsia" w:eastAsiaTheme="minorEastAsia" w:cstheme="minorEastAsia"/>
                <w:color w:val="auto"/>
                <w:spacing w:val="8"/>
                <w:sz w:val="21"/>
                <w:szCs w:val="21"/>
                <w:highlight w:val="none"/>
              </w:rPr>
              <w:t>以上，无坑洼积水， 无裸露地。</w:t>
            </w:r>
          </w:p>
        </w:tc>
        <w:tc>
          <w:tcPr>
            <w:tcW w:w="1614" w:type="dxa"/>
            <w:tcBorders>
              <w:top w:val="single" w:color="000000" w:sz="4" w:space="0"/>
              <w:left w:val="nil"/>
              <w:bottom w:val="single" w:color="000000" w:sz="8" w:space="0"/>
              <w:right w:val="single" w:color="000000" w:sz="4" w:space="0"/>
            </w:tcBorders>
            <w:noWrap w:val="0"/>
            <w:vAlign w:val="center"/>
          </w:tcPr>
          <w:p>
            <w:pPr>
              <w:pStyle w:val="195"/>
              <w:spacing w:before="123" w:line="240" w:lineRule="auto"/>
              <w:ind w:left="110" w:right="8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目的草种生长良好， 草坪整齐雅观，四季</w:t>
            </w:r>
            <w:r>
              <w:rPr>
                <w:rFonts w:hint="eastAsia" w:asciiTheme="minorEastAsia" w:hAnsiTheme="minorEastAsia" w:eastAsiaTheme="minorEastAsia" w:cstheme="minorEastAsia"/>
                <w:color w:val="auto"/>
                <w:spacing w:val="6"/>
                <w:sz w:val="21"/>
                <w:szCs w:val="21"/>
                <w:highlight w:val="none"/>
              </w:rPr>
              <w:t xml:space="preserve">常绿，覆盖率达 </w:t>
            </w:r>
            <w:r>
              <w:rPr>
                <w:rFonts w:hint="eastAsia" w:asciiTheme="minorEastAsia" w:hAnsiTheme="minorEastAsia" w:eastAsiaTheme="minorEastAsia" w:cstheme="minorEastAsia"/>
                <w:color w:val="auto"/>
                <w:sz w:val="21"/>
                <w:szCs w:val="21"/>
                <w:highlight w:val="none"/>
              </w:rPr>
              <w:t xml:space="preserve">95% </w:t>
            </w:r>
            <w:r>
              <w:rPr>
                <w:rFonts w:hint="eastAsia" w:asciiTheme="minorEastAsia" w:hAnsiTheme="minorEastAsia" w:eastAsiaTheme="minorEastAsia" w:cstheme="minorEastAsia"/>
                <w:color w:val="auto"/>
                <w:spacing w:val="8"/>
                <w:sz w:val="21"/>
                <w:szCs w:val="21"/>
                <w:highlight w:val="none"/>
              </w:rPr>
              <w:t>以上，无明显坑洼积水，无裸露地。</w:t>
            </w:r>
          </w:p>
        </w:tc>
        <w:tc>
          <w:tcPr>
            <w:tcW w:w="1684" w:type="dxa"/>
            <w:tcBorders>
              <w:top w:val="single" w:color="000000" w:sz="4" w:space="0"/>
              <w:left w:val="nil"/>
              <w:bottom w:val="single" w:color="000000" w:sz="8" w:space="0"/>
              <w:right w:val="single" w:color="000000" w:sz="8" w:space="0"/>
            </w:tcBorders>
            <w:noWrap w:val="0"/>
            <w:vAlign w:val="center"/>
          </w:tcPr>
          <w:p>
            <w:pPr>
              <w:pStyle w:val="195"/>
              <w:spacing w:line="240" w:lineRule="auto"/>
              <w:ind w:left="1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目的草种生长正常， 草坪整齐雅观，四季</w:t>
            </w:r>
            <w:r>
              <w:rPr>
                <w:rFonts w:hint="eastAsia" w:asciiTheme="minorEastAsia" w:hAnsiTheme="minorEastAsia" w:eastAsiaTheme="minorEastAsia" w:cstheme="minorEastAsia"/>
                <w:color w:val="auto"/>
                <w:sz w:val="21"/>
                <w:szCs w:val="21"/>
                <w:highlight w:val="none"/>
              </w:rPr>
              <w:t xml:space="preserve">常绿，覆盖率达 92% </w:t>
            </w:r>
            <w:r>
              <w:rPr>
                <w:rFonts w:hint="eastAsia" w:asciiTheme="minorEastAsia" w:hAnsiTheme="minorEastAsia" w:eastAsiaTheme="minorEastAsia" w:cstheme="minorEastAsia"/>
                <w:color w:val="auto"/>
                <w:spacing w:val="-5"/>
                <w:sz w:val="21"/>
                <w:szCs w:val="21"/>
                <w:highlight w:val="none"/>
              </w:rPr>
              <w:t>以上，无明显裸露地。</w:t>
            </w:r>
          </w:p>
        </w:tc>
      </w:tr>
    </w:tbl>
    <w:p>
      <w:pPr>
        <w:pStyle w:val="2"/>
        <w:spacing w:line="240" w:lineRule="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widowControl w:val="0"/>
        <w:numPr>
          <w:ilvl w:val="0"/>
          <w:numId w:val="93"/>
        </w:numPr>
        <w:kinsoku/>
        <w:wordWrap/>
        <w:overflowPunct/>
        <w:topLinePunct w:val="0"/>
        <w:autoSpaceDE/>
        <w:autoSpaceDN/>
        <w:bidi w:val="0"/>
        <w:adjustRightInd w:val="0"/>
        <w:snapToGrid w:val="0"/>
        <w:spacing w:line="240" w:lineRule="auto"/>
        <w:ind w:left="0" w:firstLine="1134" w:firstLineChars="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操作规程</w:t>
      </w:r>
    </w:p>
    <w:p>
      <w:pPr>
        <w:adjustRightInd w:val="0"/>
        <w:snapToGrid w:val="0"/>
        <w:spacing w:before="120" w:beforeLines="50" w:after="120" w:afterLines="50"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植物养护分级操作规程</w:t>
      </w:r>
    </w:p>
    <w:tbl>
      <w:tblPr>
        <w:tblStyle w:val="42"/>
        <w:tblW w:w="923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51"/>
        <w:gridCol w:w="2326"/>
        <w:gridCol w:w="2250"/>
        <w:gridCol w:w="2087"/>
        <w:gridCol w:w="182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9" w:hRule="atLeast"/>
          <w:tblHeader/>
          <w:jc w:val="center"/>
        </w:trPr>
        <w:tc>
          <w:tcPr>
            <w:tcW w:w="751" w:type="dxa"/>
            <w:tcBorders>
              <w:top w:val="single" w:color="000000" w:sz="8" w:space="0"/>
              <w:left w:val="single" w:color="000000" w:sz="8" w:space="0"/>
              <w:bottom w:val="single" w:color="000000" w:sz="8" w:space="0"/>
              <w:right w:val="single" w:color="000000" w:sz="4" w:space="0"/>
            </w:tcBorders>
            <w:shd w:val="clear" w:color="auto" w:fill="C6D9F1"/>
            <w:noWrap w:val="0"/>
            <w:vAlign w:val="center"/>
          </w:tcPr>
          <w:p>
            <w:pPr>
              <w:pStyle w:val="195"/>
              <w:spacing w:line="240" w:lineRule="auto"/>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sz w:val="21"/>
                <w:szCs w:val="21"/>
                <w:highlight w:val="none"/>
              </w:rPr>
              <w:t>作业类别</w:t>
            </w:r>
          </w:p>
        </w:tc>
        <w:tc>
          <w:tcPr>
            <w:tcW w:w="2326" w:type="dxa"/>
            <w:tcBorders>
              <w:top w:val="single" w:color="000000" w:sz="8" w:space="0"/>
              <w:left w:val="nil"/>
              <w:bottom w:val="single" w:color="000000" w:sz="8" w:space="0"/>
              <w:right w:val="single" w:color="000000" w:sz="4" w:space="0"/>
            </w:tcBorders>
            <w:shd w:val="clear" w:color="auto" w:fill="C6D9F1"/>
            <w:noWrap w:val="0"/>
            <w:vAlign w:val="center"/>
          </w:tcPr>
          <w:p>
            <w:pPr>
              <w:pStyle w:val="195"/>
              <w:spacing w:line="240" w:lineRule="auto"/>
              <w:ind w:left="784" w:right="76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特级绿地</w:t>
            </w:r>
          </w:p>
        </w:tc>
        <w:tc>
          <w:tcPr>
            <w:tcW w:w="2250" w:type="dxa"/>
            <w:tcBorders>
              <w:top w:val="single" w:color="000000" w:sz="8" w:space="0"/>
              <w:left w:val="nil"/>
              <w:bottom w:val="single" w:color="000000" w:sz="8" w:space="0"/>
              <w:right w:val="single" w:color="000000" w:sz="4" w:space="0"/>
            </w:tcBorders>
            <w:shd w:val="clear" w:color="auto" w:fill="C6D9F1"/>
            <w:noWrap w:val="0"/>
            <w:vAlign w:val="center"/>
          </w:tcPr>
          <w:p>
            <w:pPr>
              <w:pStyle w:val="195"/>
              <w:spacing w:line="240" w:lineRule="auto"/>
              <w:ind w:left="745" w:right="731"/>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一级绿地</w:t>
            </w:r>
          </w:p>
        </w:tc>
        <w:tc>
          <w:tcPr>
            <w:tcW w:w="2087" w:type="dxa"/>
            <w:tcBorders>
              <w:top w:val="single" w:color="000000" w:sz="8" w:space="0"/>
              <w:left w:val="nil"/>
              <w:bottom w:val="single" w:color="000000" w:sz="8" w:space="0"/>
              <w:right w:val="single" w:color="000000" w:sz="4" w:space="0"/>
            </w:tcBorders>
            <w:shd w:val="clear" w:color="auto" w:fill="C6D9F1"/>
            <w:noWrap w:val="0"/>
            <w:vAlign w:val="center"/>
          </w:tcPr>
          <w:p>
            <w:pPr>
              <w:pStyle w:val="195"/>
              <w:spacing w:line="240" w:lineRule="auto"/>
              <w:ind w:left="684"/>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二级绿地</w:t>
            </w:r>
          </w:p>
        </w:tc>
        <w:tc>
          <w:tcPr>
            <w:tcW w:w="1825" w:type="dxa"/>
            <w:tcBorders>
              <w:top w:val="single" w:color="000000" w:sz="8" w:space="0"/>
              <w:left w:val="nil"/>
              <w:bottom w:val="single" w:color="000000" w:sz="8" w:space="0"/>
              <w:right w:val="single" w:color="000000" w:sz="8" w:space="0"/>
            </w:tcBorders>
            <w:shd w:val="clear" w:color="auto" w:fill="C6D9F1"/>
            <w:noWrap w:val="0"/>
            <w:vAlign w:val="center"/>
          </w:tcPr>
          <w:p>
            <w:pPr>
              <w:pStyle w:val="195"/>
              <w:spacing w:line="240" w:lineRule="auto"/>
              <w:ind w:left="553"/>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三级绿地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 w:hRule="atLeast"/>
          <w:jc w:val="center"/>
        </w:trPr>
        <w:tc>
          <w:tcPr>
            <w:tcW w:w="751" w:type="dxa"/>
            <w:tcBorders>
              <w:top w:val="single" w:color="000000" w:sz="8" w:space="0"/>
              <w:left w:val="single" w:color="000000" w:sz="8" w:space="0"/>
              <w:bottom w:val="single" w:color="000000" w:sz="8" w:space="0"/>
              <w:right w:val="single" w:color="000000" w:sz="4" w:space="0"/>
            </w:tcBorders>
            <w:noWrap w:val="0"/>
            <w:vAlign w:val="center"/>
          </w:tcPr>
          <w:p>
            <w:pPr>
              <w:pStyle w:val="195"/>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乔木</w:t>
            </w:r>
          </w:p>
        </w:tc>
        <w:tc>
          <w:tcPr>
            <w:tcW w:w="2326"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2）每年秋冬季和春季施用</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基肥，并在每年的夏季追肥</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 次；</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8 次以上，一</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般在叶芽和花芽分化前进</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行修剪，避免把叶芽和花芽</w:t>
            </w:r>
          </w:p>
          <w:p>
            <w:pPr>
              <w:pStyle w:val="195"/>
              <w:spacing w:before="81"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剪掉，下缘线高度一般控制</w:t>
            </w:r>
          </w:p>
          <w:p>
            <w:pPr>
              <w:pStyle w:val="195"/>
              <w:spacing w:before="43"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 2.3-3.5 米之间，尽量减</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少伤口，剪口要平，不劈不</w:t>
            </w:r>
          </w:p>
          <w:p>
            <w:pPr>
              <w:pStyle w:val="195"/>
              <w:spacing w:before="34"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裂，不留有树钉；</w:t>
            </w:r>
          </w:p>
          <w:p>
            <w:pPr>
              <w:pStyle w:val="195"/>
              <w:spacing w:before="43"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4）</w:t>
            </w:r>
            <w:r>
              <w:rPr>
                <w:rFonts w:hint="eastAsia" w:asciiTheme="minorEastAsia" w:hAnsiTheme="minorEastAsia" w:eastAsiaTheme="minorEastAsia" w:cstheme="minorEastAsia"/>
                <w:color w:val="auto"/>
                <w:spacing w:val="-7"/>
                <w:sz w:val="21"/>
                <w:szCs w:val="21"/>
                <w:highlight w:val="none"/>
              </w:rPr>
              <w:t>荫枝、下垂枝、病虫枝、</w:t>
            </w:r>
          </w:p>
          <w:p>
            <w:pPr>
              <w:pStyle w:val="195"/>
              <w:spacing w:before="34"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下缘线下的萌蘖枝及干枯</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枝叶要及时剪除；</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5）非观果和非留种行道树</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要及时摘除残花、果实；</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6）背景林乔木只须修剪带</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叶枯枝、病虫枝和主干上的</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萌蘖枝；</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7）及时清理死苗，一周内</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补植回原来的种类并力求</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规格与原来植株接近。对已</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呈老化或明显与周围环境</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景观不协调的树木应及时</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进行改植。</w:t>
            </w:r>
          </w:p>
        </w:tc>
        <w:tc>
          <w:tcPr>
            <w:tcW w:w="2250"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2）每年秋冬季和春季施用</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基肥，并在每年的夏季追</w:t>
            </w:r>
          </w:p>
          <w:p>
            <w:pPr>
              <w:pStyle w:val="195"/>
              <w:spacing w:before="37"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 1-2 次；</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8 次以上，一</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般在叶芽和花芽分化前进</w:t>
            </w:r>
          </w:p>
          <w:p>
            <w:pPr>
              <w:pStyle w:val="195"/>
              <w:spacing w:before="37"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行修剪，避免把叶芽和花</w:t>
            </w:r>
          </w:p>
          <w:p>
            <w:pPr>
              <w:pStyle w:val="195"/>
              <w:spacing w:before="81"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芽剪掉，下缘线高度一般</w:t>
            </w:r>
          </w:p>
          <w:p>
            <w:pPr>
              <w:pStyle w:val="195"/>
              <w:spacing w:before="43"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控制在 2.3-3.5 米之间，尽</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量减少伤口，剪口要平，</w:t>
            </w:r>
          </w:p>
          <w:p>
            <w:pPr>
              <w:pStyle w:val="195"/>
              <w:spacing w:before="34"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不劈不裂，不留有树钉；</w:t>
            </w:r>
          </w:p>
          <w:p>
            <w:pPr>
              <w:pStyle w:val="195"/>
              <w:spacing w:before="43"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1"/>
                <w:sz w:val="21"/>
                <w:szCs w:val="21"/>
                <w:highlight w:val="none"/>
              </w:rPr>
              <w:t>4）</w:t>
            </w:r>
            <w:r>
              <w:rPr>
                <w:rFonts w:hint="eastAsia" w:asciiTheme="minorEastAsia" w:hAnsiTheme="minorEastAsia" w:eastAsiaTheme="minorEastAsia" w:cstheme="minorEastAsia"/>
                <w:color w:val="auto"/>
                <w:spacing w:val="-12"/>
                <w:sz w:val="21"/>
                <w:szCs w:val="21"/>
                <w:highlight w:val="none"/>
              </w:rPr>
              <w:t>荫枝、下垂枝、病虫枝、</w:t>
            </w:r>
          </w:p>
          <w:p>
            <w:pPr>
              <w:pStyle w:val="195"/>
              <w:spacing w:before="34"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下缘线下的萌蘖枝及干枯</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枝叶要及时剪除；</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5）非观果和非留种行道树</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要及时摘除残花、果实；</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6）背景林乔木只须修剪带</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叶枯枝、病虫枝和主干上</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的萌蘖枝；</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7）及时清理死苗，一周内</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补植回原来的种类并力求</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规格与原来植株接近。对</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已呈老化或明显与周围环</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境景观不协调的树木应及</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时进行改植。</w:t>
            </w:r>
          </w:p>
        </w:tc>
        <w:tc>
          <w:tcPr>
            <w:tcW w:w="2087"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2）乔木每年秋冬季和春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季施用基肥，并在每年</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的夏季追肥 1 次；</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6 次以上；</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4）修剪下缘线高度；</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5）</w:t>
            </w:r>
            <w:r>
              <w:rPr>
                <w:rFonts w:hint="eastAsia" w:asciiTheme="minorEastAsia" w:hAnsiTheme="minorEastAsia" w:eastAsiaTheme="minorEastAsia" w:cstheme="minorEastAsia"/>
                <w:color w:val="auto"/>
                <w:sz w:val="21"/>
                <w:szCs w:val="21"/>
                <w:highlight w:val="none"/>
              </w:rPr>
              <w:t>背景林乔木只须修剪</w:t>
            </w:r>
          </w:p>
          <w:p>
            <w:pPr>
              <w:pStyle w:val="195"/>
              <w:spacing w:before="82"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带叶枯枝、病虫枝和主</w:t>
            </w:r>
          </w:p>
          <w:p>
            <w:pPr>
              <w:pStyle w:val="195"/>
              <w:spacing w:before="43"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干上的萌蘖枝；</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6）及时清理死苗。</w:t>
            </w:r>
          </w:p>
        </w:tc>
        <w:tc>
          <w:tcPr>
            <w:tcW w:w="1825" w:type="dxa"/>
            <w:tcBorders>
              <w:top w:val="single" w:color="000000" w:sz="8" w:space="0"/>
              <w:left w:val="nil"/>
              <w:bottom w:val="single" w:color="000000" w:sz="8" w:space="0"/>
              <w:right w:val="single" w:color="000000" w:sz="8" w:space="0"/>
            </w:tcBorders>
            <w:noWrap w:val="0"/>
            <w:vAlign w:val="center"/>
          </w:tcPr>
          <w:p>
            <w:pPr>
              <w:pStyle w:val="195"/>
              <w:spacing w:before="4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2）每年普修 2 次以</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上；</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3）及时清理死苗。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6" w:hRule="atLeast"/>
          <w:jc w:val="center"/>
        </w:trPr>
        <w:tc>
          <w:tcPr>
            <w:tcW w:w="751" w:type="dxa"/>
            <w:tcBorders>
              <w:top w:val="single" w:color="000000" w:sz="8" w:space="0"/>
              <w:left w:val="single" w:color="000000" w:sz="8" w:space="0"/>
              <w:bottom w:val="single" w:color="000000" w:sz="8" w:space="0"/>
              <w:right w:val="single" w:color="000000" w:sz="4" w:space="0"/>
            </w:tcBorders>
            <w:noWrap w:val="0"/>
            <w:vAlign w:val="center"/>
          </w:tcPr>
          <w:p>
            <w:pPr>
              <w:pStyle w:val="195"/>
              <w:spacing w:line="240" w:lineRule="auto"/>
              <w:rPr>
                <w:rFonts w:hint="eastAsia" w:asciiTheme="minorEastAsia" w:hAnsiTheme="minorEastAsia" w:eastAsiaTheme="minorEastAsia" w:cstheme="minorEastAsia"/>
                <w:color w:val="auto"/>
                <w:kern w:val="0"/>
                <w:sz w:val="21"/>
                <w:szCs w:val="21"/>
                <w:highlight w:val="none"/>
              </w:rPr>
            </w:pPr>
          </w:p>
          <w:p>
            <w:pPr>
              <w:pStyle w:val="195"/>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灌木</w:t>
            </w:r>
          </w:p>
        </w:tc>
        <w:tc>
          <w:tcPr>
            <w:tcW w:w="2326" w:type="dxa"/>
            <w:tcBorders>
              <w:top w:val="single" w:color="000000" w:sz="8" w:space="0"/>
              <w:left w:val="nil"/>
              <w:bottom w:val="single" w:color="000000" w:sz="8" w:space="0"/>
              <w:right w:val="single" w:color="000000" w:sz="4" w:space="0"/>
            </w:tcBorders>
            <w:noWrap w:val="0"/>
            <w:vAlign w:val="center"/>
          </w:tcPr>
          <w:p>
            <w:pPr>
              <w:pStyle w:val="195"/>
              <w:spacing w:before="42"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2）每年秋冬季和春季施用</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基肥，并在每年的夏季追肥</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 次；</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8 次以上、切</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边整理 3 次以上；</w:t>
            </w:r>
          </w:p>
          <w:p>
            <w:pPr>
              <w:pStyle w:val="195"/>
              <w:spacing w:before="81"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4）修剪一般在叶芽和花芽</w:t>
            </w:r>
          </w:p>
          <w:p>
            <w:pPr>
              <w:pStyle w:val="195"/>
              <w:spacing w:before="34"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分化前进行修剪，避免把叶</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芽和花芽剪掉，尽量减少伤</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口；</w:t>
            </w:r>
          </w:p>
          <w:p>
            <w:pPr>
              <w:pStyle w:val="195"/>
              <w:spacing w:before="43"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5）荫枝、下垂枝、病虫枝</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及干枯枝叶要及时剪除。</w:t>
            </w:r>
          </w:p>
        </w:tc>
        <w:tc>
          <w:tcPr>
            <w:tcW w:w="2250" w:type="dxa"/>
            <w:tcBorders>
              <w:top w:val="single" w:color="000000" w:sz="8" w:space="0"/>
              <w:left w:val="nil"/>
              <w:bottom w:val="single" w:color="000000" w:sz="8" w:space="0"/>
              <w:right w:val="single" w:color="000000" w:sz="4" w:space="0"/>
            </w:tcBorders>
            <w:noWrap w:val="0"/>
            <w:vAlign w:val="center"/>
          </w:tcPr>
          <w:p>
            <w:pPr>
              <w:pStyle w:val="195"/>
              <w:spacing w:before="41"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2）每年秋冬季和春季施用</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基肥，并在每年的夏季追</w:t>
            </w:r>
          </w:p>
          <w:p>
            <w:pPr>
              <w:pStyle w:val="195"/>
              <w:spacing w:before="37"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 1-2 次；</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8 次以上、切</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边整理 3 次以上；</w:t>
            </w:r>
          </w:p>
          <w:p>
            <w:pPr>
              <w:pStyle w:val="195"/>
              <w:spacing w:before="82"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4）修剪一般在叶芽和花芽</w:t>
            </w:r>
          </w:p>
          <w:p>
            <w:pPr>
              <w:pStyle w:val="195"/>
              <w:spacing w:before="34"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分化前进行修剪，避免把</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叶芽和花芽剪掉，尽量减</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少伤口；</w:t>
            </w:r>
          </w:p>
          <w:p>
            <w:pPr>
              <w:pStyle w:val="195"/>
              <w:spacing w:before="43"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5）荫枝、下垂枝、病虫枝</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及干枯枝叶要及时剪除。</w:t>
            </w:r>
          </w:p>
        </w:tc>
        <w:tc>
          <w:tcPr>
            <w:tcW w:w="2087" w:type="dxa"/>
            <w:tcBorders>
              <w:top w:val="single" w:color="000000" w:sz="8" w:space="0"/>
              <w:left w:val="nil"/>
              <w:bottom w:val="single" w:color="000000" w:sz="8" w:space="0"/>
              <w:right w:val="single" w:color="000000" w:sz="4" w:space="0"/>
            </w:tcBorders>
            <w:noWrap w:val="0"/>
            <w:vAlign w:val="center"/>
          </w:tcPr>
          <w:p>
            <w:pPr>
              <w:pStyle w:val="195"/>
              <w:spacing w:before="41"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2）每年秋冬季和春季施</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用基肥，并在每年的夏</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季追肥 1 次；</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6 次以上、</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切边整理 2 次以上。</w:t>
            </w:r>
          </w:p>
        </w:tc>
        <w:tc>
          <w:tcPr>
            <w:tcW w:w="1825" w:type="dxa"/>
            <w:tcBorders>
              <w:top w:val="single" w:color="000000" w:sz="8" w:space="0"/>
              <w:left w:val="nil"/>
              <w:bottom w:val="single" w:color="000000" w:sz="8" w:space="0"/>
              <w:right w:val="single" w:color="000000" w:sz="8" w:space="0"/>
            </w:tcBorders>
            <w:noWrap w:val="0"/>
            <w:vAlign w:val="center"/>
          </w:tcPr>
          <w:p>
            <w:pPr>
              <w:pStyle w:val="195"/>
              <w:spacing w:before="41"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2）每年普修 2 次以</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上、切边整理 1 次以</w:t>
            </w:r>
          </w:p>
          <w:p>
            <w:pPr>
              <w:pStyle w:val="195"/>
              <w:spacing w:before="4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上。</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6" w:hRule="atLeast"/>
          <w:jc w:val="center"/>
        </w:trPr>
        <w:tc>
          <w:tcPr>
            <w:tcW w:w="751" w:type="dxa"/>
            <w:tcBorders>
              <w:top w:val="single" w:color="000000" w:sz="8" w:space="0"/>
              <w:left w:val="single" w:color="000000" w:sz="8" w:space="0"/>
              <w:bottom w:val="single" w:color="000000" w:sz="8" w:space="0"/>
              <w:right w:val="single" w:color="000000" w:sz="4" w:space="0"/>
            </w:tcBorders>
            <w:noWrap w:val="0"/>
            <w:vAlign w:val="center"/>
          </w:tcPr>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地被</w:t>
            </w:r>
          </w:p>
        </w:tc>
        <w:tc>
          <w:tcPr>
            <w:tcW w:w="2326"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1）合理进行松土施肥，每</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年结合松土进行施肥 3-4</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次；</w:t>
            </w:r>
          </w:p>
          <w:p>
            <w:pPr>
              <w:pStyle w:val="195"/>
              <w:spacing w:before="82"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2）经常除草，对草本、球</w:t>
            </w:r>
          </w:p>
          <w:p>
            <w:pPr>
              <w:pStyle w:val="195"/>
              <w:spacing w:before="34"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茎、宿根花卉至少每年翻种</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次。</w:t>
            </w:r>
          </w:p>
        </w:tc>
        <w:tc>
          <w:tcPr>
            <w:tcW w:w="2250"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1）合理进行松土施肥，每</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年结合松土进行施肥 2-3</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次；</w:t>
            </w:r>
          </w:p>
          <w:p>
            <w:pPr>
              <w:pStyle w:val="195"/>
              <w:spacing w:before="82"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2）经常除草，对草本、球</w:t>
            </w:r>
          </w:p>
          <w:p>
            <w:pPr>
              <w:pStyle w:val="195"/>
              <w:spacing w:before="34"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茎、宿根花卉至少每年翻</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种 1 次。</w:t>
            </w:r>
          </w:p>
        </w:tc>
        <w:tc>
          <w:tcPr>
            <w:tcW w:w="2087"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每年结合松土进行施肥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次；</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2）经常除草。</w:t>
            </w:r>
          </w:p>
        </w:tc>
        <w:tc>
          <w:tcPr>
            <w:tcW w:w="1825" w:type="dxa"/>
            <w:tcBorders>
              <w:top w:val="single" w:color="000000" w:sz="8" w:space="0"/>
              <w:left w:val="nil"/>
              <w:bottom w:val="single" w:color="000000" w:sz="8" w:space="0"/>
              <w:right w:val="single" w:color="000000" w:sz="8"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1）合理进行施肥；</w:t>
            </w:r>
          </w:p>
          <w:p>
            <w:pPr>
              <w:pStyle w:val="195"/>
              <w:spacing w:before="4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2）经常除草。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6" w:hRule="atLeast"/>
          <w:jc w:val="center"/>
        </w:trPr>
        <w:tc>
          <w:tcPr>
            <w:tcW w:w="751" w:type="dxa"/>
            <w:tcBorders>
              <w:top w:val="single" w:color="000000" w:sz="8" w:space="0"/>
              <w:left w:val="single" w:color="000000" w:sz="8" w:space="0"/>
              <w:right w:val="single" w:color="000000" w:sz="4" w:space="0"/>
            </w:tcBorders>
            <w:noWrap w:val="0"/>
            <w:vAlign w:val="center"/>
          </w:tcPr>
          <w:p>
            <w:pPr>
              <w:pStyle w:val="195"/>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草坪</w:t>
            </w:r>
          </w:p>
        </w:tc>
        <w:tc>
          <w:tcPr>
            <w:tcW w:w="2326" w:type="dxa"/>
            <w:tcBorders>
              <w:top w:val="single" w:color="000000" w:sz="8" w:space="0"/>
              <w:left w:val="nil"/>
              <w:right w:val="single" w:color="000000" w:sz="4"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2）夏季生长旺盛季节追肥</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 次；</w:t>
            </w:r>
          </w:p>
          <w:p>
            <w:pPr>
              <w:pStyle w:val="195"/>
              <w:spacing w:before="68"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3）对草坪进行修剪，夏季</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每月 2-3 次，冬季每月 1-2</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次。</w:t>
            </w:r>
          </w:p>
        </w:tc>
        <w:tc>
          <w:tcPr>
            <w:tcW w:w="2250" w:type="dxa"/>
            <w:tcBorders>
              <w:top w:val="single" w:color="000000" w:sz="8" w:space="0"/>
              <w:left w:val="nil"/>
              <w:right w:val="single" w:color="000000" w:sz="4" w:space="0"/>
            </w:tcBorders>
            <w:noWrap w:val="0"/>
            <w:vAlign w:val="center"/>
          </w:tcPr>
          <w:p>
            <w:pPr>
              <w:pStyle w:val="195"/>
              <w:spacing w:before="3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2）夏季生长旺盛季节追肥</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 次；</w:t>
            </w:r>
          </w:p>
          <w:p>
            <w:pPr>
              <w:pStyle w:val="195"/>
              <w:spacing w:before="68"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3）对草坪进行修剪，夏季</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每月 2-3 次，冬季每月 1</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次或两月 1 次。</w:t>
            </w:r>
          </w:p>
        </w:tc>
        <w:tc>
          <w:tcPr>
            <w:tcW w:w="2087" w:type="dxa"/>
            <w:tcBorders>
              <w:top w:val="single" w:color="000000" w:sz="8" w:space="0"/>
              <w:left w:val="nil"/>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2）夏季生长旺盛季节追</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 1 次；</w:t>
            </w:r>
          </w:p>
          <w:p>
            <w:pPr>
              <w:pStyle w:val="195"/>
              <w:spacing w:before="68"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3）对草坪进行修剪，夏</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2"/>
                <w:sz w:val="21"/>
                <w:szCs w:val="21"/>
                <w:highlight w:val="none"/>
              </w:rPr>
              <w:t xml:space="preserve">季每月 </w:t>
            </w:r>
            <w:r>
              <w:rPr>
                <w:rFonts w:hint="eastAsia" w:asciiTheme="minorEastAsia" w:hAnsiTheme="minorEastAsia" w:eastAsiaTheme="minorEastAsia" w:cstheme="minorEastAsia"/>
                <w:color w:val="auto"/>
                <w:sz w:val="21"/>
                <w:szCs w:val="21"/>
                <w:highlight w:val="none"/>
              </w:rPr>
              <w:t xml:space="preserve">1-2 </w:t>
            </w:r>
            <w:r>
              <w:rPr>
                <w:rFonts w:hint="eastAsia" w:asciiTheme="minorEastAsia" w:hAnsiTheme="minorEastAsia" w:eastAsiaTheme="minorEastAsia" w:cstheme="minorEastAsia"/>
                <w:color w:val="auto"/>
                <w:spacing w:val="-14"/>
                <w:sz w:val="21"/>
                <w:szCs w:val="21"/>
                <w:highlight w:val="none"/>
              </w:rPr>
              <w:t>次，冬季每月</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次或两月 1 次。</w:t>
            </w:r>
          </w:p>
        </w:tc>
        <w:tc>
          <w:tcPr>
            <w:tcW w:w="1825" w:type="dxa"/>
            <w:tcBorders>
              <w:top w:val="single" w:color="000000" w:sz="8" w:space="0"/>
              <w:left w:val="nil"/>
              <w:right w:val="single" w:color="000000" w:sz="8"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w:t>
            </w:r>
          </w:p>
          <w:p>
            <w:pPr>
              <w:pStyle w:val="195"/>
              <w:spacing w:before="3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肥，每年施肥 1 次；</w:t>
            </w:r>
          </w:p>
          <w:p>
            <w:pPr>
              <w:pStyle w:val="195"/>
              <w:spacing w:before="36" w:line="240" w:lineRule="auto"/>
              <w:ind w:left="112" w:right="-1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2）</w:t>
            </w:r>
            <w:r>
              <w:rPr>
                <w:rFonts w:hint="eastAsia" w:asciiTheme="minorEastAsia" w:hAnsiTheme="minorEastAsia" w:eastAsiaTheme="minorEastAsia" w:cstheme="minorEastAsia"/>
                <w:color w:val="auto"/>
                <w:sz w:val="21"/>
                <w:szCs w:val="21"/>
                <w:highlight w:val="none"/>
              </w:rPr>
              <w:t>对草坪进行修剪，</w:t>
            </w:r>
          </w:p>
          <w:p>
            <w:pPr>
              <w:pStyle w:val="195"/>
              <w:spacing w:before="4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夏季每月 1 次。</w:t>
            </w:r>
          </w:p>
        </w:tc>
      </w:tr>
    </w:tbl>
    <w:p>
      <w:pPr>
        <w:pStyle w:val="196"/>
        <w:spacing w:line="240" w:lineRule="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numPr>
          <w:ilvl w:val="6"/>
          <w:numId w:val="9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林地植物养护</w:t>
      </w:r>
    </w:p>
    <w:p>
      <w:pPr>
        <w:pStyle w:val="70"/>
        <w:keepNext w:val="0"/>
        <w:keepLines w:val="0"/>
        <w:pageBreakBefore w:val="0"/>
        <w:numPr>
          <w:ilvl w:val="0"/>
          <w:numId w:val="94"/>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分级管理要求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一级林地：保障优良乡土景观树种生长良好，具有较好的景观效果。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二级林地：保障优良乡土景观树种生长良好。</w:t>
      </w:r>
    </w:p>
    <w:p>
      <w:pPr>
        <w:pStyle w:val="70"/>
        <w:keepNext w:val="0"/>
        <w:keepLines w:val="0"/>
        <w:pageBreakBefore w:val="0"/>
        <w:numPr>
          <w:ilvl w:val="0"/>
          <w:numId w:val="94"/>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操作规程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一级林地：对林地景观效果好的植物进行浇水、施肥、修剪和病虫害防治作业，每年2次。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二级林地：对景观效果好的树木每年进行抚育1次。</w:t>
      </w:r>
    </w:p>
    <w:p>
      <w:pPr>
        <w:pStyle w:val="70"/>
        <w:keepNext w:val="0"/>
        <w:keepLines w:val="0"/>
        <w:pageBreakBefore w:val="0"/>
        <w:numPr>
          <w:ilvl w:val="6"/>
          <w:numId w:val="9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通用管理要求及操作规程</w:t>
      </w:r>
    </w:p>
    <w:p>
      <w:pPr>
        <w:pStyle w:val="70"/>
        <w:keepNext w:val="0"/>
        <w:keepLines w:val="0"/>
        <w:pageBreakBefore w:val="0"/>
        <w:numPr>
          <w:ilvl w:val="0"/>
          <w:numId w:val="95"/>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通用管理要求</w:t>
      </w:r>
    </w:p>
    <w:p>
      <w:pPr>
        <w:pStyle w:val="70"/>
        <w:keepNext w:val="0"/>
        <w:keepLines w:val="0"/>
        <w:pageBreakBefore w:val="0"/>
        <w:numPr>
          <w:ilvl w:val="1"/>
          <w:numId w:val="96"/>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乔木养护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（1）乔木</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①肥水管理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肥水管理应保证植物正常生长，无病弱植株，无明显缺水缺肥症状，无积水现象，同时根据乔木的生长状况、观赏特性和地域分布进行施肥，其优先顺序应符合以下要求：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按生长状况：生长不良乔木＞生长正常乔木；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按观赏特性：观花、观果乔木＞观姿乔木＞普通乔木；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按地域分布：重点地域乔木＞一般地域乔木＞偏远地域乔木。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 “＞”表示优先程度。</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②整形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根据树种的生长习性、群体生态效应、环境位置选用合理树形，如自然圆头形、自然开心形、塔形、圆柱形、扇形等，做到“因树修剪，随枝做形，长远规划，协调发展”。</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③修剪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修剪应符合以下要求：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修剪原则：干高适当，主枝均衡，冠幅饱满，叶幕疏密有致；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修剪方法：从整体到局部，由上到下，由内到外，去弱留强，去老留新，去密留稀；</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生长空间保留顺序：</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主题观赏树木＞非主题观赏树木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观花乔木＞普通乔木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观姿树木＞观花、观果灌木＞观叶植物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局部优势植物＞局部非优势植物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修剪优先顺序：乔灌木株距适宜＞主干高度（影响游人安全与车辆通行的枝条）＞大型枯枝叶＞内膛枝交叉、平行枝＞其他应修剪的枝条；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e) 乔木主枝应疏密有致、叶幕透光，以满足下层灌木、地被、草坪的光照需求；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f) 剪口面要求平滑，不留残桩，主枝和树干伤口宜做防腐处理；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 园路两旁及游人活动场所的乔木干高应大于 3 米，车行道树木叶幕下缘线应高于4 米，不应影响游人、车辆通行；</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h) 应在游人较少的时段进行修剪，并设立警示标识，做好安全保护措施。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注：“＞”表示优先程度</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④防台风</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台风前，应做到树冠均衡、无严重偏冠；台风中加强巡查；风后一周内，加强园林作业管理，应做到无断树、无断枝、无严重倒伏。</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⑤除杂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乔木周边应做到无危害性藤蔓植物。</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⑥补植与更新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补植与更新应符合以下要求：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做到无死树、无残桩；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无衰退、老化及病虫害严重乔木；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与原有树种一致。</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⑦移植与间伐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移植与间伐符合以下要求：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应保持适当的乔木间距；</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应按有关规定办理审批备案手续；</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乔木移植宜提前半年断根。</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（2）棕榈类植物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应做到无大型枯黄老叶、无严重病虫害。</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（3）竹类植物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应做到无5厘米以上竹桩，无枯死株，无五年以上老株，无严重病虫害。</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（4）苏铁类植物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应做到无枯黄老叶，无介壳虫危害严重的叶片，无严重病虫害发生。</w:t>
      </w:r>
    </w:p>
    <w:p>
      <w:pPr>
        <w:pStyle w:val="70"/>
        <w:keepNext w:val="0"/>
        <w:keepLines w:val="0"/>
        <w:pageBreakBefore w:val="0"/>
        <w:numPr>
          <w:ilvl w:val="1"/>
          <w:numId w:val="96"/>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灌木养护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肥水管理应保证植物正常生长，无病弱植株，无明显缺水缺肥症状，无积水现象，穴施条施环施后应及时覆土。</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应控制灌木的高度与形态，花灌木宜在休眠期或花后修剪，造型灌木与绿篱及时修剪，保持冠形丰满、线条流畅。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灌木周边应做到无杂草、无危害性藤蔓植物。</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无残株、无病弱植株、无死株。</w:t>
      </w:r>
    </w:p>
    <w:p>
      <w:pPr>
        <w:pStyle w:val="70"/>
        <w:keepNext w:val="0"/>
        <w:keepLines w:val="0"/>
        <w:pageBreakBefore w:val="0"/>
        <w:numPr>
          <w:ilvl w:val="1"/>
          <w:numId w:val="96"/>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地被养护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修剪应符合以下要求：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无萌蘖过多、生长过密的枝条；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无枯残枝、残花和无观赏价值的宿存果实；</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地被与草坪界限分明。</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应做到无杂草、无危害性藤蔓植物。</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应做到无残苗、无病弱株、无死株、无明显缺株。</w:t>
      </w:r>
    </w:p>
    <w:p>
      <w:pPr>
        <w:pStyle w:val="70"/>
        <w:keepNext w:val="0"/>
        <w:keepLines w:val="0"/>
        <w:pageBreakBefore w:val="0"/>
        <w:numPr>
          <w:ilvl w:val="1"/>
          <w:numId w:val="96"/>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草坪养护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（2）修剪与疏草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修剪与疏草符合以下要求：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草坪高度一致，边线整齐；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应保证草坪密度合理。</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应做到无裸斑，补植草种宜与原草坪相同，保证一个月内覆盖率达到等级要求。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修复期间，应采取隔离措施，防止践踏。</w:t>
      </w:r>
    </w:p>
    <w:p>
      <w:pPr>
        <w:pStyle w:val="70"/>
        <w:keepNext w:val="0"/>
        <w:keepLines w:val="0"/>
        <w:pageBreakBefore w:val="0"/>
        <w:numPr>
          <w:ilvl w:val="1"/>
          <w:numId w:val="96"/>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花坛养护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应做到无枯萎花蕾与花枝、无枯枝残叶。</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应做到无杂草、无危害性藤蔓植物。</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（4）补植与换花</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应做到无缺株、无病弱株、无死株。</w:t>
      </w:r>
    </w:p>
    <w:p>
      <w:pPr>
        <w:pStyle w:val="70"/>
        <w:keepNext w:val="0"/>
        <w:keepLines w:val="0"/>
        <w:pageBreakBefore w:val="0"/>
        <w:numPr>
          <w:ilvl w:val="1"/>
          <w:numId w:val="96"/>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水生植物养护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（2）疏剪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疏剪符合以下要求：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挺水植物应无枯萎部分，留茬应低矮整齐；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无残枝败叶、无衰弱植株、无花后枝条、无残根；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植株密度合理；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繁殖能力强的水生植物无过度繁殖现象。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（3）更新复壮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应保证水生植物正常生长，无明显缺株、无死株、无病弱株。</w:t>
      </w:r>
    </w:p>
    <w:p>
      <w:pPr>
        <w:pStyle w:val="70"/>
        <w:keepNext w:val="0"/>
        <w:keepLines w:val="0"/>
        <w:pageBreakBefore w:val="0"/>
        <w:numPr>
          <w:ilvl w:val="1"/>
          <w:numId w:val="96"/>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立体绿化养护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（1）垂直绿化</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①肥水管理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②整形与修剪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应做到墙面、棚架整齐丰满，攀援植物枝条疏密有致、架面分布均匀、叶色浓绿，无病虫枯枝。</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③防护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棚架、支架及墙面等应做到稳固坚实，支撑力强，攀援绑扎合理，并有较强的抗风能力。</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（2）屋顶绿化</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应保证植物正常生长，无明显缺水缺肥缺株症状，无积水渗水现象，且应符合《屋顶绿化设计规范》（DB 440300/T 37-2009）及《立体绿化管养技术规程》（DB4403/T 177—2021）的相关要求。</w:t>
      </w:r>
    </w:p>
    <w:p>
      <w:pPr>
        <w:pStyle w:val="70"/>
        <w:keepNext w:val="0"/>
        <w:keepLines w:val="0"/>
        <w:pageBreakBefore w:val="0"/>
        <w:numPr>
          <w:ilvl w:val="1"/>
          <w:numId w:val="96"/>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林地植物养护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（1）养护原则</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在养护范围内，不影响行人或车辆安全通行，保护目的树种，加强水肥，促进目的植物长势旺盛；可视范围内植物景观通透，地被自然流畅，无黄土裸露等水土流失隐患。</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（3）修剪与间伐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乔木植物应做到无枯枝、无死枝、无病虫枝、无影响行人或车辆通过的正常枝丫、无影响目的树种生长的乔木。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花灌木植物宜在花芽分化前进行修剪，不应剪除带有花芽的枝条。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野生植被应予以保留，并保持整体效果自然流畅。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应无攀爬上目的树种的藤蔓、路边无带刺植物。</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（4）植物垃圾处理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可视范围内应做到无枯枝、枯叶残留。</w:t>
      </w:r>
    </w:p>
    <w:p>
      <w:pPr>
        <w:pStyle w:val="70"/>
        <w:keepNext w:val="0"/>
        <w:keepLines w:val="0"/>
        <w:pageBreakBefore w:val="0"/>
        <w:numPr>
          <w:ilvl w:val="0"/>
          <w:numId w:val="95"/>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通用操作规程</w:t>
      </w:r>
    </w:p>
    <w:p>
      <w:pPr>
        <w:pStyle w:val="70"/>
        <w:keepNext w:val="0"/>
        <w:keepLines w:val="0"/>
        <w:pageBreakBefore w:val="0"/>
        <w:numPr>
          <w:ilvl w:val="0"/>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乔木养护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（1）乔木</w:t>
      </w:r>
    </w:p>
    <w:p>
      <w:pPr>
        <w:pStyle w:val="70"/>
        <w:keepNext w:val="0"/>
        <w:keepLines w:val="0"/>
        <w:pageBreakBefore w:val="0"/>
        <w:numPr>
          <w:ilvl w:val="0"/>
          <w:numId w:val="9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肥水管理宜按以下操作：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初次定植的苗木宜下足基肥，浇足定根水，并踩紧；</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做到适时施肥，保证乔木正常生长；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根据乔木的特性，沿树冠线一带采用穴施、条施、放射状施、环施等方式进行，开挖深度 15厘米-40 厘米，施后覆土；</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开花景观乔木宜适时多施有机肥，增施磷钾肥；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e) 活动场地或树池中的乔木宜考虑透气、透水，薄肥勤施；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f) 根据土壤墒情适时浇水；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 保持排水通畅。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②整形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与周围环境植被、建筑和园林小品相协调，达到增强园林美化效果。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整形还要根据树种的生长习性、群体生态效应、环境位置选用合理树形，如自然圆头形、自然开心形、塔形、圆柱形、扇形、锥形等，做到“因地制宜，随树做形，长远规划，均衡发展”。</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③修剪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行道树木整形修剪宜按以下操作：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采用合理树形，抬高树冠高度，保证通畅空间；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树干高度：逐步抬高树干高度到3 米以上，确实主枝太低的（低于2.5 米），可通过提高侧枝高度到3 米以上，侧枝以下不留叶；</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树冠枝数：保留树冠主枝4-6 个，侧枝8-10 个，3 级分枝结合树冠疏密程度，合理选留；确实主枝过多（＞10 个）的，分2-3 年逐步疏除；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叶幕高度：在选留干高、主枝、侧枝适当数量和高度的基础上，保持树冠叶幕高度在3 米以上，以达到提高道路通畅空间的效果。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林缘、远离道路的树木整形修剪宜按以下操作：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抬高树冠高度，降低叶幕密度，提高树冠下层光照，抚育树下灌木、地被和草坪；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树干高度：尽量去除 2.5 米以下树冠主枝，抬高第一主枝高度；</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树冠枝数：保留树冠主枝 4-6 个，侧枝8-10 个，3 级分枝结合树冠疏密程度，合理选留；</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叶幕高度：在选留干高、主枝、侧枝适当数量和高度的基础上，保持树冠叶幕高度在3 米以上，以达到降低叶幕密度，提高树冠下层光照，抚育树下灌木、地被和草坪之目的。</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④防台风</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每年3月至6月重点修剪高大、偏冠、易折、易倒伏、老龄及影响安全的乔木。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台风季节前，对抗风能力较差或者风口的乔木进行修剪和支护。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台风前，对新栽植、重点乔木与根系浅、树冠大、枝叶密、迎风面大及立地条件差的乔木，采取立支柱、疏枝等措施，增强抵御台风的能力。</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台风过后，及时清理倒树、断枝，扶正树体，补植残缺乔木。</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⑤除杂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及时清理影响乔木生长的有害生物。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制定详细有效的病虫害防治预案，春夏季病虫害多发期做好检查工作，早发现，早治理。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推荐使用生物和物理防治方法，选用高效、低毒、无污染、对天敌较安全的农药。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除杂时保护根系，避免根系受伤或裸露。</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⑥补植与更新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及时补植更新衰退、老化、生长不良的乔木，补植的乔木需与现状的乔木规格接近或三年左右能达到接近的生长状况。</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迁移不适宜该立地条件生长的乔木。</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⑦移植与间伐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移植前做好修剪工作，适时缠干、涂白，选留适当枝量或芽眼。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移植后要立即浇1次透水，隔2～3天后浇第2次水，隔1周后浇第3次水，以后浇水间隔期可适当拉长。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及时间伐过密弱株、老株、病株、死株或残桩，逐步调整到合理株距，提高和改善林下灌木、地被植物的生长空间。</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（2）棕榈类植物</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①宜在快速生长的高温季节移植，避免低温季节移植。</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②移植时注意保护顶芽，至少保留4片完整叶片。</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③对新萌发的不定根，宜及时培土，加强护根，促进根系固定与养分吸收。</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④加强检疫性病虫害防治，提倡生物防治。</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⑤</w:t>
      </w:r>
      <w:r>
        <w:rPr>
          <w:rFonts w:hint="eastAsia" w:asciiTheme="minorEastAsia" w:hAnsiTheme="minorEastAsia" w:eastAsiaTheme="minorEastAsia" w:cstheme="minorEastAsia"/>
          <w:color w:val="auto"/>
          <w:sz w:val="21"/>
          <w:szCs w:val="21"/>
          <w:highlight w:val="none"/>
        </w:rPr>
        <w:t>及时剪除下部衰老枯黄叶片，防止自然脱落击伤游人。（注：个别有特定观赏价值的衰老叶片除外，如老人葵等。）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⑥</w:t>
      </w:r>
      <w:r>
        <w:rPr>
          <w:rFonts w:hint="eastAsia" w:asciiTheme="minorEastAsia" w:hAnsiTheme="minorEastAsia" w:eastAsiaTheme="minorEastAsia" w:cstheme="minorEastAsia"/>
          <w:color w:val="auto"/>
          <w:sz w:val="21"/>
          <w:szCs w:val="21"/>
          <w:highlight w:val="none"/>
        </w:rPr>
        <w:t>及时培土护根，增加固定抗风和根吸收能力。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⑦</w:t>
      </w:r>
      <w:r>
        <w:rPr>
          <w:rFonts w:hint="eastAsia" w:asciiTheme="minorEastAsia" w:hAnsiTheme="minorEastAsia" w:eastAsiaTheme="minorEastAsia" w:cstheme="minorEastAsia"/>
          <w:color w:val="auto"/>
          <w:sz w:val="21"/>
          <w:szCs w:val="21"/>
          <w:highlight w:val="none"/>
        </w:rPr>
        <w:t>对丛生棕榈类，注意疏伐无观赏价值的老弱病密株，维持良好的树姿。</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（3）竹类植物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①及时间伐三年以上的老竹。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②每季度清理枯死的竹兜一次，枯竹随见随清。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③及时清理脱落的笋箨，适当保留林下的竹叶。</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④根据竹种的特性适当修剪下部分枝，维护良好的观赏景观。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（4）苏铁类植物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①宜在干旱季节进行移植，种植时宜稍高出地面，防治积水涝害。</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②为防治曲纹紫灰蝶，保护新叶完整，宜做到出新梢至羽叶展开期间每周喷药一次。</w:t>
      </w:r>
    </w:p>
    <w:p>
      <w:pPr>
        <w:pStyle w:val="70"/>
        <w:keepNext w:val="0"/>
        <w:keepLines w:val="0"/>
        <w:pageBreakBefore w:val="0"/>
        <w:numPr>
          <w:ilvl w:val="0"/>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灌木养护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①肥水管理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每年宜松土2-4次。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适时施肥，施肥后及时覆土、浇透水。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根据土壤墒情适时浇水。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保持排水通畅。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②修剪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合理控制灌木高度在80-160厘米，保证乔、灌、地被之间合理空间。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尽可能在休眠期或花后修剪，避免在花芽分化期进行修剪。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花谢后及时剪除残花、残枝及黄叶。</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绿篱和造型的灌木，及时修剪，一般为春、夏、秋季每月1～3次，冬季每两月1次。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③除杂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可采用物理和化学除草方法，及时除去杂草和恶性藤蔓植物。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除杂时注意保护植物的根系。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使用化学方法除杂草时，选用适当的药剂和施药方法。</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④补植与更新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及时清除死苗、病残苗木，并查清死因，同时采取相应的措施恢复景观。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因土壤贫瘠、病虫害死亡的植株，应对土壤进行更换、消毒处理之后再行补植。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补植时施足基肥，定植后加强浇水。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及时更新对生长环境不适应、已呈老化或与周围环境不协调的植物。</w:t>
      </w:r>
    </w:p>
    <w:p>
      <w:pPr>
        <w:pStyle w:val="70"/>
        <w:keepNext w:val="0"/>
        <w:keepLines w:val="0"/>
        <w:pageBreakBefore w:val="0"/>
        <w:numPr>
          <w:ilvl w:val="0"/>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地被养护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适时施肥，施肥后及时覆土、浇水。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根据土壤墒情适时浇水。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保持排水通畅。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根据气候、植物生长快慢进行修剪。每年3-5月，每月修剪1次；6-11月，每月修剪2次；12-来年2月，每月修剪1-2次。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以观花为主的地被，在观花期不得修剪。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地被植物修剪后的生长枝控制在60厘米以下，保持开阔视野空间。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及时剪除病虫枯残枝叶败花宿果。</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及时拔除异花、杂草或藤蔓植物，保证地被花卉生长空间，维护整齐均衡的观赏效果。</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及时清除病残死株，补植同等品种规格苗木。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及时疏剪、倒茬或翻种分蘖过密、老化的球根花卉或宿根花卉，保持良好景观。</w:t>
      </w:r>
    </w:p>
    <w:p>
      <w:pPr>
        <w:pStyle w:val="70"/>
        <w:keepNext w:val="0"/>
        <w:keepLines w:val="0"/>
        <w:pageBreakBefore w:val="0"/>
        <w:numPr>
          <w:ilvl w:val="0"/>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草坪养护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适时施肥，施肥后及时浇水。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根据土壤墒情适时浇水。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视土壤板结情况，适时打孔、施有机肥、铺沙。</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（2）修剪与疏草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视草坪老化程度及生长高度，适时修剪。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视草坪致密程度，适时疏草。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大叶油草草坪高度不宜超过10厘米，台湾草及其他草坪高度不宜超过8厘米；</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以人工清除杂草为主，也可采用化学方法除草。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手工除草时将杂草连根清除，并压实目的草种。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使用化学方法除草时，选用适当的药剂和施药方法，避免危害到目的草种。</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对枯死裸露的草坪应及时补植，适当密植，保持景观。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补植草种与原草坪相同，并围栏养护。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（5）修复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对草坪的斑秃采用补播法、匍匐茎无性繁殖法和铺植草皮法进行修复。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对退化严重草坪的修复，可采用补播法进行更新。在补播的准备工作中，先用梳草机为草坪进行梳草，然后再撒播草种。</w:t>
      </w:r>
    </w:p>
    <w:p>
      <w:pPr>
        <w:pStyle w:val="70"/>
        <w:keepNext w:val="0"/>
        <w:keepLines w:val="0"/>
        <w:pageBreakBefore w:val="0"/>
        <w:numPr>
          <w:ilvl w:val="0"/>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花坛养护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保证花坛植物正常生长，可适当追施叶面肥，薄肥勤施，浓度控制在0.1-0.4%以内。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根据土壤墒情适时浇水，浇水宜喷洒进行，水量不宜过大，不得将泥土溅至茎、叶或花瓣。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保持排水通畅。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依花卉不同习性，采用相应的修剪措施，如摘心、打杈、理蔓等。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及时剪除病残枯枝败花宿果。</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以人工清除为好，除杂时保护根系，避免根系受伤或裸露。</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（4）补植与换花</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宜重新翻挖、平整、消毒、晾晒土壤，施足基肥；如有需要，更换土壤。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如有缺株，及时补植同样品种、规格的植株。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花坛景观效果不佳时，及时换花。</w:t>
      </w:r>
    </w:p>
    <w:p>
      <w:pPr>
        <w:pStyle w:val="70"/>
        <w:keepNext w:val="0"/>
        <w:keepLines w:val="0"/>
        <w:pageBreakBefore w:val="0"/>
        <w:numPr>
          <w:ilvl w:val="0"/>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水生植物养护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适时施肥修剪。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及时分栽定植多年的水生植物。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容器栽培的植株，每年换土翻盆一次。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（2）疏剪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剔除部分老植株，防止因繁殖导致的植物密度过大。</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（3）更新复壮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及时分栽定植多年的水生植物。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更换或更新种植老化及生长不良的水生植物，较大面积的更新宜在其休眠期或生长相对停滞时进行。</w:t>
      </w:r>
    </w:p>
    <w:p>
      <w:pPr>
        <w:pStyle w:val="70"/>
        <w:keepNext w:val="0"/>
        <w:keepLines w:val="0"/>
        <w:pageBreakBefore w:val="0"/>
        <w:numPr>
          <w:ilvl w:val="0"/>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立体绿化养护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（1）垂直绿化</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①肥水管理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栽植后及时浇水。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适当追施叶面肥，宜在水中加一定水溶性肥料进行施肥。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根据土壤墒情适时浇水，适当增加浇水次数和浇水量，有条件的可以增加喷雾。</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保持排水通畅。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②整形与修剪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栽植当年以整形为主，应固定好新生枝条，使均匀分布立面或棚架。</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定期进行枝条的短截、疏除，适时疏剪老弱枯及徒长藤蔓，维护丰满立面或棚架。</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及时更换生长不良和老化的苗木。</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③防护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每次修剪整形后或冬季应调理、绑扎固定主枝、侧枝1次，保证叶幕均匀分布。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台风前后，做好防护及补救措施。</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（2）屋顶绿化</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①做好灌溉设施的维护，保证灌排水通畅，并根据植物生长状况及时浇水，防止干旱“风梢”。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②及时检查植物生长，防止植物过度生长对屋顶结构层的破坏。</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③做好植物的整形修剪、更新复状，维护良好景观。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④台风前后，做好防护及补救措施。</w:t>
      </w:r>
    </w:p>
    <w:p>
      <w:pPr>
        <w:pStyle w:val="70"/>
        <w:keepNext w:val="0"/>
        <w:keepLines w:val="0"/>
        <w:pageBreakBefore w:val="0"/>
        <w:numPr>
          <w:ilvl w:val="0"/>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林地植物养护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目的树种适时进行浇灌，可在树木根部周围开挖环形沟进行灌溉，在沟内粉刺浇透水，使其浸润湿透，然后以土覆盖沟面。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目的树种可在开花前、后施肥，春肥以氮肥为主，以促进枝叶生长，接近花芽分化时，以磷、钾肥为主。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花期、雨天和夜晚、高温烈日均不宜施肥。</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（2）修剪与间伐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原有野生植被修剪后高度控制在30-50厘米，且低于目的树种。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去除路边带刺的藤本、草本、灌木等，或人工剪除刺。</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登山道两侧1.5米范围内的枯草、芒草、芒萁等，可采取接近地面各处的方式，以防火灾。</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（3）植物垃圾处理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修剪、除杂后的植物垃圾（如干枝、杂草等）无需外运，可就近均匀撒布与实现范围内的林下。</w:t>
      </w:r>
    </w:p>
    <w:p>
      <w:pPr>
        <w:pStyle w:val="70"/>
        <w:keepNext w:val="0"/>
        <w:keepLines w:val="0"/>
        <w:pageBreakBefore w:val="0"/>
        <w:numPr>
          <w:ilvl w:val="5"/>
          <w:numId w:val="43"/>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设施包括喷灌系统、护栏、坐凳、园道、康体设施、游玩设施、园林建筑小品、护树设施、灯光设施、供水、喷泉、直饮水机（不含滤芯更换和水质检测）等。保护好绿化设施，确保其完好无损，如发现设施破损，应及时修复，消除安全隐患，失效设施经采购人同意后及时拆除，对破坏绿化设施行为要加以制止并及时报告绿化管理部门。中标人需每月将园林小品、花基座凳、园林铺地、围墙围栏车挡等所有设施进行全面检查，清洁、维修一遍，每年全面翻新一遍。检查时应对绿地样点内所有设施的功能性和景观性进行检查。中标人还需对辖区绿地内的设施进行一次全面的普查登记，录入绿地档案，报采购人备案，每个月申报变更情况。护树架、护栏、水电等若有损坏当日修好，其他设施按整改要求时限（3天）修好。</w:t>
      </w:r>
    </w:p>
    <w:p>
      <w:pPr>
        <w:pStyle w:val="70"/>
        <w:keepNext w:val="0"/>
        <w:keepLines w:val="0"/>
        <w:pageBreakBefore w:val="0"/>
        <w:numPr>
          <w:ilvl w:val="5"/>
          <w:numId w:val="43"/>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保护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保护绿地红线和红线内的花草树木，对任何侵占和破坏行为要加以制止并及时报告绿化管理部门。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经批准临时占用的绿地，监督其按期恢复绿化。如发现未经审批擅自占用绿地或者超过审批面积或数量占用绿地的或未按要求按期恢复绿化的，要立即上报。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。如发现未经审批擅自迁移树木或超过审批数量迁移树木的或树木迁移不符合规范的，要立即上报。</w:t>
      </w:r>
    </w:p>
    <w:p>
      <w:pPr>
        <w:keepNext w:val="0"/>
        <w:keepLines w:val="0"/>
        <w:pageBreakBefore w:val="0"/>
        <w:widowControl/>
        <w:numPr>
          <w:ilvl w:val="0"/>
          <w:numId w:val="99"/>
        </w:numPr>
        <w:kinsoku/>
        <w:wordWrap/>
        <w:overflowPunct/>
        <w:topLinePunct w:val="0"/>
        <w:autoSpaceDE/>
        <w:autoSpaceDN/>
        <w:bidi w:val="0"/>
        <w:adjustRightInd w:val="0"/>
        <w:snapToGrid w:val="0"/>
        <w:spacing w:line="240" w:lineRule="auto"/>
        <w:ind w:left="0" w:leftChars="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栈道理</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管理</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技术要求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1.服务内容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海滨栈道日常维护管理及相关服务包括但不限于海滨栈道（包括步行道和自行车道）的绿化管养、边坡管养维护、道路管养维护、设施管养维护、安全管理、驿站管养维护等七大项内容。</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b/>
          <w:bCs/>
          <w:color w:val="auto"/>
          <w:sz w:val="21"/>
          <w:szCs w:val="21"/>
          <w:highlight w:val="none"/>
        </w:rPr>
        <w:t>技术要求</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2.1  </w:t>
      </w:r>
      <w:r>
        <w:rPr>
          <w:rFonts w:hint="eastAsia" w:asciiTheme="minorEastAsia" w:hAnsiTheme="minorEastAsia" w:eastAsiaTheme="minorEastAsia" w:cstheme="minorEastAsia"/>
          <w:b/>
          <w:bCs/>
          <w:color w:val="auto"/>
          <w:sz w:val="21"/>
          <w:szCs w:val="21"/>
          <w:highlight w:val="none"/>
        </w:rPr>
        <w:t>绿化管养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绿道游径沿线范围内人工绿化的修剪、松土、除杂草、淋水、施肥、病虫害及有害生物的防治、园林绿化设施维护。确保绿地整洁无垃圾，无黄土裸露，修剪疏密有致，整体层次分明，舒朗大气；草地修剪整齐，无积水、无坑洼，植物生长健康，叶色饱满，花期正常，景观自然优美；无病虫害危害，无枯枝、死苗，无安全隐患；各类设施无缺损，维护情况优良。与人工绿地或栈道相邻10米范围内林地不被侵占、保持保洁、做好森林防火工作。</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2.1.1</w:t>
      </w:r>
      <w:r>
        <w:rPr>
          <w:rFonts w:hint="eastAsia" w:asciiTheme="minorEastAsia" w:hAnsiTheme="minorEastAsia" w:eastAsiaTheme="minorEastAsia" w:cstheme="minorEastAsia"/>
          <w:b/>
          <w:bCs/>
          <w:color w:val="auto"/>
          <w:sz w:val="21"/>
          <w:szCs w:val="21"/>
          <w:highlight w:val="none"/>
        </w:rPr>
        <w:t xml:space="preserve"> 绿地养护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乔木生长旺盛、枝叶健壮、树形美观、行道树（行列树）上缘线和下缘线基本整齐，修剪适度，无死树缺株，基本无枯枝残叶，景观效果良好。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灌木生长旺盛，花繁叶茂，造型优美，修剪适时，具有一定的艺术感和立体感。</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地栽花卉生长旺盛，花繁叶茂，色彩艳丽，超出50%的地栽花卉处于凋零期必须更换。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地被整齐一致，高度适宜，覆盖率达98%以上；病虫害发生率控制在8%以内。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草坪目的草种生长旺盛，草坪整齐雅观，四季常绿，覆盖率达98%以上，无坑洼积水，无裸露地。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及时做好病虫害防治，采取综合防治、化学防治、物理人工和生物防治等方法防止病虫害蔓延和影响绿化生长。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做好防台风工作，台风前加强防御措施，合理修剪，加固护树设施，以增强抵御台风的能力。台风吹袭期间迅速清理倒树断枝，疏通道路。台风后及时进行扶树、护树，清除断枝、落叶和垃圾，使绿化景观尽快恢复。同时要求随着树木的长大，及时将护树带或铁箍放松，以免嵌入树皮内。遇风雨、人畜为害而使树木歪斜或倒树断枝，要立即处理、疏通道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做好绿地保护，确保绿地不被侵占、保持完整，花草树木不受破坏，无乱摆摊、乱停放。加强日常巡查，发现未经审批侵占绿地的及时制止、上报并及时修复。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2.1.2 </w:t>
      </w:r>
      <w:r>
        <w:rPr>
          <w:rFonts w:hint="eastAsia" w:asciiTheme="minorEastAsia" w:hAnsiTheme="minorEastAsia" w:eastAsiaTheme="minorEastAsia" w:cstheme="minorEastAsia"/>
          <w:b/>
          <w:bCs/>
          <w:color w:val="auto"/>
          <w:sz w:val="21"/>
          <w:szCs w:val="21"/>
          <w:highlight w:val="none"/>
        </w:rPr>
        <w:t>相邻林地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定期清理生活垃圾、建筑垃圾等，保持林地清洁。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每日巡查，确保相邻林地不被侵占，做好森林防火工作。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按照采购人需求，对影响景观的相邻林地开展修剪、有害生物防治等工作。</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2.1.3 </w:t>
      </w:r>
      <w:r>
        <w:rPr>
          <w:rFonts w:hint="eastAsia" w:asciiTheme="minorEastAsia" w:hAnsiTheme="minorEastAsia" w:eastAsiaTheme="minorEastAsia" w:cstheme="minorEastAsia"/>
          <w:b/>
          <w:bCs/>
          <w:color w:val="auto"/>
          <w:sz w:val="21"/>
          <w:szCs w:val="21"/>
          <w:highlight w:val="none"/>
        </w:rPr>
        <w:t>行道树（行列树）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树木高度、密度、形态、树冠的大小比较均匀一致，树干比较直立，倾斜数量不超过该路段行道树（行列树）5%，对倒伏、受损树木应及时扶正、支撑或补种。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2.1.4 </w:t>
      </w:r>
      <w:r>
        <w:rPr>
          <w:rFonts w:hint="eastAsia" w:asciiTheme="minorEastAsia" w:hAnsiTheme="minorEastAsia" w:eastAsiaTheme="minorEastAsia" w:cstheme="minorEastAsia"/>
          <w:b/>
          <w:bCs/>
          <w:color w:val="auto"/>
          <w:sz w:val="21"/>
          <w:szCs w:val="21"/>
          <w:highlight w:val="none"/>
        </w:rPr>
        <w:t>墙面绿化</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根据墙体绿化工艺、季节及植物的生长情况调整灌溉时间和灌溉频率。灌溉应湿透根系层，保证植物正常生长，生长较差、恢复较慢的新栽苗或需要促进植物快速生长时，采用叶面施肥，及时做好病虫害监测，加强病虫害防治，定期设施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定期施用液体复合肥。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定期修剪。</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2.1.5 </w:t>
      </w:r>
      <w:r>
        <w:rPr>
          <w:rFonts w:hint="eastAsia" w:asciiTheme="minorEastAsia" w:hAnsiTheme="minorEastAsia" w:eastAsiaTheme="minorEastAsia" w:cstheme="minorEastAsia"/>
          <w:b/>
          <w:bCs/>
          <w:color w:val="auto"/>
          <w:sz w:val="21"/>
          <w:szCs w:val="21"/>
          <w:highlight w:val="none"/>
        </w:rPr>
        <w:t>绿化设施维护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设施包括喷灌系统、围栏、园道、园林建筑小品、护树设施、护网、灯光设施、供水、喷泉等。保护好绿化设施，确保其完好无损，如发现设施破损，应及时修复，消除安全隐患，对破坏绿化设施行为要加以制止并及时报告绿化管理部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绿化养护要求具体详见《深圳市农业地方标准：园林绿化管养规范》。</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 xml:space="preserve"> 2.2  绿道保洁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洁标准包括绿道以及绿道控制区的绿地、路面、水面以及公厕保持清洁、美观、完好无损，要求及时清除乱张贴及路面垃圾杂物，修补破损并保持完好；所有公厕要求按一类公厕管理；绿道保洁时间为每天6：00时—23：00时。</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2.2.1</w:t>
      </w:r>
      <w:r>
        <w:rPr>
          <w:rFonts w:hint="eastAsia" w:asciiTheme="minorEastAsia" w:hAnsiTheme="minorEastAsia" w:eastAsiaTheme="minorEastAsia" w:cstheme="minorEastAsia"/>
          <w:b/>
          <w:bCs/>
          <w:color w:val="auto"/>
          <w:sz w:val="21"/>
          <w:szCs w:val="21"/>
          <w:highlight w:val="none"/>
        </w:rPr>
        <w:t>绿地保洁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每日至少清扫2次，保持管养范围内无垃圾杂物，包括生活垃圾、石砾砖块、干枝枯叶、粪便，无鼠洞和蚊蝇滋生地等，发现鼠洞要随时堵塞。清除垃圾杂物后要注意保洁归堆后的垃圾杂物和箩筐等器具摆放在隐蔽的地方，垃圾做到日产日清，不过夜，不焚烧。</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2.2.2路面保洁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日至少清扫2次，保持管养范围内无垃圾杂物，包括生活垃圾、石砾砖块、干枝枯叶、粪便，无鼠洞和蚊蝇滋生地等，发现鼠洞要随时堵塞。清除垃圾杂物后要注意保洁归堆后的垃圾杂物和箩筐等器具摆放在隐蔽的地方，垃圾做到日产日清，不过夜，不焚烧。路面清扫作业应在游人较少时段进行，保洁应覆盖绿道运营时间。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保洁作业具体详见《深圳市公共区域环境卫生质量和管理要求（试行）》（2016）。</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2.2.3 水体保洁（礁石区域）</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定期清理栈道下方礁石区域的生活垃圾和固体漂浮物，保持礁石区域清洁。</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2.3  边坡管养维护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常养护，包括坡面落石、冲刷，支护设施的泄水孔堵塞、防护网内落石兜集或积碴外鼓、网材破损、撕裂或锈蚀严重，植被枯萎、冲刷漏网，附属设施的踏步缺损、栏杆锈蚀或松动等。边沟内需清除表面垃圾，保持截排水沟通畅。对栈道沿线边坡进行日常巡查、报告。</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  道路管养维护</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2.4.1 木栈道</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养、翻新、除锈、油漆、更换破损腐朽变形构件等，防白蚁。木栈道及附属设施设备应完好齐全、安全稳固及正常使用，并保持原貌和风格，对木栈道及其附属设施设备进行日常保养翻新、金属构件每年除锈和油漆1次、及时更换破损、腐朽或翘曲变形严重的部位，木质构件应加强防腐和白蚁防治，油漆饰面每一年至少维护1次。</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2.4.2 沥青路面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行日常维护，清理路基、修整侧缘石、测温摊铺，接茬、找平、点补、夯边，撒边料、碾压、清理。出现裂缝、松散、坑槽、拥包、啃边等问题时，应及时进行保养维护。如发现变形、下沉及面层松动等可能危及游人安全的情况，应局部围闭，设置警示标识，并及时修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2.4.3 石材路面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放样、运料、配料拌合、扒平、夯实、安砌、灌缝、扫缝。出现松动、破损、沉陷、积水等问题时，应及时进行保养维护。如发现变形、下沉及面层松动等可能危及游人安全的情况，应局部围闭，设置警示标识，并及时修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2.4.4 砼路面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放样、运料、配料拌合、扒平、夯实、安砌、灌缝、扫缝。出现松动、破损、沉陷、积水等问题时，应及时进行保养维护。如发现变形、下沉及面层松动等可能危及游人安全的情况，应局部围闭，设置警示标识，并及时修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2.4.5 道路标线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清理旧线、清洁路面、定位放线、涂料准备、涂敷、养护等。每一年补漆一次，日常保持划线清晰、涂层鲜明、不变色、夜间反光度强。</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  设施管养维护</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2.5.1 栏杆（包括金属栏杆、木栏杆等）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清除护栏周围杂草和杂物。原样修复或更换损坏、龟裂、老化、膨胀、锈蚀、变形等护栏；调整路面标高发生显著变化的护栏。定期清洁和维护，保持整洁、美观、安全：对铁栏杆每年进行一次除锈、刷金属面油漆、更换破损部位等翻新内容，对不锈钢及钢丝绳栏杆进行日常清洁并涂抹防锈油，并确保栏杆安全稳固；对砼座铁链栏杆进行日常保养、翻新等维护，并保证栏杆稳固。</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2.5.2 标识系统（包括砼标识、金属标识、木标识等）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行每天巡查维护，对污损、破损、变形、开裂、松动等现象的标识牌应及时修复，并在3个自然日内完成修复；保持标识清晰、整洁、明确和美观，每年至少翻新1次。至少每周进行一次抹洗，做到标识系统洁净干爽无灰尘、无污渍、无乱张贴、涂乱涂画、无蜘蛛网、无鸟粪。松动或倾斜等应及时修复；标牌老化或破损，影响使用应及时更换，每一年翻新1次；科普宣传栏每半年更换1次内容，对破损的科普宣传栏根据现场实际情况及时更换。</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2.5.3 边沟</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及时清除边沟、排水沟和截水沟的淤积物，沟内流水应畅通，断面完好，及时修整恢复沟断面，放坡，加固等。</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2.5.4 照明设施（包括单杆路灯、地灯、太阳能栏杆灯、草坪灯等）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检查、更换照明设施配件，刷漆、清洗照明器具，养护供电设施，保证绿道照明设施完好、整洁、运行正常；定期进行安全检查，灯杆、灯泡、灯罩应随时检查，发现残损应及时更换；定期检查路灯线路，确保无漏电、短路烧毁现象，金属灯架无锈蚀。灯具发现问题应该在24小时内修复，灯杆及其他设备问题，应一个月内修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2.5.5 游乐及康体设施（包括雕塑、休憩设施、隔音屏等）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设施的完整和正常运行所进行的预防性保养和轻微损害的修补，不包括设施更新。其中保洁做到设施洁净干爽无灰尘、无污渍、无乱张贴、涂乱涂画、无蜘蛛网、无鸟粪；维修为保持设施的完整和正常运行所进行的预防性保养和轻微损害的修补；金属构件应及时保养，防止表面生锈；木质构件应防腐和防止白蚁等蛀虫的危害；破损构件应及时维修，保持设施的原貌和风格。对各种游乐康体设施必须在每天运行前进行一次较全面的检查维护，检查情况，检修内容及处理结果应记录存档。对各种游乐设施应半年进行一次较全面的检查维护，检查情况、检修内容及处理结果应记录存档。</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2.5.6 智慧座椅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定期检测及保养、设备维护及检修、技术故障修复等日常维护；保持设施洁净干爽无灰尘、无污渍、无乱张贴、涂乱涂画、无蜘蛛网、无鸟粪。</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2.6  安全管理</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2.6.1 游人安全管理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供应商按规定配备足够的保安负责绿道的安保及救生援助，保护绿道沿线的设施，预防和制止绿道上各类违法、违章行为，以及车辆出入管理，沿线安全隐患监控及秩序维持等。保安人员在点上值勤服务为主，并分时段在沿线上巡逻。保证游客安全，若出现因中标供应商管理措施不当、应急处置不当等原因而导致人员伤亡或其他安全事故，由中标供应商承担一切经济及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绿道日常管理应设保安队伍，保安员配备和管理原则上为 24 小时三班制。定岗定员进行治安巡逻，维护游人安全与秩序，并为遇到困难的市民提供帮助和服务。重点部位和部分时段以及有特殊情况时，应至少每 3 小时巡逻 1 次，工作应有签字记录、存档巡逻轨迹定位备查。节假日和周末根据工作实际和采购人需要适当增强保安人员力量，确保不发生安全事故。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保安人员应引导和管理游人遵守绿道游览守则，维护绿道游览秩序；对影响和妨碍他人游览休憩的活动应予以制止。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在绿道沿线显著位置设置说明牌，引导游人选择适宜的游乐设施，按照相关的使用说明进行健身运动，告知自行车骑行者主动避让行人。</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在灾害天气多发季节，绿道的开闭及设施的运行应根据天气的预报情况确定。</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应根据绿道规划的游人容量疏导客流量，避免造成安全隐患。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绿道及其配套设施可能存在安全隐患的地点及等待维修的地点应设置警示标识，进行围蔽或安排人员值守。</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定期检查管养范围内配置的消防栓等灭火器械，对易燃易爆物品、烟火等涉及安全的一切事项严格把关,提高警惕性,杜绝隐患。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对发现的安全隐患，要立即报告采购人。</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配备足够的救生人员负责靠海及危险区域负责救生援助（公司自行配备能满足工作需要的救生设备）。节假日和周末根据工作实际和采购人需要适当增强救生人员力量，确保不发生安全事故。</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2.6.2 作业安全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作业人员须进行岗前培训才能上岗，严格执行安全操作规范，并定期进行安全、技术等方面的教育学习。</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绿道范围内施工不得影响游人安全。施工现场周边应进行围蔽，并设置警示标志，在工程险要处采取有效的安全保障措施，施工结束后应尽快恢复原貌。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车辆管理主要指对绿道上的机动和非机动车辆的管理，以及停车场管理。绿道全路段禁行机动车（除紧急情况外），特别是节假日期间禁止车辆进入绿道，绿道沿线车辆禁行点、停车场等处由中标供应商负责。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水上作业船只，应定期检查，确保符合相关的安全技术标准，发现问题要及时维修或取消作业。若需水上作业船只，由中标供应商负责提供。</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喷洒农药应选择符合环保要求的高效低毒农药，并在人流较少的时段进行。现场应设置警示标识，避免危及游人。作业人员应做好安全防护措施，安全操作，具体操作应符合《农药安全使用规范总则》（NY/T 1276-2007）的规定。</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树木修剪操作应按照专业技术程序进行，避开游人高峰期，修剪大树应做好安全防护措施和疏导游人，设置警示标识进行隔拦。具体操作方法应符合《木本园林植物修剪技术规范》（DB 440300/T 26-2003）的规定。</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 xml:space="preserve">2.6.3 森林防火管理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供应商对绿道管理范围内的森林防火进行实时监控，建立信息沟通和应急机制，建立森林防火责任制，划定防火责任区，确定防火责任人，发现火情及时组织人员扑救，并报告区森林防火指挥部值班室。定期进行消防训练，义务消防员应掌握基本消防技能，熟练防火、灭火知识和消防器材的使用方法。</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在树林入口和重要地段设置防火警示宣传标志，并对进入树林的人员进行防火安全宣传，禁止带火种进入林区及野外用火。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配备相应的防火应急设备。作业的机动车辆应当按照规定安装防火装置和配备灭火器材。 </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 xml:space="preserve">2.6.4 防灾避险管理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落实防风、防汛、防火、防雷以及突发事件的安全保障措施和制定应急预案，保证绿道消防通道畅通。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绿道沿线的边坡、挡土墙、消防设施和防雷设施应登记造册，专人管理，按相关规定定期检查。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使用监控设备或瞭望塔进行值班监控，确保及时掌握游人活动情况。</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禁止占用绿道沿线预留供应急避难使用的开阔空间，并定期检查防灾疏散场地的给水、排水及供电等配套市政公用设施。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台风来临前，应加强防御措施，针对绿化合理修剪，加固护树设施，对排水沟渠进行清理疏通，对存在安全隐患的边坡或挡土墙应立即设置明显的安全警示标识，围挡、封闭或安排人员值守直至彻底排除安全隐患；台风或暴雨期间，在各段出入口设立警示告示，并安排保安人员劝阻市民进入绿道，危险地段应实行封闭管理；台风过后迅速清理倒树断枝，疏通道路并及时进行扶树、护树，补好残缺，清除断枝、落叶和垃圾，恢复绿化设施景观。</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2.6.5 垂钓管理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严格落实区委区政府提出的垂钓管控要求，加大巡查力度，加强对垂钓人员的管理和劝导，严防安全事故。</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2.7  驿站配套建筑管养维护</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2.7.1 风雨亭</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对风雨亭及其周边环境进行清扫、冲洗、消毒，保持清洁并维护设施完好。定期清除亭外周围杂草和杂物，亭内保持整洁，油漆脱落或锈蚀现象应重新刷油漆，亭子每一年应刷新一次。</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2.7.2 驿站</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驿站及其周围环境进行清扫、冲洗、消毒，保持清洁并维护设施完好。建筑立面应确保无明显污渍、无乱张贴、乱涂写；外墙为玻璃幕墙或金属板类材质的，应每年至少清洗4次；外墙为面砖、石材、涂料等其他材质的，应每年至少清洗1次；外墙为木质材质的，应每年至少油刷1次。驿站内应经常清洁，保持驿站内地面干净、设施无积灰，无污迹，无蜘蛛网。</w:t>
      </w:r>
    </w:p>
    <w:p>
      <w:pPr>
        <w:keepNext w:val="0"/>
        <w:keepLines w:val="0"/>
        <w:pageBreakBefore w:val="0"/>
        <w:widowControl/>
        <w:numPr>
          <w:ilvl w:val="0"/>
          <w:numId w:val="99"/>
        </w:numPr>
        <w:kinsoku/>
        <w:wordWrap/>
        <w:overflowPunct/>
        <w:topLinePunct w:val="0"/>
        <w:autoSpaceDE/>
        <w:autoSpaceDN/>
        <w:bidi w:val="0"/>
        <w:adjustRightInd w:val="0"/>
        <w:snapToGrid w:val="0"/>
        <w:spacing w:line="240" w:lineRule="auto"/>
        <w:ind w:left="0" w:leftChars="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步道管理</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技术要求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1.</w:t>
      </w:r>
      <w:r>
        <w:rPr>
          <w:rFonts w:hint="eastAsia" w:asciiTheme="minorEastAsia" w:hAnsiTheme="minorEastAsia" w:eastAsiaTheme="minorEastAsia" w:cstheme="minorEastAsia"/>
          <w:b/>
          <w:bCs/>
          <w:color w:val="auto"/>
          <w:sz w:val="21"/>
          <w:szCs w:val="21"/>
          <w:highlight w:val="none"/>
        </w:rPr>
        <w:t>服务内容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服务范围</w:t>
      </w:r>
      <w:r>
        <w:rPr>
          <w:rFonts w:hint="eastAsia" w:asciiTheme="minorEastAsia" w:hAnsiTheme="minorEastAsia" w:eastAsiaTheme="minorEastAsia" w:cstheme="minorEastAsia"/>
          <w:color w:val="auto"/>
          <w:sz w:val="21"/>
          <w:szCs w:val="21"/>
          <w:highlight w:val="none"/>
          <w:lang w:val="en-US" w:eastAsia="zh-CN"/>
        </w:rPr>
        <w:t>包括</w:t>
      </w:r>
      <w:r>
        <w:rPr>
          <w:rFonts w:hint="eastAsia" w:asciiTheme="minorEastAsia" w:hAnsiTheme="minorEastAsia" w:eastAsiaTheme="minorEastAsia" w:cstheme="minorEastAsia"/>
          <w:color w:val="auto"/>
          <w:sz w:val="21"/>
          <w:szCs w:val="21"/>
          <w:highlight w:val="none"/>
        </w:rPr>
        <w:t>步道保洁，绿地、相邻林地管养及有害生物防治，步道（含道路）及公园绿地管养、保洁（含绿化和公园铺装）、步道及公园设施维护（主要边沟、路面、栏杆、标识、边坡、照明设施、休憩设施等等）、绿道绿地养护技术的研究试验、安全保卫、配合采购人监管绿道绿地占用、配合采购人开展步道及公园运营、绿化提升、预防和制止违法行为，以及服务范围内与绿道绿化相关的投诉处理、极端天气应急处理、安全生产等事项</w:t>
      </w:r>
      <w:r>
        <w:rPr>
          <w:rFonts w:hint="eastAsia" w:asciiTheme="minorEastAsia" w:hAnsiTheme="minorEastAsia" w:eastAsiaTheme="minorEastAsia" w:cstheme="minorEastAsia"/>
          <w:color w:val="auto"/>
          <w:sz w:val="21"/>
          <w:szCs w:val="21"/>
          <w:highlight w:val="none"/>
          <w:lang w:eastAsia="zh-CN"/>
        </w:rPr>
        <w:t>。</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2.技术要求</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2.1 硬质地面保洁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（1）广场、园路、停车场等的铺装场地一天打扫两次，早上下午各一次；其他时间连续保洁，随见随扫；应做到无生活垃圾，且无积尘、无积水。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（2）广场、园路及停车场，每年的11月至次年4月，两周冲洗一次；5月至10月，一个月冲洗一次；应做到无积水、无积尘、无污渍、无口香糖痕迹。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（3）除盘山公路及登山道外，园路及停车场每月清洗一次，应做到无尘土、无污渍、无口香糖痕迹。</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2.2 园林设施保洁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（1）健身器材、儿童设施、垃圾箱、电话亭及具有休憩功能的座椅、凳、桌等设施的表面一天抹洗两次，早上下午各一次，应做到洁净干爽，无灰尘、无污渍、无乱张贴、无乱涂画、无蛛网。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（2）标示牌、园灯、围栏、宣传栏、橱窗、通讯设备箱等设施的外表面每两周抹洗一次，应做到洁净干爽，无灰尘、无污渍、无乱张贴、无乱涂画、无蛛网等。</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2.3 园林建筑与小品保洁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（1）地面一天清扫两次，早上下午各一次，其他时间随见随扫；且要求两周清洗一次，其他时间随脏随洗；应做到无落叶、无尘土、无积水、无生活垃圾及其他杂物。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（2）立柱面一天抹洗两次，早上下午各一次，应做到无蛛网、无污渍、无张贴。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（3）内表面及屋顶每月清理一次，应做到无树叶、无生活垃圾、无杂灌草生长。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（4）假山叠石一天清扫一次，应做到无生活垃圾、无落叶；一月清理一次，应做到无大型枯枝落叶、无杂灌草生长。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（5）景墙、雕塑等园林小品，一周抹洗一次，应做到洁净干爽、无污渍、无乱张贴。</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 垃圾清运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园内垃圾应做到日产日清。未能及时清运出场的垃圾应在当天转运至垃圾中转站，禁止焚烧。垃圾收集实行分类收集，危险废弃物品应运送到专门的处理场处置。</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 绿化养护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修剪：对草坪进行修剪，夏季每月1-2次，冬季每月1次；乔、灌木以及攀援植物每年普修6次以上、切边整理2次以上；乔灌木修剪下缘线高度；非观果和非留种行道树要及时摘除残花、果实。背景林乔木只须修剪带叶枯枝、病虫枝和主干上的萌蘖枝。</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）浇水：据不同生长季节的天气情况，不同植物种类和不同树龄适当淋水，根据土壤墒情及时浇水，在雨水缺少的季节，每天的淋水量要稍大于该种类该规格的蒸腾量。</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）施肥：合理进行松土施肥。草坪夏季生长旺盛季节追施速效肥1-2次。乔灌木每年秋冬季和春季施用基肥，并在每年的夏季施肥1次。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）除杂草：经常除草和松土，除杂松土时要保护根系，不能伤根及造成根系裸露，更不能造成黄土裸露。</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）补植、改植：及时清理死苗，必要时进行补植。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）病虫害：以防为主，精心管养，使植物增强抗病虫能力，经常检查，早发现早处理。化学方法防治时，喷药一般要在晚上进行；药物、用量及对环境的影响，要符合环保的要求和标准。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防台风及意外：台风前加强防御措施，合理修剪，加固护树设施，以增强抵御台风的能力。台风吹袭期间迅速清理倒树断枝，疏通道路。台风后及时进行扶树、护树，补好残缺，清除断枝、落叶和垃圾，使绿化景观尽快恢复。遇雷电风雨、人畜危害或交通意外而使树木歪斜或倒树断枝，要立即处理、疏通道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）及时填平坑洼地，使草坪内无坑洼积水，平整雅观。</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2.6 公园设施维护</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 w:eastAsia="zh-CN"/>
        </w:rPr>
      </w:pPr>
      <w:r>
        <w:rPr>
          <w:rFonts w:hint="eastAsia" w:asciiTheme="minorEastAsia" w:hAnsiTheme="minorEastAsia" w:eastAsiaTheme="minorEastAsia" w:cstheme="minorEastAsia"/>
          <w:b/>
          <w:bCs/>
          <w:color w:val="auto"/>
          <w:sz w:val="21"/>
          <w:szCs w:val="21"/>
          <w:highlight w:val="none"/>
          <w:lang w:val="en-US" w:eastAsia="zh-CN"/>
        </w:rPr>
        <w:t xml:space="preserve">2.6.1 </w:t>
      </w:r>
      <w:r>
        <w:rPr>
          <w:rFonts w:hint="eastAsia" w:asciiTheme="minorEastAsia" w:hAnsiTheme="minorEastAsia" w:eastAsiaTheme="minorEastAsia" w:cstheme="minorEastAsia"/>
          <w:b/>
          <w:bCs/>
          <w:color w:val="auto"/>
          <w:sz w:val="21"/>
          <w:szCs w:val="21"/>
          <w:highlight w:val="none"/>
          <w:lang w:val="en" w:eastAsia="zh-CN"/>
        </w:rPr>
        <w:t>总体要求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sz w:val="21"/>
          <w:szCs w:val="21"/>
          <w:highlight w:val="none"/>
        </w:rPr>
        <w:t>公园设施应开展预防性维护工作，其主要内容应包括：物料损耗程度的检查与虫害处理、安全检测、日常保洁等；发现故障及时维修，并采取相应的应急措施，避免对游客服务造成影响。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（2）定期对公园内设施进行检查，发现故障或破损应及时处理；定期检查设施的基础，发现结构不稳定应及时维护；对使用率高及易造成安全隐患和事故的设施，如运动器械等，应增加检测频度。</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（3）发现设施存在安全隐患，应立即停止使用。 由安全管理人员及维护保养人员采取抢险解危或应急防护措施；超过设计使用寿命或安全技术规范规定使用年限要求的游乐设施整机及关键零部件，使用单位应停止使用或予以报废。</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（4）园林建筑的主体结构、零部件、屋面、外立面等的日常维护应符合 DG/TJ0808-207-2008的有关规定。</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（5）园林古建应定期检查外观、装饰件、构造材料及结构安全等，发现问题及时修缮；具体维护措施应符合 GB50165-92的相关要求。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（6）修补、加固或更换部件，所用的材料宜与原材料一致，材质与周边环境相协调， 并确保新旧材料牢固结合。</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（7）应定期对室内外各类设施进行防火检查；确保各类消防设施配置完好，功能正常；全年消防通道畅通。</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（8）保持设施内外整洁、卫生，无污物残留及乱张贴、乱涂画。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（9）专业器材和特种设施应由有相应维修资质的单位进行维护，重新投入使用前应当做好安全运作评估工作。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（10）维护过程中，应对有特殊意义的重要设施的维护部位、项目、数量、方法、用料标准、旧料利用和改善要求等作详细的查勘记录，并及时将检查、维护、保养资料归入技术档案。 </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 w:eastAsia="zh-CN"/>
        </w:rPr>
      </w:pPr>
      <w:r>
        <w:rPr>
          <w:rFonts w:hint="eastAsia" w:asciiTheme="minorEastAsia" w:hAnsiTheme="minorEastAsia" w:eastAsia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b/>
          <w:bCs/>
          <w:color w:val="auto"/>
          <w:sz w:val="21"/>
          <w:szCs w:val="21"/>
          <w:highlight w:val="none"/>
          <w:lang w:val="en" w:eastAsia="zh-CN"/>
        </w:rPr>
        <w:t>.</w:t>
      </w:r>
      <w:r>
        <w:rPr>
          <w:rFonts w:hint="eastAsia" w:asciiTheme="minorEastAsia" w:hAnsiTheme="minorEastAsia" w:eastAsiaTheme="minorEastAsia" w:cstheme="minorEastAsia"/>
          <w:b/>
          <w:bCs/>
          <w:color w:val="auto"/>
          <w:sz w:val="21"/>
          <w:szCs w:val="21"/>
          <w:highlight w:val="none"/>
          <w:lang w:val="en-US" w:eastAsia="zh-CN"/>
        </w:rPr>
        <w:t>6</w:t>
      </w:r>
      <w:r>
        <w:rPr>
          <w:rFonts w:hint="eastAsia" w:asciiTheme="minorEastAsia" w:hAnsiTheme="minorEastAsia" w:eastAsiaTheme="minorEastAsia" w:cstheme="minorEastAsia"/>
          <w:b/>
          <w:bCs/>
          <w:color w:val="auto"/>
          <w:sz w:val="21"/>
          <w:szCs w:val="21"/>
          <w:highlight w:val="none"/>
          <w:lang w:val="en" w:eastAsia="zh-CN"/>
        </w:rPr>
        <w:t>.2</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lang w:val="en" w:eastAsia="zh-CN"/>
        </w:rPr>
        <w:t>汛期设施的维护要求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（1）每年入汛前应重点检查设施的防风、防汛、防雷及安全用电，发现问题及时整改。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（2）汛前应对大型构筑物及小品实施加固措施。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（3）台风前应对可移动设施进行加固或临时拆除并集中放置。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（4）对汛期发现的雨水渗漏、排水系统堵塞等现象，应尽快防渗清疏，并按设计要求及时修复。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（5）当气象局发布红色预警时应暂停户外设施使用，并切断易造成安全隐患的室外电源。 </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 w:eastAsia="zh-CN"/>
        </w:rPr>
      </w:pPr>
      <w:r>
        <w:rPr>
          <w:rFonts w:hint="eastAsia" w:asciiTheme="minorEastAsia" w:hAnsiTheme="minorEastAsia" w:eastAsia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b/>
          <w:bCs/>
          <w:color w:val="auto"/>
          <w:sz w:val="21"/>
          <w:szCs w:val="21"/>
          <w:highlight w:val="none"/>
          <w:lang w:val="en" w:eastAsia="zh-CN"/>
        </w:rPr>
        <w:t>.</w:t>
      </w:r>
      <w:r>
        <w:rPr>
          <w:rFonts w:hint="eastAsia" w:asciiTheme="minorEastAsia" w:hAnsiTheme="minorEastAsia" w:eastAsiaTheme="minorEastAsia" w:cstheme="minorEastAsia"/>
          <w:b/>
          <w:bCs/>
          <w:color w:val="auto"/>
          <w:sz w:val="21"/>
          <w:szCs w:val="21"/>
          <w:highlight w:val="none"/>
          <w:lang w:val="en-US" w:eastAsia="zh-CN"/>
        </w:rPr>
        <w:t>6</w:t>
      </w:r>
      <w:r>
        <w:rPr>
          <w:rFonts w:hint="eastAsia" w:asciiTheme="minorEastAsia" w:hAnsiTheme="minorEastAsia" w:eastAsiaTheme="minorEastAsia" w:cstheme="minorEastAsia"/>
          <w:b/>
          <w:bCs/>
          <w:color w:val="auto"/>
          <w:sz w:val="21"/>
          <w:szCs w:val="21"/>
          <w:highlight w:val="none"/>
          <w:lang w:val="en" w:eastAsia="zh-CN"/>
        </w:rPr>
        <w:t>.3</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lang w:val="en" w:eastAsia="zh-CN"/>
        </w:rPr>
        <w:t xml:space="preserve">常用材料的维护要求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木质材料：①定期防治白蚁、菌腐等危害。检查构造的通风防潮条件，确保木结构干燥；对易受潮腐朽或遭虫蛀的木结构用防腐防虫药剂进行处理；发现粉蠹等虫害及菌腐应及时施用药剂剔除；及时修复腐朽部位，严重腐朽影响安全时应单独立项维修。②人造木如环保塑木等发现老化及破损应及时更换。 ③木质结构的检修应做到整体无移位、支撑稳固、木材无隐患性老化、承重构件的受力正常、主要节点及连接部工作状态良好，无危及木结构安全的情况。 ④新型木质材料的维护应依照厂家提供的维护要求进行。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（2）玻璃：①玻璃装修面发现裂缝、破碎应及时更换。②玻璃幕墙连接构件发现变形、 锈蚀渗漏应及时处理。③大风暴雨等恶劣天气应加强对玻璃幕墙结构部件的检查。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（3）金属件:①金属板材发现掀边、乱刻乱画等现象应及时处理。② 金属构件应定期保养，每年至少粉刷油漆一次，新旧油漆颜色应保持一致；发现表面锈迹锈斑应及时除锈修复，严重破损、缺失应及时更换。③螺钉、螺栓与铁钳夹子出现松动应及时加固。④每半年对铸铁件进行防锈处理一次，保持外观无明显锈蚀。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（4）石材：①发现松动、起壳、脱落、裂缝、缺角缺边应及时修理。② 整石雕塑小品应一年一次进行常规保养。 ③拼接石材的连接部位发现松动应及时加固。 ④及时清理石材表面的污渍、油渍，保持外观整洁。发现泛碱现象应及时使用专业清洗剂清洗，并作全面防水处理，控制泛碱面进一步扩大。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（5）混凝土：①钢筋混凝土发现剥落、开裂及钢筋外露应及时修复。②园林构筑物、 小品等设施的混凝土装饰、维护面应每年一次作清底刷漆养护。③清水混凝土应依照厂家提供的维护要求养护， 发现破损应及时修复， 并刷保护漆两遍。 </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 w:eastAsia="zh-CN"/>
        </w:rPr>
      </w:pPr>
      <w:r>
        <w:rPr>
          <w:rFonts w:hint="eastAsia" w:asciiTheme="minorEastAsia" w:hAnsiTheme="minorEastAsia" w:eastAsiaTheme="minorEastAsia" w:cstheme="minorEastAsia"/>
          <w:b/>
          <w:bCs/>
          <w:color w:val="auto"/>
          <w:kern w:val="2"/>
          <w:sz w:val="21"/>
          <w:szCs w:val="21"/>
          <w:highlight w:val="none"/>
          <w:lang w:val="en-US" w:eastAsia="zh-CN" w:bidi="ar-SA"/>
        </w:rPr>
        <w:t>2</w:t>
      </w:r>
      <w:r>
        <w:rPr>
          <w:rFonts w:hint="eastAsia" w:asciiTheme="minorEastAsia" w:hAnsiTheme="minorEastAsia" w:eastAsiaTheme="minorEastAsia" w:cstheme="minorEastAsia"/>
          <w:b/>
          <w:bCs/>
          <w:color w:val="auto"/>
          <w:kern w:val="2"/>
          <w:sz w:val="21"/>
          <w:szCs w:val="21"/>
          <w:highlight w:val="none"/>
          <w:lang w:val="en" w:eastAsia="zh-CN" w:bidi="ar-SA"/>
        </w:rPr>
        <w:t>.</w:t>
      </w:r>
      <w:r>
        <w:rPr>
          <w:rFonts w:hint="eastAsia" w:asciiTheme="minorEastAsia" w:hAnsiTheme="minorEastAsia" w:eastAsiaTheme="minorEastAsia" w:cstheme="minorEastAsia"/>
          <w:b/>
          <w:bCs/>
          <w:color w:val="auto"/>
          <w:kern w:val="2"/>
          <w:sz w:val="21"/>
          <w:szCs w:val="21"/>
          <w:highlight w:val="none"/>
          <w:lang w:val="en-US" w:eastAsia="zh-CN" w:bidi="ar-SA"/>
        </w:rPr>
        <w:t>6</w:t>
      </w:r>
      <w:r>
        <w:rPr>
          <w:rFonts w:hint="eastAsia" w:asciiTheme="minorEastAsia" w:hAnsiTheme="minorEastAsia" w:eastAsiaTheme="minorEastAsia" w:cstheme="minorEastAsia"/>
          <w:b/>
          <w:bCs/>
          <w:color w:val="auto"/>
          <w:kern w:val="2"/>
          <w:sz w:val="21"/>
          <w:szCs w:val="21"/>
          <w:highlight w:val="none"/>
          <w:lang w:val="en" w:eastAsia="zh-CN" w:bidi="ar-SA"/>
        </w:rPr>
        <w:t>.4</w:t>
      </w:r>
      <w:r>
        <w:rPr>
          <w:rFonts w:hint="eastAsia" w:asciiTheme="minorEastAsia" w:hAnsiTheme="minorEastAsia" w:eastAsiaTheme="minorEastAsia" w:cstheme="minorEastAsia"/>
          <w:b/>
          <w:bCs/>
          <w:color w:val="auto"/>
          <w:kern w:val="2"/>
          <w:sz w:val="21"/>
          <w:szCs w:val="21"/>
          <w:highlight w:val="none"/>
          <w:lang w:val="en-US" w:eastAsia="zh-CN" w:bidi="ar-SA"/>
        </w:rPr>
        <w:t xml:space="preserve"> </w:t>
      </w:r>
      <w:r>
        <w:rPr>
          <w:rFonts w:hint="eastAsia" w:asciiTheme="minorEastAsia" w:hAnsiTheme="minorEastAsia" w:eastAsiaTheme="minorEastAsia" w:cstheme="minorEastAsia"/>
          <w:b/>
          <w:bCs/>
          <w:color w:val="auto"/>
          <w:kern w:val="2"/>
          <w:sz w:val="21"/>
          <w:szCs w:val="21"/>
          <w:highlight w:val="none"/>
          <w:lang w:val="en" w:eastAsia="zh-CN" w:bidi="ar-SA"/>
        </w:rPr>
        <w:t>游憩设施维护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2.6.4.1 园林构筑物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①园林构筑物的主体结构、零部件、屋面、外立面等的日常维护应符合 DG/T J08-207-2008的有关规定。②设施表面如墙面、游人坐憩面应每周检查， 及时清洁和修复。应确保无油漆脱落、龟裂、局部损坏、 附着污物等。 ③封盖顶棚应每月进行擦拭或冲洗，清除杂物，保持整体外观整洁。④结构安全应每天检查一次，确保无地基沉降、结构裂缝。⑤竖向构筑物的固定情况应每周检查一次， 避免主体及其构件坠落。及时更换老化或存在安全隐患的园林构筑物。⑥防雷装置应由专业机构每半年检测一次， 发现引线、连接和固定装置断开、脱落、变形应及时修复；保持金属导体无腐蚀，接地电阻正常工作；雷雨季节前应做好防雷装置的预防性检查；自然灾害或修缮工作后应及时检查防雷装置，确保功能正常。⑦维修拆卸的材料、构件应做好编号，统一保管，不得随意堆放影响公园环境。 </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2.6.4.2 园椅、园凳</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①定时保洁，保持整体外观整洁、功能完善。②定期检查园椅、园凳的结构和基础，确保稳固和安全。 ③定期检查和清点园椅、 园凳， 发现涂划、锈迹、破损等，应及时修复、除锈或更换、补充。 </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2.6.4.3 假山置石</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①发现预埋件暴露、结构松动、裂痕应及时修复。②踏步松动应及时加固。③及时清除对假山结构造成威胁的植被。 ④假山构筑内部的通道、 山洞、石室等应每月对其采光、通风、排水设施进行检查维护。⑤定期请专业公司对假山内部结构进行探伤检测， 确保基础牢固。 </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SA"/>
        </w:rPr>
        <w:t xml:space="preserve">2.6.4.4 雕塑小品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①定期检查雕塑小品的结构和基础，确保稳固和安全。②定期检查和清点雕塑小品， 发现裂痕、涂划、锈迹、油漆剥落等，应及时修复、粉刷及除锈。</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2.6.4.5 休闲活动场地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①康乐场地（儿童游乐设施、户外健身设施等） </w:t>
      </w:r>
      <w:r>
        <w:rPr>
          <w:rFonts w:hint="eastAsia" w:asciiTheme="minorEastAsia" w:hAnsiTheme="minorEastAsia" w:eastAsiaTheme="minorEastAsia" w:cstheme="minorEastAsia"/>
          <w:color w:val="auto"/>
          <w:sz w:val="21"/>
          <w:szCs w:val="21"/>
          <w:highlight w:val="none"/>
          <w:lang w:val="en"/>
        </w:rPr>
        <w:t>a.</w:t>
      </w:r>
      <w:r>
        <w:rPr>
          <w:rFonts w:hint="eastAsia" w:asciiTheme="minorEastAsia" w:hAnsiTheme="minorEastAsia" w:eastAsiaTheme="minorEastAsia" w:cstheme="minorEastAsia"/>
          <w:color w:val="auto"/>
          <w:sz w:val="21"/>
          <w:szCs w:val="21"/>
          <w:highlight w:val="none"/>
        </w:rPr>
        <w:t>机械类游乐设施的维护应符合《大型游乐设施安全监察规定》（国家质量监督检验检疫总局令第154号） 的要求。</w:t>
      </w:r>
      <w:r>
        <w:rPr>
          <w:rFonts w:hint="eastAsia" w:asciiTheme="minorEastAsia" w:hAnsiTheme="minorEastAsia" w:eastAsiaTheme="minorEastAsia" w:cstheme="minorEastAsia"/>
          <w:color w:val="auto"/>
          <w:sz w:val="21"/>
          <w:szCs w:val="21"/>
          <w:highlight w:val="none"/>
          <w:lang w:val="en"/>
        </w:rPr>
        <w:t>b.</w:t>
      </w:r>
      <w:r>
        <w:rPr>
          <w:rFonts w:hint="eastAsia" w:asciiTheme="minorEastAsia" w:hAnsiTheme="minorEastAsia" w:eastAsiaTheme="minorEastAsia" w:cstheme="minorEastAsia"/>
          <w:color w:val="auto"/>
          <w:sz w:val="21"/>
          <w:szCs w:val="21"/>
          <w:highlight w:val="none"/>
        </w:rPr>
        <w:t xml:space="preserve">非机械类游乐设施的维护应符合下列要求： a）游戏沙池应每日清理，保持沙坑卫生，无积水，无玻璃碎片、香烟头、瓦砾等有害物，并定期翻晒。 b）器械及场地发现生锈、锐利突出的边缘钩角应及时处理。 c）设施周围铺设的安全地垫应经常检查，确保摆放合理、地垫无破损、变形。d） 器械的使用说明和须知应完整， 无涂画。e）定期对场地及周边植物进行修剪与清理， 防止植物根枝等对人群构成伤害。 f）场地内的器械应每日清洁消毒一次。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 观演场地。a</w:t>
      </w: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sz w:val="21"/>
          <w:szCs w:val="21"/>
          <w:highlight w:val="none"/>
        </w:rPr>
        <w:t xml:space="preserve">演出场所舞台、看台等设施的安全维护应参照WH/T42-2011的相关要求。b定期检查座椅、栏杆、音箱、液晶显示屏等设施，发现缺损、故障应及时查报并维修。c观演活动频繁的时期应每天两次清理场地垃圾杂物，保持看台、座位干净整洁。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
        </w:rPr>
        <w:t xml:space="preserve">   ③ </w:t>
      </w:r>
      <w:r>
        <w:rPr>
          <w:rFonts w:hint="eastAsia" w:asciiTheme="minorEastAsia" w:hAnsiTheme="minorEastAsia" w:eastAsiaTheme="minorEastAsia" w:cstheme="minorEastAsia"/>
          <w:color w:val="auto"/>
          <w:sz w:val="21"/>
          <w:szCs w:val="21"/>
          <w:highlight w:val="none"/>
        </w:rPr>
        <w:t>运动场地。ɑ球类运动场地的维护应符合下列规定：a）定时清理球场内垃圾杂物，保持场地干净整洁。b）保持球场画线清晰，出现磨损应及时修补。c）确保筐、网无损坏，球架无倾倒。d）球台、球桌等应定期检查结构和基础， 确保稳固和安全。e）确保防护装置结实可靠，无断裂。f）发现安全问题应及时处理，并设置警示牌及防护设施。g） 塑胶铺地出现起泡、脱壳现象，应及时修补； 人造草坪参照厂家技术要求。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2.6.4.6 水景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①及时打捞水面的漂浮物和水底的沉淀物；定期清理水池及换水，水质不得低于国家规定景观娱乐用水C类标准，喷泉、喷雾等水质不得低于国家规定景观娱乐用水A类标准；具防洪滞洪功能的水体应在雨季前适当放水清理。 ② 每天开放使用前对电线、电缆、潜水泵等电气设施进行常规检查，每周一次固定检测，发现问题及时维修。安排专门人员对水景设备（设施）定期进行维护保养，并做好记录。 ③ 定期检查水景防护设施， 发现破损或漏水应及时修补。④水体上的汀步、石矶、通道等应定期检查， 确保无破损、松动等。⑤喷泉设备的喷嘴、过滤系统、潜水泵、泵坑、管道、水下彩灯等部件应每周检查一次，定期保养防腐； 发现堵塞应及时清理；发现泵坑盖破损、丢失应及时修复、更换或补齐。⑥喷泉的水篦子、下水口等应确保无破损、松动等。⑦喷泉、 喷雾系统应注意景观场地的防滑。⑧定期检测水质和水量，确保水质安全，无大损耗的渗漏。 </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2.6.4.7 绿道驿站</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①定期对绿道驿站的卫生设施、电子设备、租赁设施、标识系统等进行检查，确保外观完好、功能正常。②对绿道驿站、驿站周边环境， 以及配套的公厕、垃圾桶等环卫设施进行常态化保洁工作， 维持舒适的绿道游憩环境</w:t>
      </w:r>
      <w:r>
        <w:rPr>
          <w:rFonts w:hint="eastAsia" w:asciiTheme="minorEastAsia" w:hAnsiTheme="minorEastAsia" w:eastAsiaTheme="minorEastAsia" w:cstheme="minorEastAsia"/>
          <w:color w:val="auto"/>
          <w:sz w:val="21"/>
          <w:szCs w:val="21"/>
          <w:highlight w:val="none"/>
          <w:lang w:val="en-US" w:eastAsia="zh-CN"/>
        </w:rPr>
        <w:t>.</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SA"/>
        </w:rPr>
        <w:t xml:space="preserve">2.6.4.8 基础配套设施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 xml:space="preserve">道路铺装：①每周检查材料表面及伸缩缝，发现缺损、翘动、凹陷等应围闭和设立警示防护措施，并及时修复。②沥青路面应每月检查，发现裂缝、松散、坑槽、拥包、啃边等病害应及时维修，修补材料凝固一天后方可开放交通；发现油类或化学物品污染时，应及时清洗，必要时用中和剂或其它合适的材料处理后再用水冲洗。③粒料、卵石路铺装地应每周检查一次，发现松脱缺损、高低不平、开裂等安全隐患应及时维修。 ④嵌草铺装应及时更换砖格内枯死草种，保持景观效果。 ⑤侧石（路缘石）发生倾斜、挤压变形、拱胀变形应及时处理；发生损坏、缺失应及时更换、补充，并勾缝。⑥塑胶铺装不得出现缺损、剥动， 避免接触有机溶剂、化学物品，发现损坏应及时修补。⑦材料替换优先考虑新型环保材料， 新型材料的维护应依照厂家提供的维护要求进行。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 xml:space="preserve">园桥：① 桥体、桥面及接驳部分无破损。② 桥面铺装无松动、空鼓、缺角缺边。③栏杆的结构和基础稳固和安全，栏杆面无大面积剥落。④泄水孔无堵塞、淤积。 ⑤桥体钢构件无生锈， 并刷油漆保养。⑥桥体木构件无松动， 确保每年1次清底刷漆的常规保养。⑦大型路桥的结构检测应定期由专业机构负责， 并应符合 CJJ99-2003的相关要求。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 xml:space="preserve">垃圾箱：①定时清理保洁，不得满溢；每半月对箱体消毒一次。② 保持周围环境干净、 无杂物。③分类垃圾箱应按要求对垃圾严格分类处理， 个别特殊废品如电池应统一收集并交由专业公司处理。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 xml:space="preserve">停车场 ①对路面定时保洁，保证场地干净整洁，无杂物，标识和划线应清晰、整洁。②对绿化停车位的植草砖、植草格等铺装材料应定期养护，定时浇灌、修剪、补植。③ 定期清点和检查车档、道闸、减速带、 电子设备等， 确保设施无损坏，整体运作正常。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 xml:space="preserve">信息发布系统：①每两天一次对资讯亭等进行清洁和消毒。②定期检测、升级系统及信号，确保使用功能正常。 ③定时检查电路及显像系统， 发现问题及时报专业公司维修。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 xml:space="preserve">照明设施 ：①每日巡查：灯具无损坏、不亮、脱落现象；灯杆无倾斜、损坏、基础下沉现象；开关、照明控制器无残缺、失灵、过热现象；应急照明工作正常；危险电力标志清晰完整、加锁；暗敷电缆沿线盖板的路线标桩完整，电缆沟、电缆井内无积水， 接地良好。②日常维护：定期对灯罩进行清扫（洗），对灯杆上的乱张贴、乱涂写、乱悬挂及时清理， 每年对灯杆刷漆保养1次。线路每季度检修一遍，及时更换破损的导线接头、老化线路及绝缘子。单灯不亮，1天内修复。大面积熄灯（如一条园路不亮灯），2天内修复。园灯变压器、配电箱故障，2天内修复。灯杆门、电缆井盖缺失，及时采取临时封盖措施，2天内修复或补齐。其他设施损坏、被挖、被盗，应组织抢修，3天内修复或补齐。非特殊情况，不得白天亮灯修灯。 ③ 日常运作：设备完好率达到95%以上；装灯率达到95%以上。 ④照明系统变更： ①新增设的照明设施应重新计算用电负荷， 电缆沟、线路应根据容量要求配套更换。②非规划、改造项目不得擅自拆迁照明设施，或改变照明功能；⑤ 低碳照明： 使用太阳能、风能的园灯应每日检查供电情况，定期维护电池板、充放电控制器、LED灯头等设备。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 xml:space="preserve">标识系统：①定期保洁，确保文字和图示清晰；标识信息定期更新。②暴雨台风期间应增加检查频率，并做好防护措施。③发现标识丢失、破损、移位应及时修复或更换。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 xml:space="preserve">无障碍设施：①无障碍设施的维护工作应符合 GB50642-2011的相关要求。 ②无障碍标志、盲文标志应定期检查，发现脱落、缺失应及时修复、补齐。③ 缘石坡道、盲道、无障碍出入口、轮椅坡道、无障碍通道、无障碍停车位的面层应定期检查，确保无开裂、塌陷、鼓包、抗滑性能下降等现象。④盲道触感圆点、盲文铭牌、盲文地图触点、无障碍地面标线等应定期检查， 发现磨损超过20%或褪色应及时修复。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 xml:space="preserve">应急避险设施：①定期清点设施内所配备的应急设备及物品，确保数量齐全及功能正常。②入汛前应重点检查公园的防灾避险设施，确保无缺漏、损坏和安全隐患。③定期检查应急供水、供电、消防、排水系统， 确保功能正常。④定期检查备用水源，确保水质安全。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 xml:space="preserve">防护设施： ①驳岸、堤岸。驳岸、堤岸坍塌、损坏应及时处理，并作好安全防护工作。定期检查驳岸、堤岸，确保无白蚁隐患。②防撞墩类分隔带：防撞墩类分隔带应定期清洗，保持整齐、醒目。定期检查，确保无缺损、位移、晃动等。③ 栏杆、围墙。栏杆、围墙应定期检查其完整性，定时清洗，发现锈蚀、油漆脱落、虫蛀、残损应及时修补或更换。 定期检查栏杆、围墙，确保无倾倒、位移、坍塌。 ④边坡、挡土墙。每周巡查一次路堑边坡、挡土墙的稳定性；中雨及以上降雨时应加强巡查，发现问题及时处理。 发现鼓胀、位移、倾斜、下沉等现象应及时维修加固。墙体、坡面出现裂缝或断缝，应先做稳定处理，再进行补缝。泄水孔应每年检查1次；泄水孔被堵塞且无法疏通时，应另选适当位置增设泄水孔，或在挡土墙背后增设排水设施。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 xml:space="preserve">给排水及消防设施：①消防设施，消防给水及消火栓设施的维护应符合 GB50974-2014的相关规定。 ②给水设施，管道、水阀、水泵、调节水池、水塔、自动喷灌系统等设施应每周进行一次安全检查和维护，确保正常运转， 发现漏水应及时修理。备用的和不常用的水泵、阀门和消火栓等要定期启动，以便及时发现问题和修理；长期不使用应拆下电池妥存。用户水表应定期轮流更换、送厂检修和校验。喷灌设施的喷头应定期检查， 确保喷洒量、喷洒高度、喷洒角度正常。室外储水池应定期清理。③ 排水设施。雨水口、水箱孔盖、井盖、化粪池盖板、溢流管盖板等应定期检查，确保盖严及完好；井盖、井座、管网盖板松动、破损、丢失，应及时修补、更换、补齐。排水沟、截水沟、沉沙井每年雨季前应全面检查一次，并彻底疏通；暴雨后应重点检查，发现缺损应及时修复、疏通。对老旧的管网， 应加强检查和维修并制定计划及时更换。低冲击雨水设施应定期检查疏水层及植被的受损情况，发现受损应及时更换；清理影响透水性的沉积物，确保土壤表面无板结； 发现防溢流出水口堵塞应及时清淤。 </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 xml:space="preserve">绿化支护设施：①定期检查护树架，出现倾倒现象应及时维护；发现支护设施影响植物生长的情况要及时处理；台风来临前，应确保护树架稳固。②老化、损坏的构件应及时更换、补充。③对钢丝绳网等支护设施应做好警示标识，并定期检查铰接紧固部位，确保无松脱。 </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2.6.4.9 管理设施维护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①安保监控设施，每周至少一次对监控设施进行调试，确保视频图像清晰；雷雨季应增加检查频度， 确保安保监控系统运作正常，发现故障及时报修。每周检查监视画面覆盖情况及调整所属各视频点监控区域。每季度对设备进行一次除尘清理。每季度检查及维护传输线路、易老化的视频头、监探探头、影像存储设备等，发现故障及时修复或更换。定期对系统进行优化和更新换代，适当使用新技术。②垃圾转运站。定时转运垃圾。 转运站内通道、给水、排水、 除尘、脱臭等设施应每月检查维护，发现异常及时修复。定期检查排水管道，确保排水畅通无积水。每日安排场地清洁，保持场站墙体外观整洁，确保站内无异味、无蚊蝇孳生。定期组织消杀，春夏季可适当增加消杀次数。③绿色垃圾处理站。定期检查处理站内的处理设备，确保运转正常，无安全隐患。发酵区应定时保洁，并做好防护工作，确保无浓烈气味。定期安排场地清洁，保持场站墙体外观整洁。 ④变配电房、泵房。定期检查泵房内外设施及变配电所周边的防护设施，发现破损及时修复或更换。定时巡查设备，发现故障及时报修。遇暴风雨季等特殊气候情况应适时增加巡查次数。设备每半年保洁一次。 </w:t>
      </w:r>
      <w:r>
        <w:rPr>
          <w:rFonts w:hint="eastAsia" w:asciiTheme="minorEastAsia" w:hAnsiTheme="minorEastAsia" w:eastAsiaTheme="minorEastAsia" w:cstheme="minorEastAsia"/>
          <w:sz w:val="21"/>
          <w:szCs w:val="21"/>
          <w:highlight w:val="none"/>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五</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）公厕管理</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管理</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技术要求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1.服务内容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盐田区沙头角、海山片区公共绿地（含栈道、绿道）综合管理服务项目服务范围内共有公厕1</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处，具体情况如下表所示：</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公厕基本情况统计表</w:t>
      </w:r>
    </w:p>
    <w:tbl>
      <w:tblPr>
        <w:tblStyle w:val="42"/>
        <w:tblW w:w="8578" w:type="dxa"/>
        <w:jc w:val="center"/>
        <w:tblLayout w:type="fixed"/>
        <w:tblCellMar>
          <w:top w:w="0" w:type="dxa"/>
          <w:left w:w="108" w:type="dxa"/>
          <w:bottom w:w="0" w:type="dxa"/>
          <w:right w:w="108" w:type="dxa"/>
        </w:tblCellMar>
      </w:tblPr>
      <w:tblGrid>
        <w:gridCol w:w="1003"/>
        <w:gridCol w:w="1301"/>
        <w:gridCol w:w="1309"/>
        <w:gridCol w:w="4965"/>
      </w:tblGrid>
      <w:tr>
        <w:tblPrEx>
          <w:tblCellMar>
            <w:top w:w="0" w:type="dxa"/>
            <w:left w:w="108" w:type="dxa"/>
            <w:bottom w:w="0" w:type="dxa"/>
            <w:right w:w="108" w:type="dxa"/>
          </w:tblCellMar>
        </w:tblPrEx>
        <w:trPr>
          <w:trHeight w:val="636" w:hRule="atLeast"/>
          <w:jc w:val="center"/>
        </w:trPr>
        <w:tc>
          <w:tcPr>
            <w:tcW w:w="10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序号</w:t>
            </w:r>
          </w:p>
        </w:tc>
        <w:tc>
          <w:tcPr>
            <w:tcW w:w="1301"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辖区</w:t>
            </w:r>
          </w:p>
        </w:tc>
        <w:tc>
          <w:tcPr>
            <w:tcW w:w="130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数量（座）</w:t>
            </w:r>
          </w:p>
        </w:tc>
        <w:tc>
          <w:tcPr>
            <w:tcW w:w="496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具体情况</w:t>
            </w:r>
          </w:p>
        </w:tc>
      </w:tr>
      <w:tr>
        <w:tblPrEx>
          <w:tblCellMar>
            <w:top w:w="0" w:type="dxa"/>
            <w:left w:w="108" w:type="dxa"/>
            <w:bottom w:w="0" w:type="dxa"/>
            <w:right w:w="108" w:type="dxa"/>
          </w:tblCellMar>
        </w:tblPrEx>
        <w:trPr>
          <w:trHeight w:val="555" w:hRule="atLeast"/>
          <w:jc w:val="center"/>
        </w:trPr>
        <w:tc>
          <w:tcPr>
            <w:tcW w:w="10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30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沙头角、海山片区</w:t>
            </w:r>
          </w:p>
        </w:tc>
        <w:tc>
          <w:tcPr>
            <w:tcW w:w="130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color w:val="auto"/>
                <w:kern w:val="0"/>
                <w:sz w:val="21"/>
                <w:szCs w:val="21"/>
                <w:highlight w:val="none"/>
                <w:lang w:val="en-US" w:eastAsia="zh-CN"/>
              </w:rPr>
              <w:t>3</w:t>
            </w:r>
          </w:p>
        </w:tc>
        <w:tc>
          <w:tcPr>
            <w:tcW w:w="496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一级保洁公厕（10蹲位以上）1座、一级保洁公厕（10蹲位以下）1座、</w:t>
            </w:r>
            <w:r>
              <w:rPr>
                <w:rFonts w:hint="eastAsia" w:asciiTheme="minorEastAsia" w:hAnsiTheme="minorEastAsia" w:eastAsiaTheme="minorEastAsia" w:cstheme="minorEastAsia"/>
                <w:color w:val="auto"/>
                <w:kern w:val="0"/>
                <w:sz w:val="21"/>
                <w:szCs w:val="21"/>
                <w:highlight w:val="none"/>
              </w:rPr>
              <w:t>二级</w:t>
            </w:r>
            <w:r>
              <w:rPr>
                <w:rFonts w:hint="eastAsia" w:asciiTheme="minorEastAsia" w:hAnsiTheme="minorEastAsia" w:eastAsiaTheme="minorEastAsia" w:cstheme="minorEastAsia"/>
                <w:color w:val="auto"/>
                <w:kern w:val="0"/>
                <w:sz w:val="21"/>
                <w:szCs w:val="21"/>
                <w:highlight w:val="none"/>
                <w:lang w:val="en-US" w:eastAsia="zh-CN"/>
              </w:rPr>
              <w:t>保洁</w:t>
            </w:r>
            <w:r>
              <w:rPr>
                <w:rFonts w:hint="eastAsia" w:asciiTheme="minorEastAsia" w:hAnsiTheme="minorEastAsia" w:eastAsiaTheme="minorEastAsia" w:cstheme="minorEastAsia"/>
                <w:color w:val="auto"/>
                <w:kern w:val="0"/>
                <w:sz w:val="21"/>
                <w:szCs w:val="21"/>
                <w:highlight w:val="none"/>
              </w:rPr>
              <w:t>公厕（10蹲位以下）</w:t>
            </w:r>
            <w:r>
              <w:rPr>
                <w:rFonts w:hint="eastAsia" w:asciiTheme="minorEastAsia" w:hAnsiTheme="minorEastAsia" w:eastAsiaTheme="minorEastAsia" w:cstheme="minorEastAsia"/>
                <w:color w:val="auto"/>
                <w:kern w:val="0"/>
                <w:sz w:val="21"/>
                <w:szCs w:val="21"/>
                <w:highlight w:val="none"/>
                <w:lang w:val="en-US" w:eastAsia="zh-CN"/>
              </w:rPr>
              <w:t>11座</w:t>
            </w:r>
          </w:p>
        </w:tc>
      </w:tr>
    </w:tbl>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参照《公园公厕管理维护技术规范》（DB4403/T 66-2020）中的要求及其他相关标准进行专业养护。要求在入口醒目位置公示开放时间、卫生质量标准、管理责任人、监督电话等维护管理信息。要求公厕内无异味、无污渍、无垃圾、无污物、无积水、无明显水渍、无蚊蝇蜘蛛、无乱堆杂物，保证设施完好，按规定配备厕纸和洗手液，按规定进行排污和运输作业，并根据行业管理规范不断提高管理水平。</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2.技术要求</w:t>
      </w:r>
    </w:p>
    <w:p>
      <w:pPr>
        <w:pStyle w:val="70"/>
        <w:keepNext w:val="0"/>
        <w:keepLines w:val="0"/>
        <w:pageBreakBefore w:val="0"/>
        <w:numPr>
          <w:ilvl w:val="5"/>
          <w:numId w:val="100"/>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公厕保洁总体要求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（1）公园公厕保洁和开放应与公园开放时间同步，应在公园公厕开放前对公厕全面检查，确保干净整洁，设备设施可正常使用。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（2）应有专人进行保洁与服务，男、女公厕宜分别由男、女保洁员保洁。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（3）应免费提供厕纸、擦手纸、洗手液，并供应充足。厕位间内宜设置可装双卷厕纸的厕纸盒，厕纸 应选择水溶性厕纸。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（4）第三卫生间、无障碍厕间、母婴室和无障碍厕位等为特殊群体服务的厕间和厕位应保持功能完备、开放正常，不挪作他用，不堆积杂物。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（5）公园公厕应做到公厕内地面干净、整洁，无杂物、无烟蒂；墙面、挡板没有污迹和蛛网吊灰；便 器内外没有积粪、粪疤、尿碱、蝇蛆；无明显臭味（臭味强度≤1 级）。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（6）公园内无自来水通达的厕所应做到无粪便、无尿残留、无垃圾杂物、垃圾及时清运。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（7）未连接城市排污管网的生态厕所应对粪便进行无害化处理，排放物应达到排放标准。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（8）应制定公厕内保洁制度、服务标准和设施设备的维护规程，做到制度上墙；定期对设施进行检查维护，确保各类设施设备齐全、功能完好，清洁可用，并保存相关记录。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（9）当重大节假日或公园内举办重大活动游客人流量会明显增大时，厕所管理部门应根据预判的人流量增设相应数量的活动厕所，并加派保洁人员、增加保洁频次，进行跟踪式清洁维护。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（10）鼓励运用“互联网+”信息技术，提高公厕管理的智慧化水平。 </w:t>
      </w:r>
    </w:p>
    <w:p>
      <w:pPr>
        <w:pStyle w:val="70"/>
        <w:keepNext w:val="0"/>
        <w:keepLines w:val="0"/>
        <w:pageBreakBefore w:val="0"/>
        <w:numPr>
          <w:ilvl w:val="5"/>
          <w:numId w:val="100"/>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公厕保洁管理要求</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标识标牌使用维护要求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公厕标识标牌应保持清洁、清晰，无残缺、无锈迹、无歪斜。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各类导向牌应保持指示方向准确。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周边环境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公厕外墙周围5m以内保持环境卫生整洁，周边无垃圾、无粪便、无污水、无废土、无乱堆乱挂 杂物、无污迹、无黄土裸露、无卫生死角、无蚊蝇孳生地、无乱设摊、无乱搭建。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坡道、台阶、扶手应保持完好无破损，无垃圾、无痰迹、无积水、无杂物、无吊挂，不应有障碍物。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化（贮）粪池应做到不满溢，周围场地应保持整洁，无垃圾、无粪迹、无污水、无蝇蛆、无老无鼠、无蛇，臭味强度≤1 级。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周边环境应与公园整体环境相融合，进行绿化美化。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内部环境 </w:t>
      </w:r>
    </w:p>
    <w:p>
      <w:pPr>
        <w:pStyle w:val="70"/>
        <w:keepNext w:val="0"/>
        <w:keepLines w:val="0"/>
        <w:pageBreakBefore w:val="0"/>
        <w:numPr>
          <w:ilvl w:val="1"/>
          <w:numId w:val="10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基本要求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公厕室内应光线充足，厕位间内的地面照度≥100lx，通风良好，干净整洁、臭味强度≤1 级。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厕所的蚊虫、蝇类生物密度控制水平宜分别满足《病媒生物密度控制水平 蚊虫》（GB/T 27771-2011）和 《病媒生物密度控制水平 蝇类》（GB/T 27772-2011） 的要求。 </w:t>
      </w:r>
    </w:p>
    <w:p>
      <w:pPr>
        <w:pStyle w:val="70"/>
        <w:keepNext w:val="0"/>
        <w:keepLines w:val="0"/>
        <w:pageBreakBefore w:val="0"/>
        <w:numPr>
          <w:ilvl w:val="1"/>
          <w:numId w:val="10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门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门正、反面和门把手应洁净，无印记、无湿迹、无锈蚀、无尘土、无吊挂杂物、无乱张贴、无涂刻； 门缝及闭门器应无垃圾、无积灰、无锈蚀。 </w:t>
      </w:r>
    </w:p>
    <w:p>
      <w:pPr>
        <w:pStyle w:val="70"/>
        <w:keepNext w:val="0"/>
        <w:keepLines w:val="0"/>
        <w:pageBreakBefore w:val="0"/>
        <w:numPr>
          <w:ilvl w:val="1"/>
          <w:numId w:val="10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窗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窗玻璃应干净明亮，窗台、窗框、窗纱、窗花、排风扇等处应无破损、无垃圾、无杂物、无蛛网、无积灰、无乱张贴、无涂刻。 </w:t>
      </w:r>
    </w:p>
    <w:p>
      <w:pPr>
        <w:pStyle w:val="70"/>
        <w:keepNext w:val="0"/>
        <w:keepLines w:val="0"/>
        <w:pageBreakBefore w:val="0"/>
        <w:numPr>
          <w:ilvl w:val="1"/>
          <w:numId w:val="10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地面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地面应洁净、干爽，无垃圾、无污迹、无积水、无杂物，保持干燥。 </w:t>
      </w:r>
    </w:p>
    <w:p>
      <w:pPr>
        <w:pStyle w:val="70"/>
        <w:keepNext w:val="0"/>
        <w:keepLines w:val="0"/>
        <w:pageBreakBefore w:val="0"/>
        <w:numPr>
          <w:ilvl w:val="1"/>
          <w:numId w:val="10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厕位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蹲便器、坐便器外侧应无水锈、无粪便、无污物；蹲便器、坐便器内应洁净，臭味强度≤1级，无积粪、堵塞。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小便器（槽）应清洁，无垃圾、无尿垢、无水锈，管道沟眼应保持畅通。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厕位隔离板应保持完好、洁净，无积灰、无污迹、无蛛网、无乱涂乱画、无乱张贴。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设施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洗手区应设置废纸收集容器。宜采用 PVC 或不锈钢材质的容器，其容积应根据公厕的规模及实际使用人流量和保洁频次来选择，一般不应小于100L；废纸收集容器宜采用敞口式。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女厕所内宜配置带盖的厕纸篓，厕纸篓容积宜10L。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安装坐式马桶的厕位，应提供坐垫圈清洁、消毒设施。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公厕内应设置防蝇、防蚊、防鼠设施。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当自然通风无法满足厕所内除臭要求时，应在公厕内增设异味净化除臭装置或机械排风装置。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洗手池及台面、搁物台、镜子、冲水设备完好，无积灰、无污迹、无蛛网、无水垢、无毛发、无杂物、无乱张贴、无涂刻。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皂液盒、干手器、手纸盒、挂衣钩、除臭设备、通风设备、空调、灯具及开关、指示灯箱、水龙头等设备应完好、洁净，无积灰、无污迹。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废物篓、垃圾桶应干净无破损，篓内废弃物、垃圾容量达到三分之二以上时应及时清理，桶（篓）外无遗弃物。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墩布池、地漏无污渍、无杂物、无臭味。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无障碍设施保持功能正常，清洁、完好，无污迹、无锈迹。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墙面及屋顶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内外墙面和天花板应保持洁净，无积灰、无污迹、无渗漏、无蛛网、无乱涂乱画、无张贴、无吊挂。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屋顶应保持排水畅通、无渗漏、无沉积落叶、无杂灌草生长、无生活垃圾及其他杂物，不应设置与公厕管理无关的物品。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第三卫生间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设置的成人坐便器、儿童坐便器、儿童小便器、成人洗手盆、儿童洗手盆、多功能台、儿童安全座椅、挂衣钩、紧急呼叫器、安全抓杆等设施应每日检查，保持功能完好、洁净；洗手液、纸巾等应及时补充；垃圾桶应及时清理。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无障碍厕间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设置的坐便器、安全抓杆、求助呼叫按钮、洗手池、镜子等设施应每日检查，保持功能完好、洁净。 洗手液、纸巾等应及时补充；垃圾桶应及时清理。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母婴室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母婴室室内设施和婴儿护理台应每日至少清洁 2 次，并每月消毒 1 次，保持舒适整洁、温馨防滑，随脏随洗；传染病流行期间应加强清洁和消毒。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母婴室配置的婴儿整理台、婴儿床、洗手台、桌凳等设施设备应每日检查，损坏的设施设备应及时维修更换；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母婴室配置的热水、洗手液、免洗洗手液、纸巾、应急药品、儿童玩具等用品，应每日检查，及时补充更替。垃圾桶应及时清理。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母婴室内垃圾桶及废弃物应及时清理。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应建立相应的使用溯源机制。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工具房和管理房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工具房应保持整洁，无异味；保洁工具存放整齐。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管理房不应挪作他用，室内保持整洁，不应饲养宠物。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等候区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应充分利用公园公厕外部空间，合理设置集休憩、避雨、观赏等功能于一体的等候区。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等候区所设置的座椅、坐凳、风雨廊架等设施应与周边环境相协调，并保持完好、洁净。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等候区的植物养护、卫生保洁参照《公园园容绿化管理规范》（SZDB/Z 205-2016）执行。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等候区的设施维护参照《公园设施维护技术规范》（SZDB/Z 194-2016）执行。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应急处置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当遇到恶劣天气、停水停电、管道堵塞、人流量剧增、如厕人员身体不适等突发事件时，应采取应急服务保障措施，确保公厕服务连续、正常。 </w:t>
      </w:r>
    </w:p>
    <w:p>
      <w:pPr>
        <w:pStyle w:val="70"/>
        <w:keepNext w:val="0"/>
        <w:keepLines w:val="0"/>
        <w:pageBreakBefore w:val="0"/>
        <w:numPr>
          <w:ilvl w:val="1"/>
          <w:numId w:val="101"/>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流行性感染疾病防控措施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①当流行性感染疾病发生时，应建立公园公厕专项防控方案。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②加强通风换气，保持空气流通，在确保设备正常使用的条件下提倡开门服务，保证干净整洁、空气清新。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③公厕消毒应符合下列规定：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——公厕消毒剂应使用有效氯为1000~2000mg/L 的含氯消毒剂或具有同样功效的消毒剂；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——应每天在公厕关闭前对厕所进行全面冲洗和消毒工作；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——应使用含有效氯 1000mg/L 的消毒液对门把手、衣帽钩、水龙头、洗漱池、墙壁等进行擦拭，30分钟后再使用清水擦拭。每日消毒3-4次；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——应使用含有效氯2000mg/L 的消毒液对地面、坐便器、蹲坑、小便池等进行擦拭，30 分钟后再用清水擦拭干净，全面消毒每日不少于3次。随游客使用情况和如厕流量可适当增加消毒次数；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——每天应对清洁工具进行浸泡消毒；拖把、抹布等洁具使用后要及时清洗、分类存放，并用含有效氯1000mg/L 的消毒液浸泡30分钟后清水冲洗干净，晾干备用；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——应提供免洗消毒液；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——宜在冲厕水中加入消毒成分。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④公厕清洁人员的防护应符合下列规定：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——穿戴防护工作服、工作帽、医用口罩、手套、工作鞋等个人防护用品上岗；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——在上岗前和作业完毕后应及时洗手消毒，更换洗个人防护用具；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——每天上岗前，应对健康状况进行检测，如有健康问题不得上岗。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⑤公厕排污应符合下列规定：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——公厕排污管道应进行排查，疏通堵塞；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——应对化粪池进行排查，清掏疏浚，投放消毒剂；粪便不得超过化粪池容积的四分之三。 </w:t>
      </w:r>
    </w:p>
    <w:p>
      <w:pPr>
        <w:pStyle w:val="70"/>
        <w:keepNext w:val="0"/>
        <w:keepLines w:val="0"/>
        <w:pageBreakBefore w:val="0"/>
        <w:numPr>
          <w:ilvl w:val="5"/>
          <w:numId w:val="100"/>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公厕保洁服务要求</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人员要求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保洁员应穿着统一工作服，经培训合格后佩证上岗，每小时签到一次。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应遵守各项规章制度，按公厕卫生标准、作业程序、保洁服务计划进行保洁作业。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文明用语，礼貌待人，在需要时，对老弱病残幼等特殊人群提供如厕帮助。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信息公开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应在公厕入口处醒目位置设置管理公示牌，公示公厕的保洁制度和服务标准。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应在公厕醒目位置设置公厕清洁记录表，公示清洁情况、保洁人员姓名、检查情况、检查人员姓名等信息。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维修设施时，应向游客公示，公示内容包括维修内容、预计重新开放时间、周边公厕信息等。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可利用互联网等手段公示公厕开放时间、厕位数目等信息；公示科普、气象、疾病预防措施等信息；接收游客反馈的信息。 </w:t>
      </w:r>
    </w:p>
    <w:p>
      <w:pPr>
        <w:pStyle w:val="70"/>
        <w:keepNext w:val="0"/>
        <w:keepLines w:val="0"/>
        <w:pageBreakBefore w:val="0"/>
        <w:numPr>
          <w:ilvl w:val="5"/>
          <w:numId w:val="100"/>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公厕保洁操作规范</w:t>
      </w:r>
    </w:p>
    <w:p>
      <w:pPr>
        <w:pStyle w:val="70"/>
        <w:keepNext w:val="0"/>
        <w:keepLines w:val="0"/>
        <w:pageBreakBefore w:val="0"/>
        <w:numPr>
          <w:ilvl w:val="1"/>
          <w:numId w:val="104"/>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保洁作业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保洁作业前，应在公厕入口处放置保洁作业牌。未分开男女保洁的厕所，女保洁员在男厕所保洁、男保洁员在女厕所保洁时，应在公厕入口处放置提示牌。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便池随脏随冲洗。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地面随时有积水随时拖干。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垃圾桶、废物篓内的废弃物随满随清。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内墙面、天花板、门窗、隔离板、镜子、洗手器具、冲水设备等设施应随污随清。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公厕外墙周边 5m 以内每日清理两次。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外墙面每月清理一次。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屋顶每月至少清理一次，应做到无堆积落叶、无杂灌草生长、无生活垃圾及其他杂物。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化（贮）粪池每年至少清理一次，保持井盖遮盖严实。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雨天、回南天与地面保洁时，在明显位置设置醒目的防滑标志，铺设防滑垫，必要时使用鼓风机和抽湿机。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清洁便池的拖把、抹布应在每完成一次清洁后及时清洗消毒，并与清洁其他设施的拖把、抹布区分使用。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供游客洗手用的洗手盆不应用于保洁作业。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应至少每日闭园后全面清洗一次，人流量大的公厕可适当增加清洗次数。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保洁作业完毕后，应将作业工具清洁干净，统一放置在工具房内做到标识标签区分、定用途定位使用、分区分类存放、消毒悬挂晾干。 </w:t>
      </w:r>
    </w:p>
    <w:p>
      <w:pPr>
        <w:pStyle w:val="70"/>
        <w:keepNext w:val="0"/>
        <w:keepLines w:val="0"/>
        <w:pageBreakBefore w:val="0"/>
        <w:numPr>
          <w:ilvl w:val="1"/>
          <w:numId w:val="104"/>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用品补给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及时补充厕所应配置的纸巾、洗手液等服务用品，确保厕纸盒内始终有厕纸供应、洗手液应维持在皂液盒容量的 1/3 以上。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小便器（槽）应放置清洁球。 </w:t>
      </w:r>
    </w:p>
    <w:p>
      <w:pPr>
        <w:pStyle w:val="70"/>
        <w:keepNext w:val="0"/>
        <w:keepLines w:val="0"/>
        <w:pageBreakBefore w:val="0"/>
        <w:numPr>
          <w:ilvl w:val="1"/>
          <w:numId w:val="104"/>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设施维护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除不可抗力的因素外，停水、停电、漏水、便器堵塞、抽风机损坏等小修故障应在 1 小时内抢修，在 12 小时内恢复使用。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公厕门、窗、纱、厕灯、标识牌、衣钩、扶手等损坏，在 24 小时内修复。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洗手台、便器、面镜、无障碍设施、天花板、地面、墙壁、隔离板等设施损坏在 48 小时内修复。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维修设施时，在公厕入口处放置维修作业提示牌。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对存在安全隐患的设施进行隔离，在醒目处设置警示标识。</w:t>
      </w:r>
    </w:p>
    <w:p>
      <w:pPr>
        <w:pStyle w:val="70"/>
        <w:keepNext w:val="0"/>
        <w:keepLines w:val="0"/>
        <w:pageBreakBefore w:val="0"/>
        <w:numPr>
          <w:ilvl w:val="1"/>
          <w:numId w:val="104"/>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消毒消杀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公厕内的通风管道、干手器等设施设备及内部环境，每月应至少全面消毒一次。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便器、扶手、洗手器具、干手器、门把手、开关等每日应至少消毒一次。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夏季（4 月～10 月）每周至少进行一次消杀，冬季（11 月～次年3月）每月至少进行两次消杀，在传染病流行期间应制定消杀专案，进行专项整治。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实施消毒、消杀作业前应对作业人员进行培训。作业人员进行消毒、消杀作业时应佩戴防护护具。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消毒剂应选用环保、无毒的产品。开展消毒消杀作业前应提前做好计划，预告游客待在安全距离以外；消毒消杀后厕所设施使用前应有足够的消散时间。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每次消毒消杀工作须对消毒消杀的范围、使用消毒产品的品种和用量、作业时间等做好记录存档。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（六）远足、郊野径管养技术要求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1.1一级维护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1.1.1维护人员</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远足、郊野径本体、出入口平台、休憩平台以及远足、郊野径两侧 10 米可视及安全可达范围内开展维护。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日常维护（极端天气除外）：远足、郊野径本体、环境、垃圾清运开展巡查、清洁和检修等工作。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不定期维护：暴风雨、台风、法定节假日及各类登山赛事前后，必须上山检查并及时根据实际情况来维护，排除安全隐患。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1.1.2木料设备</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常用维护工法如木头阶梯等应就近取材，自然磨损或自然腐朽严重的应及时更换。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标识、木坐凳、休息亭等相关木质结构应定期进行防腐和防白蚁措施。其中防腐措施可刷木蜡油，每年 2 次；防白蚁措施可喷淋防白蚁药物，每年 2 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木材松动、破损或丢失，应及时加固或更换。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木材长苔藓、菌类等，应及时清理。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维护频率≥2 次 / 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护树架、护栏、水电等若有损坏当日修好，其他设施按整改要求时限（3 天）修好。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维护后的场景需与周边的环境相融合。不同维护等级对维护过程所用的材料材质和工艺要求一致。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1.1.3铁艺设备</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相关设施结构变形、倾斜、松动或损坏，应及时维修。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螺丝、钉子等配件生锈、破损，应及时更换。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护树架、护栏、水电等若有损坏当日修好，其他设施按整改要求时限（3 天）修好。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维护后的场景需与周边的环境相融合。不同维护等级对维护过程所用的材料材质和工艺要求一致。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1.1.4白蚁防治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对远足、郊野径发现的白蚁隐患及时处理；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定期检查，确保远足、郊野径无白蚁隐患。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日常发现白蚁隐患应当天处理，特殊情况要求处理应≤3 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全面防白蚁喷淋≥2 次 / 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1.2二级维护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1.2.1维护人员</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远足、郊野径本体、出入口平台、休憩平台以及远足、郊野径两侧 10 米可视及安全可达范围内开展维护。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日常维护（极端天气除外）：远足、郊野径本体、环境、垃圾清运开展巡查、清洁和检修等工作。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不定期维护：暴风雨、台风、法定节假日及各类登山赛事前后，必须上山检查并及时根据实际情况来维护，排除安全隐患。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1.2.2木料设备</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常用维护工法如木头阶梯等应就近取材，自然磨损或自然腐朽严重的应及时更换。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标识、木坐凳、休息亭等相关木质结构应定期进行防腐和防白蚁措施。其中防腐措施可刷木蜡油，每年 2 次；防白蚁措施可喷淋防白蚁药物，每年 2 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木材松动、破损或丢失，应及时加固或更换。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木材长苔藓、菌类等，应及时清理。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维护频率≥2 次 / 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护树架、护栏、水电等若有损坏当日修好，其他设施按整改要求时限（3 天）修好。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维护后的场景需与周边的环境相融合。不同维护等级对维护过程所用的材料材质和工艺要求一致。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1.2.3 铁艺设备</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相关设施结构变形、倾斜、松动或损坏，应及时维修。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螺丝、钉子等配件生锈、破损，应及时更换。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护树架、护栏、水电等若有损坏当日修好，其他设施按整改要求时限（3 天）修好。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维护后的场景需与周边的环境相融合。不同维护等级对维护过程所用的材料材质和工艺要求一致。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1.2.4 白蚁防治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对远足、郊野径发现的白蚁隐患及时处理；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定期检查，确保远足、郊野径无白蚁隐患。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日常发现白蚁隐患应当天处理，特殊情况要求处理应≤3 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全面防白蚁喷淋≥2 次 / 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 三级维护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1.3.1维护人员</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远足、郊野径本体、出入口平台、休憩平台以及远足、郊野径两侧 10 米可视及安全可达范围内开展维护。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日常维护（极端天气除外）：远足、郊野径本体、环境、垃圾清运开展巡查、清洁和检修等工作。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不定期维护：暴风雨、台风、法定节假日及各类登山赛事前后，必须上山检查并及时根据实际情况来维护，排除安全隐患。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1.3.2木料设备</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常用维护工法如木头阶梯等应就近取材，自然磨损或自然腐朽严重的应及时更换。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标识、木坐凳、休息亭等相关木质结构应定期进行防腐和防白蚁措施。其中防腐措施可刷木蜡油，每年 2 次；防白蚁措施可喷淋防白蚁药物，每年 2 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木材松动、破损或丢失，应及时加固或更换。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木材长苔藓、菌类等，应及时清理。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维护频率≥2 次 / 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护树架、护栏、水电等若有损坏当日修好，其他设施按整改要求时限（3 天）修好。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维护后的场景需与周边的环境相融合。不同维护等级对维护过程所用的材料材质和工艺要求一致。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1.3.3 铁艺设备</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相关设施结构变形、倾斜、松动或损坏，应及时维修。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螺丝、钉子等配件生锈、破损，应及时更换。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护树架、护栏、水电等若有损坏当日修好，其他设施按整改要求时限（3 天）修好。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维护后的场景需与周边的环境相融合。不同维护等级对维护过程所用的材料材质和工艺要求一致。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1.3.4白蚁防治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对远足、郊野径发现的白蚁隐患及时处理；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定期检查，确保远足、郊野径无白蚁隐患。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产出效果及目标值：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年度无安全事故；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日常发现白蚁隐患应当天处理，特殊情况要求处理应≤3 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3. 全面防白蚁喷淋≥2 次 / 年。</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七</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）公园照明管养</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技术</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要求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1.服务内容</w:t>
      </w:r>
    </w:p>
    <w:p>
      <w:pPr>
        <w:pStyle w:val="197"/>
        <w:keepNext w:val="0"/>
        <w:keepLines w:val="0"/>
        <w:pageBreakBefore w:val="0"/>
        <w:kinsoku/>
        <w:wordWrap/>
        <w:overflowPunct/>
        <w:topLinePunct w:val="0"/>
        <w:autoSpaceDE/>
        <w:autoSpaceDN/>
        <w:bidi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但不限于盐田街道片区公园内的路灯、LED护栏管、LED投光灯、洗墙灯、软灯带、壁灯、柱灯、吊顶灯、庭院灯、单臂灯等各类灯的控制电箱、专用箱变、配电箱（柜）、灯杆、灯具、管线及照明附属设施设备和照明控制、节能设施、高低压配电设施（含专用变压器）、高低压电线电缆（含电缆管道）及其他电气设施等的巡查、清洗、常规维护、防盗、修复、自然的耗损老化更换。</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2.技术要求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中标人须对绿地上的灯光照明设施要经常检修维护，确保用电安全。发现破损及时修复，保证正常照明功能：</w:t>
      </w:r>
    </w:p>
    <w:p>
      <w:pPr>
        <w:pStyle w:val="70"/>
        <w:keepNext w:val="0"/>
        <w:keepLines w:val="0"/>
        <w:pageBreakBefore w:val="0"/>
        <w:numPr>
          <w:ilvl w:val="5"/>
          <w:numId w:val="105"/>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每日巡查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（1）灯具无损坏、不亮、脱落现象；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（2）灯杆无倾斜、损坏、基础下沉现象；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（3）开关、照明控制器无残缺、失灵、过热现象；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（4）应急照明工作正常；</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（5）危险电力标志清晰完整、加锁；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（6）暗敷电缆沿线盖板的路线标桩完整，电缆沟、电缆井内无积水，接地良好。</w:t>
      </w:r>
    </w:p>
    <w:p>
      <w:pPr>
        <w:pStyle w:val="70"/>
        <w:keepNext w:val="0"/>
        <w:keepLines w:val="0"/>
        <w:pageBreakBefore w:val="0"/>
        <w:numPr>
          <w:ilvl w:val="5"/>
          <w:numId w:val="105"/>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日常维护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（1）定期对灯罩进行清扫(洗)，对灯杆上的乱张贴、乱涂写、乱悬挂及时清理，每年对灯杆刷漆保养 1 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（2）线路每委度检修一遍，及时更换破损的导线接头、老化线路及绝缘子。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（3）单灯不亮，1 天内修复。大面积熄灯(如一条园路不亮灯)，2 天内修复。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（4）园灯变压器、配电箱故障，2 天内修复。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（5）灯杆门、电缆井盖缺失，及时采取临时封盖措施，2 天内修复或补齐。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（6）其他设施损坏、被挖、被盗，应组织抢修，3 天内修复或补齐。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（7）非特殊情况，不得白天亮灯修灯。</w:t>
      </w:r>
    </w:p>
    <w:p>
      <w:pPr>
        <w:pStyle w:val="70"/>
        <w:keepNext w:val="0"/>
        <w:keepLines w:val="0"/>
        <w:pageBreakBefore w:val="0"/>
        <w:numPr>
          <w:ilvl w:val="5"/>
          <w:numId w:val="105"/>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日常运作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（1）设备完好率达到 95%以上；</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（2）装灯率达到 95%以上</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（3）园灯照明应根据季节调整亮灯时间，闭园时应分区分段逐步熄灯，提醒和保障游人顺利离园</w:t>
      </w:r>
    </w:p>
    <w:p>
      <w:pPr>
        <w:pStyle w:val="70"/>
        <w:keepNext w:val="0"/>
        <w:keepLines w:val="0"/>
        <w:pageBreakBefore w:val="0"/>
        <w:numPr>
          <w:ilvl w:val="5"/>
          <w:numId w:val="105"/>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低碳照明</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使用太阳能、风能的园灯应每日检查供电情况，定期维护电池板、充放电控制器、LED 灯头等设备。</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（八）安保服务内容及技术要求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《公园安全管理规范》（SZDB/Z 299—2018）要求，做好公园内全天候安全保卫、秩序维护、护林防火、应急事件的协助处置等以及采购人临时交代的其他事项。</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园内公共设施、设备及场所安全管理工作；</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红线范围内水、电及消防设施的安全管理工作；</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红线区域内交通、车辆的行驶及停泊管理工作；</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消防安全</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护林防火</w:t>
      </w:r>
      <w:r>
        <w:rPr>
          <w:rFonts w:hint="eastAsia" w:asciiTheme="minorEastAsia" w:hAnsiTheme="minorEastAsia" w:eastAsiaTheme="minorEastAsia" w:cstheme="minorEastAsia"/>
          <w:color w:val="auto"/>
          <w:sz w:val="21"/>
          <w:szCs w:val="21"/>
          <w:highlight w:val="none"/>
          <w:lang w:val="en-US" w:eastAsia="zh-CN"/>
        </w:rPr>
        <w:t>等</w:t>
      </w:r>
      <w:r>
        <w:rPr>
          <w:rFonts w:hint="eastAsia" w:asciiTheme="minorEastAsia" w:hAnsiTheme="minorEastAsia" w:eastAsiaTheme="minorEastAsia" w:cstheme="minorEastAsia"/>
          <w:color w:val="auto"/>
          <w:sz w:val="21"/>
          <w:szCs w:val="21"/>
          <w:highlight w:val="none"/>
        </w:rPr>
        <w:t>防范工作；</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水体的安全管理；</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公共秩序的维护工作，安全监控、巡视等安保工作；</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进园游客的服务与管理；</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人流疏导；</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进园作业人员及其施工设施的监督管理；</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建立工作人员值班和登记制度</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含</w:t>
      </w:r>
      <w:r>
        <w:rPr>
          <w:rFonts w:hint="eastAsia" w:asciiTheme="minorEastAsia" w:hAnsiTheme="minorEastAsia" w:eastAsiaTheme="minorEastAsia" w:cstheme="minorEastAsia"/>
          <w:color w:val="auto"/>
          <w:sz w:val="21"/>
          <w:szCs w:val="21"/>
          <w:highlight w:val="none"/>
        </w:rPr>
        <w:t>节假日、夜间</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，记录完整；</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组织应急分队，随时可调动</w:t>
      </w:r>
      <w:r>
        <w:rPr>
          <w:rFonts w:hint="eastAsia" w:asciiTheme="minorEastAsia" w:hAnsiTheme="minorEastAsia" w:eastAsiaTheme="minorEastAsia" w:cstheme="minorEastAsia"/>
          <w:color w:val="auto"/>
          <w:sz w:val="21"/>
          <w:szCs w:val="21"/>
          <w:highlight w:val="none"/>
          <w:lang w:val="en-US" w:eastAsia="zh-CN"/>
        </w:rPr>
        <w:t>满足采购人要求的</w:t>
      </w:r>
      <w:r>
        <w:rPr>
          <w:rFonts w:hint="eastAsia" w:asciiTheme="minorEastAsia" w:hAnsiTheme="minorEastAsia" w:eastAsiaTheme="minorEastAsia" w:cstheme="minorEastAsia"/>
          <w:color w:val="auto"/>
          <w:sz w:val="21"/>
          <w:szCs w:val="21"/>
          <w:highlight w:val="none"/>
        </w:rPr>
        <w:t>应急人员处理各种应急事件；</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按照《深圳经济特区控制吸烟条例》精神，做好园内控烟工作。</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劝阻进园游客公园垂钓、放生等行为。</w:t>
      </w:r>
    </w:p>
    <w:p>
      <w:pPr>
        <w:keepNext w:val="0"/>
        <w:keepLines w:val="0"/>
        <w:pageBreakBefore w:val="0"/>
        <w:numPr>
          <w:ilvl w:val="0"/>
          <w:numId w:val="10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法律法规以及合同中规定的其它工作以及临时交办的工作。</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（九）直饮水机管养维护服务技术要求</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left="420" w:leftChars="200" w:firstLine="0" w:firstLine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1.对直饮水系统进行例行检查和保养；定期更换直饮水过滤材料等所需耗材；</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2.定期进行有效的、安全的清洗和消毒；并检测及送检水质，每年不少于4次水质检测。</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（十）电梯维护内容及要求</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Chars="200" w:firstLine="210" w:firstLineChars="1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1.电梯基本情况</w:t>
      </w:r>
    </w:p>
    <w:p>
      <w:pPr>
        <w:adjustRightInd w:val="0"/>
        <w:snapToGrid w:val="0"/>
        <w:spacing w:before="120" w:beforeLines="50" w:after="120" w:afterLines="50"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电梯基本情况统计表</w:t>
      </w:r>
    </w:p>
    <w:tbl>
      <w:tblPr>
        <w:tblStyle w:val="42"/>
        <w:tblW w:w="6795" w:type="dxa"/>
        <w:jc w:val="center"/>
        <w:tblLayout w:type="autofit"/>
        <w:tblCellMar>
          <w:top w:w="0" w:type="dxa"/>
          <w:left w:w="108" w:type="dxa"/>
          <w:bottom w:w="0" w:type="dxa"/>
          <w:right w:w="108" w:type="dxa"/>
        </w:tblCellMar>
      </w:tblPr>
      <w:tblGrid>
        <w:gridCol w:w="760"/>
        <w:gridCol w:w="2169"/>
        <w:gridCol w:w="2388"/>
        <w:gridCol w:w="1478"/>
      </w:tblGrid>
      <w:tr>
        <w:tblPrEx>
          <w:tblCellMar>
            <w:top w:w="0" w:type="dxa"/>
            <w:left w:w="108" w:type="dxa"/>
            <w:bottom w:w="0" w:type="dxa"/>
            <w:right w:w="108" w:type="dxa"/>
          </w:tblCellMar>
        </w:tblPrEx>
        <w:trPr>
          <w:trHeight w:val="360"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序号</w:t>
            </w:r>
          </w:p>
        </w:tc>
        <w:tc>
          <w:tcPr>
            <w:tcW w:w="216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辖区</w:t>
            </w:r>
          </w:p>
        </w:tc>
        <w:tc>
          <w:tcPr>
            <w:tcW w:w="2388"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位置</w:t>
            </w:r>
          </w:p>
        </w:tc>
        <w:tc>
          <w:tcPr>
            <w:tcW w:w="1478"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数量（座）</w:t>
            </w:r>
          </w:p>
        </w:tc>
      </w:tr>
      <w:tr>
        <w:tblPrEx>
          <w:tblCellMar>
            <w:top w:w="0" w:type="dxa"/>
            <w:left w:w="108" w:type="dxa"/>
            <w:bottom w:w="0" w:type="dxa"/>
            <w:right w:w="108" w:type="dxa"/>
          </w:tblCellMar>
        </w:tblPrEx>
        <w:trPr>
          <w:trHeight w:val="510" w:hRule="atLeast"/>
          <w:jc w:val="center"/>
        </w:trPr>
        <w:tc>
          <w:tcPr>
            <w:tcW w:w="760"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216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沙头角街道</w:t>
            </w:r>
          </w:p>
        </w:tc>
        <w:tc>
          <w:tcPr>
            <w:tcW w:w="2388" w:type="dxa"/>
            <w:tcBorders>
              <w:top w:val="nil"/>
              <w:left w:val="nil"/>
              <w:bottom w:val="single" w:color="auto" w:sz="4" w:space="0"/>
              <w:right w:val="single" w:color="auto" w:sz="4" w:space="0"/>
            </w:tcBorders>
            <w:shd w:val="clear" w:color="auto" w:fill="auto"/>
            <w:noWrap/>
            <w:vAlign w:val="center"/>
          </w:tcPr>
          <w:p>
            <w:pPr>
              <w:widowControl/>
              <w:spacing w:line="24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隧道口上盖公园</w:t>
            </w:r>
          </w:p>
        </w:tc>
        <w:tc>
          <w:tcPr>
            <w:tcW w:w="1478" w:type="dxa"/>
            <w:tcBorders>
              <w:top w:val="nil"/>
              <w:left w:val="nil"/>
              <w:bottom w:val="single" w:color="auto" w:sz="4" w:space="0"/>
              <w:right w:val="single" w:color="auto" w:sz="4" w:space="0"/>
            </w:tcBorders>
            <w:shd w:val="clear" w:color="auto" w:fill="auto"/>
            <w:noWrap/>
            <w:vAlign w:val="center"/>
          </w:tcPr>
          <w:p>
            <w:pPr>
              <w:widowControl/>
              <w:spacing w:line="24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r>
    </w:tbl>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2.电梯维保要求</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中标人应当建立并落实电梯的维护保养和定期自行检查制度，委托依法取得特种设备维护保养相应许可的专业单位对电梯进行维护保养，确保电梯运行中的人身和设备安全，保持电梯处于安全、适宜运行的状态。并严格按照《深圳经济特区特种设备安全条例》、《电梯监督检验和定期检验规则》（TSG T7001—2023）、《电梯自行检测规则》（TSG T7008—2023）的规定做好以下工作：</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负责全部电梯的日常巡查、运行管理、维护保养、安检年审、应急维修及应急事故处理等工作。</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代办设备年检申报手续，配合政府主管部门实施年检，年检费由中标人负责，保证取得《电扶梯运行许可证》。如因中标人原因导致年检未能通过，复检费用亦由中标人负责。</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按《深圳市电梯安全监管方式改革实施方案》要求，对全部电梯购买事故责任险，基础保费垂直电梯不少于每年100元/台，扶梯不少于每年200元/台。</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将维护保养标志、安全提示、警示标志以及服务投诉电话公示于电梯显著位置。建立维保“一承诺八明示”制度。</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中标人在电梯运行时间内安排专员值班，根据采购人具体的时限要求按时开关电梯，保证电梯的正常运转。提供全天候应急处理服务，并在接到采购人紧急报修通知后30分钟内赶到现场。电梯如发生困人事件，应急人员应5分钟内到达现场，15分钟内将所困人员安全解救。</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负责定期对电梯扶手、梯级等进行保洁，对电梯内外“乱粘贴、乱涂写”进行及时清理。保洁频率每天不低于3次，并视具体情况（如节假日人流量大时）适当提高保洁频率。</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负责电梯的日常保养。电梯的保养一般在中标人的正常工作时间（星期一至星期五上午8:00-下午18:00）内进行，采购人若有特殊需要，中标人需在正常工作以外的时间无条件提供服务（电梯设备若发生故障需要应急处理时不受上述时间限制）。具体内容有：</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①机房内电梯主机减速器、曳引电动机、曳引轮、导向轮、编码器、控制柜内的印板及各种电器元件、限速器、变压器、紧急停靠屏和制动器等的更换、检查、调整、润滑和清洁。</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②井道内支架、导轨、层门装置及预报灯、缓冲器、井道内开关、随行电缆和限速器张紧装置等部件的更换、检查、调整、润滑和清洁。</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③电梯轿厢操纵箱及其内部印板、按钮及各种元件、整个轿门装置、轿厢和对重的导靴及油杯、平屋感应装置、轿顶操纵箱及其内部的元件等部件的更换、检查、调整、润滑和清洁。</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④电梯曳引钢丝绳、补偿钢丝绳、补偿链、限速器钢丝绳的清洁和长度调整，并根据年度检测结果免费调换。</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⑤电梯平层精度的检查和调整。</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⑥包括但不限于每月2次根据国家有关的技术规范和乙方的工艺要求对电梯设备进行保养；每年对曳引钢丝绳作一次探伤检测，每年对整机做一次安全运行和运行质量检测，每二年进行一次舒适感运行曲线的检测，并在检测结束时向采购人提交检测报告。</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在合同期间，免费更换和修理限制范围内的因正常原因而磨损的部件。符合替换条件的部件不包括主机、马达、发电机以及变频器驱动系统。符合修理或替换条件的部件为电路板和易损部件，除非有其它例外说明，易损件包括轴承、抱闸瓦、接触器、继电器、线圈、按钮、显示器以及其它辅助机械部件。扶手带、梯级和梯级链不包含在修理和替换范畴。</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负责电梯现场使用安全管理，中标人指定的安全管理人员应当具备相应的专业知识和技能，并取得国家规定的特种设备作业人员证书。</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严格执行特种设备年检、月检、日检等常规检查制度，经检查发现有异常情况时，必须及时处理，严禁带故障运行。检查应当做详细记录，并存档备案。</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负责按期向监督检验机构申请定期检验，及时更换安全检验合格标志中的有关内容。安全检验合格标志超过有效期的特种设备不得使用。</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负责支付电梯使用的保险费、年检费等一切相关费用。</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负责与电梯正常运行有关的其它工作。</w:t>
      </w:r>
    </w:p>
    <w:p>
      <w:pPr>
        <w:adjustRightInd w:val="0"/>
        <w:snapToGrid w:val="0"/>
        <w:spacing w:before="120" w:beforeLines="50" w:after="120" w:afterLines="50" w:line="240" w:lineRule="auto"/>
        <w:ind w:firstLine="420" w:firstLineChars="200"/>
        <w:outlineLvl w:val="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负责《深圳经济特区特种设备安全条例》规定应由中标人承担的其它工作。</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421" w:firstLineChars="200"/>
        <w:textAlignment w:val="auto"/>
        <w:outlineLvl w:val="1"/>
        <w:rPr>
          <w:rFonts w:hint="eastAsia" w:ascii="仿宋_GB2312" w:hAnsi="仿宋_GB2312" w:eastAsia="仿宋_GB2312" w:cs="仿宋_GB2312"/>
          <w:color w:val="auto"/>
          <w:sz w:val="21"/>
          <w:szCs w:val="21"/>
          <w:highlight w:val="none"/>
          <w:lang w:val="en-US" w:eastAsia="zh-CN"/>
        </w:rPr>
      </w:pPr>
      <w:r>
        <w:rPr>
          <w:rFonts w:hint="eastAsia" w:ascii="楷体_GB2312" w:hAnsi="楷体_GB2312" w:eastAsia="楷体_GB2312" w:cs="楷体_GB2312"/>
          <w:b/>
          <w:color w:val="000000" w:themeColor="text1"/>
          <w:kern w:val="0"/>
          <w:sz w:val="21"/>
          <w:szCs w:val="21"/>
          <w:highlight w:val="none"/>
          <w:lang w:val="en-US" w:eastAsia="zh-CN"/>
          <w14:textFill>
            <w14:solidFill>
              <w14:schemeClr w14:val="tx1"/>
            </w14:solidFill>
          </w14:textFill>
        </w:rPr>
        <w:t>（十一） 安全生产管理内容及要求</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为</w:t>
      </w:r>
      <w:r>
        <w:rPr>
          <w:rFonts w:hint="eastAsia" w:asciiTheme="minorEastAsia" w:hAnsiTheme="minorEastAsia" w:eastAsiaTheme="minorEastAsia" w:cstheme="minorEastAsia"/>
          <w:color w:val="auto"/>
          <w:sz w:val="21"/>
          <w:szCs w:val="21"/>
          <w:highlight w:val="none"/>
          <w:lang w:val="en-US" w:eastAsia="zh-CN"/>
        </w:rPr>
        <w:t>规范本项目市政公共绿地综合管理服务全过程安全生产管理，防范和杜绝各类安全事故发生，结合本项目高处修剪、边坡巡查治理、台风暴雨应急抢险、倒伏树木清障等高风险作业特点，特对中标服务商安全生产工作提出如下要求，中标单位须全面落实安全生产主体责任，严格遵照执行。</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一、总体安全管理要求</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中标单位为本项目安全生产第一责任主体，对项目所有作业人员、机械设备、作业区域、施工流程、应急处置全过程承担全部安全生产主体责任，采购人不承担作业施工安全管理责任。</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中标单位须建立完善的项目安全生产管理制度，包含岗位安全责任制、作业安全操作规程、隐患排查治理制度、安全教育培训制度、机械设备管理制度、应急处置预案等，进场后7个工作日内报备采购人备案。</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所有现场作业必须坚持“先排查、后作业，不安全、不施工”原则，严禁违规作业、野蛮作业、冒险作业。</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 作业期间须严格遵守《中华人民共和国安全生产法》《市政工程施工现场安全规范》及深圳市、盐田区应急管理、园林绿化、边坡安全管理相关规定。</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二、项目安全管理岗位及人员要求</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项目负责人为项目安全生产第一责任人，全面负责本项目边坡治理、应急抢险全过程安全统筹、现场管控、方案落实、人员调度、隐患整改、应急指挥等工作，对现场高风险作业安全负直接管理责任。</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项目所有从事高处作业、边坡作业、树木砍伐清运、大型机具操作、抢险作业等岗位人员，必须经过专项安全教育培训，具备相应作业能力，熟悉风险点及应急处置流程。</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所有现场作业人员必须按规定佩戴安全帽、安全绳、反光背心、防护鞋等劳保用品，未按规范穿戴防护用品不得上岗作业。</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 特种作业、高空作业、机械操作等岗位人员须严格落实持证上岗制度，严禁无证上岗、违规顶岗。</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 中标单位须常态化开展班前安全交底、每日安全巡查、每周安全例会、每月安全培训，留存完整台账资料，以备采购人及主管部门检查、审计核查。</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三、边坡治理及隐患处置专项安全要求</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本项目包含绿地边坡日常巡查、边坡危石清理、坡面杂物清除、边坡局部隐患治理、边坡排水疏通等作业，属于高风险户外作业，中标单位须制定边坡作业专项安全管控措施。</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边坡作业前必须开展风险研判，排查滑坡、坠石、坍塌、滑落等风险，根据边坡坡度、土质、天气情况划定危险作业区域，设置专人旁站监护。</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严禁暴雨期间、台风期间、土壤饱和松软时段开展边坡开挖、清危、坡面整治作业。</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 边坡作业必须落实自上而下作业原则，严禁上下同时作业，严禁冒险进入不稳定坡面开展作业。</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四、台风、暴雨应急抢险安全生产要求</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中标单位须建立极端天气应急抢险安全机制，制定台风、暴雨、大风、强对流天气专项抢险安全预案，明确抢险队伍、值班制度、机具储备、处置流程。</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台风、暴雨前后须开展全域绿地、树木、边坡安全排查，重点排查高大乔木、倾斜树木、枯枝危枝、边坡松动土体、挡墙隐患，建立隐患台账并闭环整改。</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应急抢险期间，项目负责人必须现场在岗指挥，统一调度抢险人员及设备，全程管控抢险作业安全，杜绝盲目抢险、超时作业、疲劳作业。</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 倒伏树木清理、断枝拆除、危树砍伐、抢险清运作业属于高危作业，必须落实专人监护、分区警戒、交通疏导、安全防护措施，严防坠物、倒伏、机械伤害、交通意外事故。</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中标服务商应当足额投保公众责任险，覆盖树木倒伏、应急抢险等带来第三方损失风险，事故发生后第一时间启动保险理赔流程，承担纠纷处理主体工作。</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五、安全隐患排查及整改机制</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中标单位须建立每日巡查、每周排查、月度复盘的安全隐患排查机制，对树木安全、边坡稳定、机具设备、作业行为、防护措施开展全面排查。</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对排查发现的一般隐患立即整改，重大隐患立即停工、撤人、设控、上报，制定整改方案闭环落实。</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采购人、主管部门、应急部门检查发现的安全问题，中标单位须按要求时限整改、反馈，逾期未整改或整改不到位的，采购人有权扣减履约考核分。</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六、安全生产考核与履约管理</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中标单位安全生产履职情况纳入日常履约考核、月度考核、年度考核，存在违规作业、管理混乱、隐患长期不整改、应急处置不力的，采购人有权扣分、通报、责令整改。</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因安全生产管理不到位造成人员受伤、财产损失、舆情负面影响、主管部门通报批评的，采购人有权依据合同追究违约责任，并计入供应商履约评价。</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七、安全资料台账要求</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20" w:firstLineChars="200"/>
        <w:textAlignment w:val="auto"/>
        <w:rPr>
          <w:rFonts w:hint="eastAsia" w:ascii="仿宋_GB2312" w:hAnsi="仿宋_GB2312" w:eastAsia="仿宋_GB2312" w:cs="仿宋_GB2312"/>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中标单位须全程留存安全生产全套台账资料，包括但不限于：安全管理制度、培训记录、班前交底记录、隐患排查台账、整改闭环资料、设备检查记录、应急值守记录、抢险处置记录、照片影像资料等，全程可追溯、可核查、可审计。</w:t>
      </w:r>
    </w:p>
    <w:p>
      <w:pPr>
        <w:pStyle w:val="2"/>
        <w:rPr>
          <w:rFonts w:hint="eastAsia"/>
          <w:lang w:val="en-US" w:eastAsia="zh-CN"/>
        </w:rPr>
      </w:pPr>
    </w:p>
    <w:p>
      <w:pPr>
        <w:pStyle w:val="70"/>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2" w:firstLineChars="200"/>
        <w:jc w:val="left"/>
        <w:textAlignment w:val="auto"/>
        <w:outlineLvl w:val="0"/>
        <w:rPr>
          <w:rFonts w:hint="eastAsia" w:ascii="黑体" w:hAnsi="黑体" w:cs="Helvetica Neue"/>
          <w:b/>
          <w:color w:val="000000" w:themeColor="text1"/>
          <w:kern w:val="0"/>
          <w:sz w:val="32"/>
          <w:szCs w:val="32"/>
          <w:lang w:val="en-US" w:eastAsia="zh-CN"/>
          <w14:textFill>
            <w14:solidFill>
              <w14:schemeClr w14:val="tx1"/>
            </w14:solidFill>
          </w14:textFill>
        </w:rPr>
      </w:pPr>
    </w:p>
    <w:p>
      <w:pPr>
        <w:pStyle w:val="7"/>
        <w:spacing w:before="120" w:beforeLines="50" w:after="120" w:afterLines="50"/>
        <w:rPr>
          <w:rFonts w:hint="default" w:ascii="宋体" w:hAnsi="宋体" w:eastAsia="宋体" w:cs="Times New Roman"/>
          <w:szCs w:val="24"/>
          <w:lang w:val="en-US" w:eastAsia="zh-CN"/>
        </w:rPr>
      </w:pPr>
      <w:r>
        <w:rPr>
          <w:rFonts w:hint="eastAsia" w:ascii="宋体" w:hAnsi="宋体" w:eastAsia="宋体" w:cs="Times New Roman"/>
          <w:szCs w:val="24"/>
          <w:lang w:val="en-US" w:eastAsia="zh-CN"/>
        </w:rPr>
        <w:t xml:space="preserve">六、项目配置要求 </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（一）人员配置要求</w:t>
      </w:r>
    </w:p>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根据管理需要，本包组服务人员总体要求如下表所示：</w:t>
      </w:r>
    </w:p>
    <w:p>
      <w:pPr>
        <w:spacing w:line="240" w:lineRule="auto"/>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沙头角、海山项目人员需求一览表</w:t>
      </w:r>
    </w:p>
    <w:tbl>
      <w:tblPr>
        <w:tblStyle w:val="42"/>
        <w:tblW w:w="8952" w:type="dxa"/>
        <w:jc w:val="center"/>
        <w:tblLayout w:type="fixed"/>
        <w:tblCellMar>
          <w:top w:w="0" w:type="dxa"/>
          <w:left w:w="108" w:type="dxa"/>
          <w:bottom w:w="0" w:type="dxa"/>
          <w:right w:w="108" w:type="dxa"/>
        </w:tblCellMar>
      </w:tblPr>
      <w:tblGrid>
        <w:gridCol w:w="844"/>
        <w:gridCol w:w="1689"/>
        <w:gridCol w:w="1869"/>
        <w:gridCol w:w="1471"/>
        <w:gridCol w:w="3079"/>
      </w:tblGrid>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355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项目</w:t>
            </w:r>
          </w:p>
        </w:tc>
        <w:tc>
          <w:tcPr>
            <w:tcW w:w="14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数量（人）</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岗位职责</w:t>
            </w:r>
            <w:r>
              <w:rPr>
                <w:rFonts w:hint="eastAsia" w:asciiTheme="minorEastAsia" w:hAnsiTheme="minorEastAsia" w:eastAsiaTheme="minorEastAsia" w:cstheme="minorEastAsia"/>
                <w:color w:val="auto"/>
                <w:kern w:val="0"/>
                <w:sz w:val="21"/>
                <w:szCs w:val="21"/>
                <w:highlight w:val="none"/>
                <w:lang w:eastAsia="zh-CN"/>
              </w:rPr>
              <w:t>及要求</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689"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管理团队</w:t>
            </w: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项目负责人</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负责绿化养护工作的统筹管理，建立管理团队，按项目管理要求对养护工作进行全面部署，建立行之有效的养护工作实施体系。</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现场主管</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负责现场的技术指导和养护、安保工作策划等。</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园林绿化技术人员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驻点现场开展技术指导、记录整理日常管养资料、参加员工培训考核工作等。</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资料员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负责项目相关资料的制作、核实和报送等工作。</w:t>
            </w:r>
            <w:r>
              <w:rPr>
                <w:rFonts w:hint="eastAsia" w:asciiTheme="minorEastAsia" w:hAnsiTheme="minorEastAsia" w:eastAsiaTheme="minorEastAsia" w:cstheme="minorEastAsia"/>
                <w:color w:val="auto"/>
                <w:kern w:val="0"/>
                <w:sz w:val="21"/>
                <w:szCs w:val="21"/>
                <w:highlight w:val="none"/>
                <w:lang w:val="en-US" w:eastAsia="zh-CN"/>
              </w:rPr>
              <w:t>具有</w:t>
            </w:r>
            <w:r>
              <w:rPr>
                <w:rFonts w:hint="eastAsia" w:asciiTheme="minorEastAsia" w:hAnsiTheme="minorEastAsia" w:eastAsiaTheme="minorEastAsia" w:cstheme="minorEastAsia"/>
                <w:color w:val="auto"/>
                <w:kern w:val="0"/>
                <w:sz w:val="21"/>
                <w:szCs w:val="21"/>
                <w:highlight w:val="none"/>
              </w:rPr>
              <w:t>本科及以上</w:t>
            </w:r>
            <w:r>
              <w:rPr>
                <w:rFonts w:hint="eastAsia" w:asciiTheme="minorEastAsia" w:hAnsiTheme="minorEastAsia" w:eastAsiaTheme="minorEastAsia" w:cstheme="minorEastAsia"/>
                <w:color w:val="auto"/>
                <w:kern w:val="0"/>
                <w:sz w:val="21"/>
                <w:szCs w:val="21"/>
                <w:highlight w:val="none"/>
                <w:lang w:val="en-US" w:eastAsia="zh-CN"/>
              </w:rPr>
              <w:t>学历</w:t>
            </w:r>
            <w:r>
              <w:rPr>
                <w:rFonts w:hint="eastAsia" w:asciiTheme="minorEastAsia" w:hAnsiTheme="minorEastAsia" w:eastAsiaTheme="minorEastAsia" w:cstheme="minorEastAsia"/>
                <w:color w:val="auto"/>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水电工</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负责对责任区内各项水电设施的维护工作。</w:t>
            </w:r>
          </w:p>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需持证上岗。如无证操作则中标单位要承担一切责任。</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设施维修技术人员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负责日常维修，检修，巡检设备以及设施。</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安全管理员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负责项目安全管理组织实施，监控、检查和评估项目安全风险，制定、完善和执行安全管理制度，协调解决安全问题等。</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1689"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一线岗位</w:t>
            </w: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管养人员（绿化+保洁）</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128</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负责实施责任区内绿地及相关设施的养护、保洁等工作。</w:t>
            </w:r>
          </w:p>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管养人员中不少于五分之一的人员需具备3年以上绿化养护工作经验。持有特种作业操作证（作业类别：高处安装、维护、拆除作业）不少于1人。</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女性管养人员年龄要求18-50周岁；男性管养人员年龄要求18-55周岁；身体健康。</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9</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安保人员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68</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负责责任区内各公园的安全秩序维持、安全防范等工作。</w:t>
            </w:r>
          </w:p>
          <w:p>
            <w:pPr>
              <w:spacing w:line="240" w:lineRule="auto"/>
              <w:jc w:val="left"/>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安保人员年龄要求18-50周岁；且必须持有保安员证；其中，不少于五分之一的安保人员需具有相关公园或绿道综合管理服务项目安保工作经验。</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10</w:t>
            </w:r>
          </w:p>
        </w:tc>
        <w:tc>
          <w:tcPr>
            <w:tcW w:w="1689" w:type="dxa"/>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救生员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需持有相关有效救援证件</w:t>
            </w:r>
          </w:p>
        </w:tc>
      </w:tr>
      <w:tr>
        <w:tblPrEx>
          <w:tblCellMar>
            <w:top w:w="0" w:type="dxa"/>
            <w:left w:w="108" w:type="dxa"/>
            <w:bottom w:w="0" w:type="dxa"/>
            <w:right w:w="108" w:type="dxa"/>
          </w:tblCellMar>
        </w:tblPrEx>
        <w:trPr>
          <w:trHeight w:val="23" w:hRule="atLeast"/>
          <w:jc w:val="center"/>
        </w:trPr>
        <w:tc>
          <w:tcPr>
            <w:tcW w:w="4402"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sz w:val="21"/>
                <w:szCs w:val="21"/>
                <w:highlight w:val="none"/>
              </w:rPr>
              <w:t>合计</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218</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重要提示：</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1.上述人数要求为最低标准，中标单位需根据工作实际增配适量的养护人员，以满足日常养护要求。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管养人员（绿化+保洁）规模应根据绿化管养面积或级别的调整进行相应调整，调整标准不得低于：特级道路绿地4500平方米/人、一级道路绿地6250平方米/人、二级道路绿地8750平方米/人、三级道路22500平方米/人、一级行道树2500株/人、二级行道树3125株/人、立体绿化1875平方米/人；特级公园绿地4250平方米/人、一级公园绿地4500平方米/人、二级公园绿地6250平方米/人、三级公园绿地18750平方米/人、林地50000平方米/人、郊野径6250米/人；公厕1座/人，保洁6188平方米/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3.安保人员岗位安排如下表所示：</w:t>
      </w:r>
    </w:p>
    <w:p>
      <w:pPr>
        <w:spacing w:line="240" w:lineRule="auto"/>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沙头角、海山安保人员岗位安排表</w:t>
      </w:r>
    </w:p>
    <w:tbl>
      <w:tblPr>
        <w:tblStyle w:val="42"/>
        <w:tblW w:w="8634"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0"/>
        <w:gridCol w:w="1521"/>
        <w:gridCol w:w="923"/>
        <w:gridCol w:w="822"/>
        <w:gridCol w:w="755"/>
        <w:gridCol w:w="623"/>
        <w:gridCol w:w="3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690"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区域</w:t>
            </w:r>
          </w:p>
        </w:tc>
        <w:tc>
          <w:tcPr>
            <w:tcW w:w="1521"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名称</w:t>
            </w:r>
          </w:p>
        </w:tc>
        <w:tc>
          <w:tcPr>
            <w:tcW w:w="923"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固定岗</w:t>
            </w:r>
          </w:p>
        </w:tc>
        <w:tc>
          <w:tcPr>
            <w:tcW w:w="822"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流动岗</w:t>
            </w:r>
          </w:p>
        </w:tc>
        <w:tc>
          <w:tcPr>
            <w:tcW w:w="755"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小计</w:t>
            </w:r>
          </w:p>
        </w:tc>
        <w:tc>
          <w:tcPr>
            <w:tcW w:w="623"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合计</w:t>
            </w:r>
          </w:p>
        </w:tc>
        <w:tc>
          <w:tcPr>
            <w:tcW w:w="3300"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4" w:hRule="atLeast"/>
        </w:trPr>
        <w:tc>
          <w:tcPr>
            <w:tcW w:w="690"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沙头角、海山</w:t>
            </w:r>
          </w:p>
        </w:tc>
        <w:tc>
          <w:tcPr>
            <w:tcW w:w="1521"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深圳宪法公园</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822"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55"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623"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68</w:t>
            </w:r>
          </w:p>
        </w:tc>
        <w:tc>
          <w:tcPr>
            <w:tcW w:w="3300" w:type="dxa"/>
            <w:vMerge w:val="restart"/>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深圳宪法公园、隧道口上盖公园、海山公园、海景公园设固定岗（24小时三班制，每班1人）；片区内所有公园合设流动岗（两班，每班3人），每月按21.75天计算，</w:t>
            </w:r>
            <w:r>
              <w:rPr>
                <w:rStyle w:val="198"/>
                <w:rFonts w:hint="eastAsia" w:asciiTheme="minorEastAsia" w:hAnsiTheme="minorEastAsia" w:eastAsiaTheme="minorEastAsia" w:cstheme="minorEastAsia"/>
                <w:sz w:val="21"/>
                <w:szCs w:val="21"/>
                <w:lang w:val="en-US" w:eastAsia="zh-CN" w:bidi="ar"/>
              </w:rPr>
              <w:t>每月需25人次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6" w:hRule="atLeast"/>
        </w:trPr>
        <w:tc>
          <w:tcPr>
            <w:tcW w:w="69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21"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隧道口上盖</w:t>
            </w:r>
          </w:p>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公园</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822"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755"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vMerge w:val="continue"/>
            <w:shd w:val="clear" w:color="auto" w:fill="auto"/>
            <w:vAlign w:val="center"/>
          </w:tcPr>
          <w:p>
            <w:pPr>
              <w:spacing w:line="240" w:lineRule="auto"/>
              <w:jc w:val="left"/>
              <w:rPr>
                <w:rFonts w:hint="eastAsia" w:asciiTheme="minorEastAsia" w:hAnsiTheme="minorEastAsia" w:eastAsiaTheme="minorEastAsia" w:cstheme="minorEastAsia"/>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1" w:hRule="atLeast"/>
        </w:trPr>
        <w:tc>
          <w:tcPr>
            <w:tcW w:w="69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21"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海山公园</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822"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755"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vMerge w:val="continue"/>
            <w:shd w:val="clear" w:color="auto" w:fill="auto"/>
            <w:vAlign w:val="center"/>
          </w:tcPr>
          <w:p>
            <w:pPr>
              <w:spacing w:line="240" w:lineRule="auto"/>
              <w:jc w:val="left"/>
              <w:rPr>
                <w:rFonts w:hint="eastAsia" w:asciiTheme="minorEastAsia" w:hAnsiTheme="minorEastAsia" w:eastAsiaTheme="minorEastAsia" w:cstheme="minorEastAsia"/>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1" w:hRule="atLeast"/>
        </w:trPr>
        <w:tc>
          <w:tcPr>
            <w:tcW w:w="69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21"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海景公园</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822"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755"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vMerge w:val="continue"/>
            <w:shd w:val="clear" w:color="auto" w:fill="auto"/>
            <w:vAlign w:val="center"/>
          </w:tcPr>
          <w:p>
            <w:pPr>
              <w:spacing w:line="240" w:lineRule="auto"/>
              <w:jc w:val="left"/>
              <w:rPr>
                <w:rFonts w:hint="eastAsia" w:asciiTheme="minorEastAsia" w:hAnsiTheme="minorEastAsia" w:eastAsiaTheme="minorEastAsia" w:cstheme="minorEastAsia"/>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4" w:hRule="atLeast"/>
        </w:trPr>
        <w:tc>
          <w:tcPr>
            <w:tcW w:w="690"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中央公园</w:t>
            </w:r>
          </w:p>
        </w:tc>
        <w:tc>
          <w:tcPr>
            <w:tcW w:w="1521"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中央公园</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82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55"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中央公园设固定岗（24小时三班制每班1人）流动岗实行三班倒早班及中班各4名保安、晚班1名保安，每月按21.75天计算，</w:t>
            </w:r>
            <w:r>
              <w:rPr>
                <w:rStyle w:val="198"/>
                <w:rFonts w:hint="eastAsia" w:asciiTheme="minorEastAsia" w:hAnsiTheme="minorEastAsia" w:eastAsiaTheme="minorEastAsia" w:cstheme="minorEastAsia"/>
                <w:sz w:val="21"/>
                <w:szCs w:val="21"/>
                <w:lang w:val="en-US" w:eastAsia="zh-CN" w:bidi="ar"/>
              </w:rPr>
              <w:t>每月需17人次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4" w:hRule="atLeast"/>
        </w:trPr>
        <w:tc>
          <w:tcPr>
            <w:tcW w:w="690"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原半山步道</w:t>
            </w:r>
          </w:p>
        </w:tc>
        <w:tc>
          <w:tcPr>
            <w:tcW w:w="1521"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沙头角公园</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2.45</w:t>
            </w:r>
          </w:p>
        </w:tc>
        <w:tc>
          <w:tcPr>
            <w:tcW w:w="822" w:type="dxa"/>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755" w:type="dxa"/>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19</w:t>
            </w: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设固定岗，工作时间6:00-20:00,按每人每天工作八小时，一个月工作21.75天计算，</w:t>
            </w:r>
            <w:r>
              <w:rPr>
                <w:rStyle w:val="198"/>
                <w:rFonts w:hint="eastAsia" w:asciiTheme="minorEastAsia" w:hAnsiTheme="minorEastAsia" w:eastAsiaTheme="minorEastAsia" w:cstheme="minorEastAsia"/>
                <w:sz w:val="21"/>
                <w:szCs w:val="21"/>
                <w:lang w:val="en-US" w:eastAsia="zh-CN" w:bidi="ar"/>
              </w:rPr>
              <w:t>每月需2.45人次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4" w:hRule="atLeast"/>
        </w:trPr>
        <w:tc>
          <w:tcPr>
            <w:tcW w:w="69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21"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正坑体育公园（入口）</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2.45</w:t>
            </w:r>
          </w:p>
        </w:tc>
        <w:tc>
          <w:tcPr>
            <w:tcW w:w="822" w:type="dxa"/>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755"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设固定岗，工作时间6:00-20:00,按每人每天工作八小时，一个月工作21.75天计算</w:t>
            </w:r>
            <w:r>
              <w:rPr>
                <w:rStyle w:val="198"/>
                <w:rFonts w:hint="eastAsia" w:asciiTheme="minorEastAsia" w:hAnsiTheme="minorEastAsia" w:eastAsiaTheme="minorEastAsia" w:cstheme="minorEastAsia"/>
                <w:sz w:val="21"/>
                <w:szCs w:val="21"/>
                <w:lang w:val="en-US" w:eastAsia="zh-CN" w:bidi="ar"/>
              </w:rPr>
              <w:t>，每月需2.45人次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4" w:hRule="atLeast"/>
        </w:trPr>
        <w:tc>
          <w:tcPr>
            <w:tcW w:w="69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21"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盐田坳片区</w:t>
            </w:r>
          </w:p>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绿道</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1.75</w:t>
            </w:r>
          </w:p>
        </w:tc>
        <w:tc>
          <w:tcPr>
            <w:tcW w:w="822" w:type="dxa"/>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755"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设固定岗，工作时间8:00-18:00,按每人每天工作八小时，一个月工作21.75天计算</w:t>
            </w:r>
            <w:r>
              <w:rPr>
                <w:rStyle w:val="198"/>
                <w:rFonts w:hint="eastAsia" w:asciiTheme="minorEastAsia" w:hAnsiTheme="minorEastAsia" w:eastAsiaTheme="minorEastAsia" w:cstheme="minorEastAsia"/>
                <w:sz w:val="21"/>
                <w:szCs w:val="21"/>
                <w:lang w:val="en-US" w:eastAsia="zh-CN" w:bidi="ar"/>
              </w:rPr>
              <w:t>，每月需1.75人次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4" w:hRule="atLeast"/>
        </w:trPr>
        <w:tc>
          <w:tcPr>
            <w:tcW w:w="69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21"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庚子首义</w:t>
            </w:r>
          </w:p>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雕塑园</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822" w:type="dxa"/>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755"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设固定岗，工作时间8:00-20:00,按每人每天工作八小时，一个月工作21.75天计算，</w:t>
            </w:r>
            <w:r>
              <w:rPr>
                <w:rStyle w:val="198"/>
                <w:rFonts w:hint="eastAsia" w:asciiTheme="minorEastAsia" w:hAnsiTheme="minorEastAsia" w:eastAsiaTheme="minorEastAsia" w:cstheme="minorEastAsia"/>
                <w:sz w:val="21"/>
                <w:szCs w:val="21"/>
                <w:lang w:val="en-US" w:eastAsia="zh-CN" w:bidi="ar"/>
              </w:rPr>
              <w:t>每月需2.1人次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4" w:hRule="atLeast"/>
        </w:trPr>
        <w:tc>
          <w:tcPr>
            <w:tcW w:w="69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21"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省立2号绿道小三洲段</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1.75</w:t>
            </w:r>
          </w:p>
        </w:tc>
        <w:tc>
          <w:tcPr>
            <w:tcW w:w="822" w:type="dxa"/>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755"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设固定岗，工作时间8:00-18:00,按每人每天工作八小时，一个月工作21.75天计算</w:t>
            </w:r>
            <w:r>
              <w:rPr>
                <w:rStyle w:val="198"/>
                <w:rFonts w:hint="eastAsia" w:asciiTheme="minorEastAsia" w:hAnsiTheme="minorEastAsia" w:eastAsiaTheme="minorEastAsia" w:cstheme="minorEastAsia"/>
                <w:sz w:val="21"/>
                <w:szCs w:val="21"/>
                <w:lang w:val="en-US" w:eastAsia="zh-CN" w:bidi="ar"/>
              </w:rPr>
              <w:t>，每月需1.75人次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4" w:hRule="atLeast"/>
        </w:trPr>
        <w:tc>
          <w:tcPr>
            <w:tcW w:w="69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auto"/>
                <w:sz w:val="21"/>
                <w:szCs w:val="21"/>
                <w:u w:val="none"/>
              </w:rPr>
            </w:pPr>
          </w:p>
        </w:tc>
        <w:tc>
          <w:tcPr>
            <w:tcW w:w="1521"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北山休闲步道</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2.1</w:t>
            </w:r>
          </w:p>
        </w:tc>
        <w:tc>
          <w:tcPr>
            <w:tcW w:w="822" w:type="dxa"/>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auto"/>
                <w:sz w:val="21"/>
                <w:szCs w:val="21"/>
                <w:u w:val="none"/>
              </w:rPr>
            </w:pPr>
          </w:p>
        </w:tc>
        <w:tc>
          <w:tcPr>
            <w:tcW w:w="755"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auto"/>
                <w:sz w:val="21"/>
                <w:szCs w:val="21"/>
                <w:u w:val="none"/>
              </w:rPr>
            </w:pP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auto"/>
                <w:sz w:val="21"/>
                <w:szCs w:val="21"/>
                <w:u w:val="none"/>
              </w:rPr>
            </w:pPr>
          </w:p>
        </w:tc>
        <w:tc>
          <w:tcPr>
            <w:tcW w:w="3300"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设固定岗，工作时间8:00-20:00,按每人每天工作八小时，一个月工作21.75天计算，</w:t>
            </w:r>
            <w:r>
              <w:rPr>
                <w:rStyle w:val="198"/>
                <w:rFonts w:hint="eastAsia" w:asciiTheme="minorEastAsia" w:hAnsiTheme="minorEastAsia" w:eastAsiaTheme="minorEastAsia" w:cstheme="minorEastAsia"/>
                <w:color w:val="auto"/>
                <w:sz w:val="21"/>
                <w:szCs w:val="21"/>
                <w:lang w:val="en-US" w:eastAsia="zh-CN" w:bidi="ar"/>
              </w:rPr>
              <w:t>每月需2.1人次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4" w:hRule="atLeast"/>
        </w:trPr>
        <w:tc>
          <w:tcPr>
            <w:tcW w:w="69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21"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菠萝山至倚云路（含路口）至东部华侨城绿道</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822" w:type="dxa"/>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755"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设固定岗，工作时间8:00-20:00,按每人每天工作八小时，一个月工作21.75天计算，</w:t>
            </w:r>
            <w:r>
              <w:rPr>
                <w:rStyle w:val="198"/>
                <w:rFonts w:hint="eastAsia" w:asciiTheme="minorEastAsia" w:hAnsiTheme="minorEastAsia" w:eastAsiaTheme="minorEastAsia" w:cstheme="minorEastAsia"/>
                <w:sz w:val="21"/>
                <w:szCs w:val="21"/>
                <w:lang w:val="en-US" w:eastAsia="zh-CN" w:bidi="ar"/>
              </w:rPr>
              <w:t>每月需2.1人次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4" w:hRule="atLeast"/>
        </w:trPr>
        <w:tc>
          <w:tcPr>
            <w:tcW w:w="690"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21"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省立2号绿道梅沙段(闲云路至大鹏界）</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822" w:type="dxa"/>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755"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设2个固定岗，工作时间8:00-18:00,按每人每天工作八小时，一个月工作21.75天计算</w:t>
            </w:r>
            <w:r>
              <w:rPr>
                <w:rStyle w:val="198"/>
                <w:rFonts w:hint="eastAsia" w:asciiTheme="minorEastAsia" w:hAnsiTheme="minorEastAsia" w:eastAsiaTheme="minorEastAsia" w:cstheme="minorEastAsia"/>
                <w:sz w:val="21"/>
                <w:szCs w:val="21"/>
                <w:lang w:val="en-US" w:eastAsia="zh-CN" w:bidi="ar"/>
              </w:rPr>
              <w:t>，每月需3.5人次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5" w:hRule="atLeast"/>
        </w:trPr>
        <w:tc>
          <w:tcPr>
            <w:tcW w:w="690"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海滨栈道</w:t>
            </w:r>
          </w:p>
        </w:tc>
        <w:tc>
          <w:tcPr>
            <w:tcW w:w="1521"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沙头角段</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822" w:type="dxa"/>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755"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623"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00"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海滨栈道沙头角段设1个执勤岗，早班及中班2人，晚班1人，一个月工作21.75天计算，</w:t>
            </w:r>
            <w:r>
              <w:rPr>
                <w:rStyle w:val="198"/>
                <w:rFonts w:hint="eastAsia" w:asciiTheme="minorEastAsia" w:hAnsiTheme="minorEastAsia" w:eastAsiaTheme="minorEastAsia" w:cstheme="minorEastAsia"/>
                <w:sz w:val="21"/>
                <w:szCs w:val="21"/>
                <w:lang w:val="en-US" w:eastAsia="zh-CN" w:bidi="ar"/>
              </w:rPr>
              <w:t>每月需7人次</w:t>
            </w:r>
          </w:p>
        </w:tc>
      </w:tr>
    </w:tbl>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4.现场一线员工的工资应不低于深圳市最低工资标准。</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（二）设备配置要求</w:t>
      </w:r>
    </w:p>
    <w:p>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招标文件的要求和投标文件的承诺作为最低要求配备车辆、机械、设备等，中标人须根据实际工作情况配备足够的车辆机械设备。所有车辆具备通行辖区道路的许可证，垃圾车须为新能源车，并按环卫部门的要求办理垃圾场准入证。本</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车辆机械设备具体要求如下：</w:t>
      </w:r>
    </w:p>
    <w:p>
      <w:pPr>
        <w:spacing w:line="240" w:lineRule="auto"/>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沙头角、海山项目设备配置需求一览表</w:t>
      </w:r>
    </w:p>
    <w:tbl>
      <w:tblPr>
        <w:tblStyle w:val="42"/>
        <w:tblW w:w="72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125"/>
        <w:gridCol w:w="2008"/>
        <w:gridCol w:w="1515"/>
        <w:gridCol w:w="1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序号</w:t>
            </w:r>
          </w:p>
        </w:tc>
        <w:tc>
          <w:tcPr>
            <w:tcW w:w="112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类别</w:t>
            </w: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名称</w:t>
            </w:r>
          </w:p>
        </w:tc>
        <w:tc>
          <w:tcPr>
            <w:tcW w:w="1515" w:type="dxa"/>
            <w:tcBorders>
              <w:tl2br w:val="nil"/>
              <w:tr2bl w:val="nil"/>
            </w:tcBorders>
            <w:noWrap/>
            <w:vAlign w:val="center"/>
          </w:tcPr>
          <w:p>
            <w:pPr>
              <w:widowControl/>
              <w:spacing w:line="240" w:lineRule="auto"/>
              <w:jc w:val="right"/>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数量（台）</w:t>
            </w:r>
          </w:p>
        </w:tc>
        <w:tc>
          <w:tcPr>
            <w:tcW w:w="1901" w:type="dxa"/>
            <w:tcBorders>
              <w:tl2br w:val="nil"/>
              <w:tr2bl w:val="nil"/>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125" w:type="dxa"/>
            <w:vMerge w:val="restart"/>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车辆</w:t>
            </w: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自卸垃圾车</w:t>
            </w:r>
          </w:p>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（4.5吨以上）</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新能源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水车（3吨以上）</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新能源，要求安装水量监测仪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管理用车</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新能源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货车</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新能源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高空作业车</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防撞车</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巡逻车</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新能源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合计</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14</w:t>
            </w:r>
          </w:p>
        </w:tc>
        <w:tc>
          <w:tcPr>
            <w:tcW w:w="1901" w:type="dxa"/>
            <w:tcBorders>
              <w:tl2br w:val="nil"/>
              <w:tr2bl w:val="nil"/>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125" w:type="dxa"/>
            <w:vMerge w:val="restart"/>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设备</w:t>
            </w: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执法记录仪</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w:t>
            </w:r>
          </w:p>
        </w:tc>
        <w:tc>
          <w:tcPr>
            <w:tcW w:w="1901" w:type="dxa"/>
            <w:tcBorders>
              <w:tl2br w:val="nil"/>
              <w:tr2bl w:val="nil"/>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园林机械</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足量</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剪草机、割灌机、油锯、高枝锯、户外吹风机、手推式草坪机、绿篱机、喷雾打药机等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作业工具</w:t>
            </w:r>
          </w:p>
        </w:tc>
        <w:tc>
          <w:tcPr>
            <w:tcW w:w="1515"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足量</w:t>
            </w:r>
          </w:p>
        </w:tc>
        <w:tc>
          <w:tcPr>
            <w:tcW w:w="1901" w:type="dxa"/>
            <w:tcBorders>
              <w:tl2br w:val="nil"/>
              <w:tr2bl w:val="nil"/>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GPS</w:t>
            </w:r>
          </w:p>
        </w:tc>
        <w:tc>
          <w:tcPr>
            <w:tcW w:w="1515"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足量</w:t>
            </w:r>
          </w:p>
        </w:tc>
        <w:tc>
          <w:tcPr>
            <w:tcW w:w="1901" w:type="dxa"/>
            <w:tcBorders>
              <w:tl2br w:val="nil"/>
              <w:tr2bl w:val="nil"/>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人手一台、每车一台</w:t>
            </w:r>
          </w:p>
        </w:tc>
      </w:tr>
    </w:tbl>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以上车辆机械设备要求为最低标准，中标单位需根据工作实际增配适量的车辆机械设备，以满足日常养护要求。</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（三）物料配备要求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本项目所需配备的物料包括按所管养绿地植物正常生长发育所需的肥料、公厕所需的卷纸、洗手液等。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应按项目管理要求保证足够的物料投入。各种物料投入应根据实际工作需要，按时按质按量满足绿地养护要求和社会服务要求。中标人应结合绿地实际情况，做好相应季节的绿地养护工作，保证辖区绿地景观效果，做好公园内各项设施的维护管理工作，增加投入以达到养护质量目标。</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苗木设施更新（苗木、设施、材料等）、肥料、用水</w:t>
      </w:r>
      <w:r>
        <w:rPr>
          <w:rFonts w:hint="eastAsia" w:asciiTheme="minorEastAsia" w:hAnsiTheme="minorEastAsia" w:eastAsiaTheme="minorEastAsia" w:cstheme="minorEastAsia"/>
          <w:color w:val="auto"/>
          <w:sz w:val="21"/>
          <w:szCs w:val="21"/>
          <w:highlight w:val="none"/>
          <w:lang w:val="en-US" w:eastAsia="zh-CN"/>
        </w:rPr>
        <w:t>等</w:t>
      </w:r>
      <w:r>
        <w:rPr>
          <w:rFonts w:hint="eastAsia" w:asciiTheme="minorEastAsia" w:hAnsiTheme="minorEastAsia" w:eastAsiaTheme="minorEastAsia" w:cstheme="minorEastAsia"/>
          <w:color w:val="auto"/>
          <w:sz w:val="21"/>
          <w:szCs w:val="21"/>
          <w:highlight w:val="none"/>
        </w:rPr>
        <w:t>养护材料费用经</w:t>
      </w:r>
      <w:r>
        <w:rPr>
          <w:rFonts w:hint="eastAsia" w:asciiTheme="minorEastAsia" w:hAnsiTheme="minorEastAsia" w:eastAsiaTheme="minorEastAsia" w:cstheme="minorEastAsia"/>
          <w:color w:val="auto"/>
          <w:sz w:val="21"/>
          <w:szCs w:val="21"/>
          <w:highlight w:val="none"/>
          <w:lang w:val="en-US" w:eastAsia="zh-CN"/>
        </w:rPr>
        <w:t>现场监管单位</w:t>
      </w:r>
      <w:r>
        <w:rPr>
          <w:rFonts w:hint="eastAsia" w:asciiTheme="minorEastAsia" w:hAnsiTheme="minorEastAsia" w:eastAsiaTheme="minorEastAsia" w:cstheme="minorEastAsia"/>
          <w:color w:val="auto"/>
          <w:sz w:val="21"/>
          <w:szCs w:val="21"/>
          <w:highlight w:val="none"/>
        </w:rPr>
        <w:t>同意后可统筹分配使用。</w:t>
      </w:r>
    </w:p>
    <w:p>
      <w:pPr>
        <w:rPr>
          <w:b/>
          <w:sz w:val="24"/>
        </w:rPr>
      </w:pPr>
    </w:p>
    <w:p>
      <w:pPr>
        <w:pStyle w:val="7"/>
        <w:spacing w:before="120" w:beforeLines="50" w:after="120" w:afterLines="50"/>
        <w:rPr>
          <w:rFonts w:hint="eastAsia" w:ascii="宋体" w:hAnsi="宋体" w:eastAsia="宋体" w:cs="Times New Roman"/>
          <w:szCs w:val="24"/>
          <w:lang w:val="en-US" w:eastAsia="zh-CN"/>
        </w:rPr>
      </w:pPr>
    </w:p>
    <w:p>
      <w:pPr>
        <w:pStyle w:val="7"/>
        <w:spacing w:before="120" w:beforeLines="50" w:after="120" w:afterLines="50"/>
        <w:rPr>
          <w:rFonts w:hint="eastAsia" w:ascii="宋体" w:hAnsi="宋体" w:eastAsia="宋体" w:cs="Times New Roman"/>
          <w:szCs w:val="24"/>
        </w:rPr>
      </w:pPr>
      <w:r>
        <w:rPr>
          <w:rFonts w:hint="eastAsia" w:ascii="宋体" w:hAnsi="宋体" w:eastAsia="宋体" w:cs="Times New Roman"/>
          <w:szCs w:val="24"/>
          <w:lang w:val="en-US" w:eastAsia="zh-CN"/>
        </w:rPr>
        <w:t>七、项目管理要求</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（一）总体要求</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在实施绿地管养过程中，中标人须服从采购人的指挥和合理调整。相关人员不称职、不符合要求的，采购人有权要求更换，中标人需无条件配合。</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中标人须服从采购人及</w:t>
      </w:r>
      <w:r>
        <w:rPr>
          <w:rFonts w:hint="eastAsia" w:asciiTheme="minorEastAsia" w:hAnsiTheme="minorEastAsia" w:eastAsiaTheme="minorEastAsia" w:cstheme="minorEastAsia"/>
          <w:color w:val="auto"/>
          <w:sz w:val="21"/>
          <w:szCs w:val="21"/>
          <w:highlight w:val="none"/>
          <w:lang w:eastAsia="zh-CN"/>
        </w:rPr>
        <w:t>现场监管单位</w:t>
      </w:r>
      <w:r>
        <w:rPr>
          <w:rFonts w:hint="eastAsia" w:asciiTheme="minorEastAsia" w:hAnsiTheme="minorEastAsia" w:eastAsiaTheme="minorEastAsia" w:cstheme="minorEastAsia"/>
          <w:color w:val="auto"/>
          <w:sz w:val="21"/>
          <w:szCs w:val="21"/>
          <w:highlight w:val="none"/>
        </w:rPr>
        <w:t>直接指挥。除完成正常绿地养护工作外，无偿提供人员完成本</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内零星苗木及设施迁移、苗木培育、设施设备搬运及台风、暴雨等应急处理等零星劳务工作。</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进场后一个月之内按绿化养护要求自行完成承包地块内存在问题（如缺株、人为破坏、黄土裸露、设施缺损等）的治理，并防止新的人为破坏产生。在进场后两个月内中标人需通过绿地养护和景观提升促进承包地块的养护水平达到任务明细表中养护级别的标准。</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中标人法定代表人每年须参加</w:t>
      </w:r>
      <w:r>
        <w:rPr>
          <w:rFonts w:hint="eastAsia" w:asciiTheme="minorEastAsia" w:hAnsiTheme="minorEastAsia" w:eastAsiaTheme="minorEastAsia" w:cstheme="minorEastAsia"/>
          <w:color w:val="auto"/>
          <w:sz w:val="21"/>
          <w:szCs w:val="21"/>
          <w:highlight w:val="none"/>
          <w:lang w:eastAsia="zh-CN"/>
        </w:rPr>
        <w:t>采购人及其现场监管单位组织的</w:t>
      </w:r>
      <w:r>
        <w:rPr>
          <w:rFonts w:hint="eastAsia" w:asciiTheme="minorEastAsia" w:hAnsiTheme="minorEastAsia" w:eastAsiaTheme="minorEastAsia" w:cstheme="minorEastAsia"/>
          <w:color w:val="auto"/>
          <w:sz w:val="21"/>
          <w:szCs w:val="21"/>
          <w:highlight w:val="none"/>
        </w:rPr>
        <w:t>双月小结、年度总结等重要会议</w:t>
      </w:r>
      <w:r>
        <w:rPr>
          <w:rFonts w:hint="eastAsia" w:asciiTheme="minorEastAsia" w:hAnsiTheme="minorEastAsia" w:eastAsiaTheme="minorEastAsia" w:cstheme="minorEastAsia"/>
          <w:color w:val="auto"/>
          <w:sz w:val="21"/>
          <w:szCs w:val="21"/>
          <w:highlight w:val="none"/>
          <w:lang w:eastAsia="zh-CN"/>
        </w:rPr>
        <w:t>，参加次数不少于会议次数的</w:t>
      </w:r>
      <w:r>
        <w:rPr>
          <w:rFonts w:hint="eastAsia" w:asciiTheme="minorEastAsia" w:hAnsiTheme="minorEastAsia" w:eastAsiaTheme="minorEastAsia" w:cstheme="minorEastAsia"/>
          <w:color w:val="auto"/>
          <w:sz w:val="21"/>
          <w:szCs w:val="21"/>
          <w:highlight w:val="none"/>
          <w:lang w:val="en-US" w:eastAsia="zh-CN"/>
        </w:rPr>
        <w:t>2/3</w:t>
      </w:r>
      <w:r>
        <w:rPr>
          <w:rFonts w:hint="eastAsia" w:asciiTheme="minorEastAsia" w:hAnsiTheme="minorEastAsia" w:eastAsiaTheme="minorEastAsia" w:cstheme="minorEastAsia"/>
          <w:color w:val="auto"/>
          <w:sz w:val="21"/>
          <w:szCs w:val="21"/>
          <w:highlight w:val="none"/>
        </w:rPr>
        <w:t>，如法定代表人无法参加则由企业技术负责人代表。项目负责人须驻点在盐田办公，每个季度至少参加一次采购人及其现场监管</w:t>
      </w:r>
      <w:r>
        <w:rPr>
          <w:rFonts w:hint="eastAsia" w:asciiTheme="minorEastAsia" w:hAnsiTheme="minorEastAsia" w:eastAsiaTheme="minorEastAsia" w:cstheme="minorEastAsia"/>
          <w:color w:val="auto"/>
          <w:sz w:val="21"/>
          <w:szCs w:val="21"/>
          <w:highlight w:val="none"/>
          <w:lang w:val="en-US" w:eastAsia="zh-CN"/>
        </w:rPr>
        <w:t>单位</w:t>
      </w:r>
      <w:r>
        <w:rPr>
          <w:rFonts w:hint="eastAsia" w:asciiTheme="minorEastAsia" w:hAnsiTheme="minorEastAsia" w:eastAsiaTheme="minorEastAsia" w:cstheme="minorEastAsia"/>
          <w:color w:val="auto"/>
          <w:sz w:val="21"/>
          <w:szCs w:val="21"/>
          <w:highlight w:val="none"/>
        </w:rPr>
        <w:t>组织的绿化管养、安全生产会议（包括汇报工作计划、阶段工作安排会等）。</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在不增加费用、不降低检查标准和不违反《中华人民共和国劳动法》的前提下，允许中标人整体统筹，优化人员配置，</w:t>
      </w:r>
      <w:r>
        <w:rPr>
          <w:rFonts w:hint="eastAsia" w:asciiTheme="minorEastAsia" w:hAnsiTheme="minorEastAsia" w:eastAsiaTheme="minorEastAsia" w:cstheme="minorEastAsia"/>
          <w:color w:val="auto"/>
          <w:sz w:val="21"/>
          <w:szCs w:val="21"/>
          <w:highlight w:val="none"/>
          <w:lang w:eastAsia="zh-CN"/>
        </w:rPr>
        <w:t>根据实际养护范围及数量</w:t>
      </w:r>
      <w:r>
        <w:rPr>
          <w:rFonts w:hint="eastAsia" w:asciiTheme="minorEastAsia" w:hAnsiTheme="minorEastAsia" w:eastAsiaTheme="minorEastAsia" w:cstheme="minorEastAsia"/>
          <w:color w:val="auto"/>
          <w:sz w:val="21"/>
          <w:szCs w:val="21"/>
          <w:highlight w:val="none"/>
        </w:rPr>
        <w:t>适当增减服务人数，但人员优化方案需经采购人同意。</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w:t>
      </w:r>
      <w:r>
        <w:rPr>
          <w:rFonts w:hint="eastAsia" w:asciiTheme="minorEastAsia" w:hAnsiTheme="minorEastAsia" w:eastAsiaTheme="minorEastAsia" w:cstheme="minorEastAsia"/>
          <w:color w:val="auto"/>
          <w:sz w:val="21"/>
          <w:szCs w:val="21"/>
          <w:highlight w:val="none"/>
          <w:lang w:eastAsia="zh-CN"/>
        </w:rPr>
        <w:t>承诺</w:t>
      </w:r>
      <w:r>
        <w:rPr>
          <w:rFonts w:hint="eastAsia" w:asciiTheme="minorEastAsia" w:hAnsiTheme="minorEastAsia" w:eastAsiaTheme="minorEastAsia" w:cstheme="minorEastAsia"/>
          <w:color w:val="auto"/>
          <w:sz w:val="21"/>
          <w:szCs w:val="21"/>
          <w:highlight w:val="none"/>
        </w:rPr>
        <w:t>在</w:t>
      </w:r>
      <w:r>
        <w:rPr>
          <w:rFonts w:hint="eastAsia" w:asciiTheme="minorEastAsia" w:hAnsiTheme="minorEastAsia" w:eastAsiaTheme="minorEastAsia" w:cstheme="minorEastAsia"/>
          <w:color w:val="auto"/>
          <w:sz w:val="21"/>
          <w:szCs w:val="21"/>
          <w:highlight w:val="none"/>
          <w:lang w:eastAsia="zh-CN"/>
        </w:rPr>
        <w:t>中标后提供本地化服务。</w:t>
      </w:r>
      <w:r>
        <w:rPr>
          <w:rFonts w:hint="eastAsia" w:asciiTheme="minorEastAsia" w:hAnsiTheme="minorEastAsia" w:eastAsiaTheme="minorEastAsia" w:cstheme="minorEastAsia"/>
          <w:color w:val="auto"/>
          <w:sz w:val="21"/>
          <w:szCs w:val="21"/>
          <w:highlight w:val="none"/>
        </w:rPr>
        <w:t>必须拥有足够的生产、生活基地，固定办公地点和车辆停放点，其中，办公场所（加挂项目部牌子）不少于30平方米，配备仓库和相应货架，用于存放本项目所需的机械设备、生产工具和物料。</w:t>
      </w:r>
      <w:r>
        <w:rPr>
          <w:rFonts w:hint="eastAsia" w:asciiTheme="minorEastAsia" w:hAnsiTheme="minorEastAsia" w:eastAsiaTheme="minorEastAsia" w:cstheme="minorEastAsia"/>
          <w:color w:val="auto"/>
          <w:sz w:val="21"/>
          <w:szCs w:val="21"/>
          <w:highlight w:val="none"/>
          <w:lang w:val="en-US" w:eastAsia="zh-CN"/>
        </w:rPr>
        <w:t>并</w:t>
      </w:r>
      <w:r>
        <w:rPr>
          <w:rFonts w:hint="eastAsia" w:asciiTheme="minorEastAsia" w:hAnsiTheme="minorEastAsia" w:eastAsiaTheme="minorEastAsia" w:cstheme="minorEastAsia"/>
          <w:color w:val="auto"/>
          <w:sz w:val="21"/>
          <w:szCs w:val="21"/>
          <w:highlight w:val="none"/>
        </w:rPr>
        <w:t>自行解决员工上班的交通工具，保证</w:t>
      </w:r>
      <w:r>
        <w:rPr>
          <w:rFonts w:hint="eastAsia" w:asciiTheme="minorEastAsia" w:hAnsiTheme="minorEastAsia" w:eastAsiaTheme="minorEastAsia" w:cstheme="minorEastAsia"/>
          <w:color w:val="auto"/>
          <w:sz w:val="21"/>
          <w:szCs w:val="21"/>
          <w:highlight w:val="none"/>
          <w:lang w:val="en-US" w:eastAsia="zh-CN"/>
        </w:rPr>
        <w:t>办公、生活场所</w:t>
      </w:r>
      <w:r>
        <w:rPr>
          <w:rFonts w:hint="eastAsia" w:asciiTheme="minorEastAsia" w:hAnsiTheme="minorEastAsia" w:eastAsiaTheme="minorEastAsia" w:cstheme="minorEastAsia"/>
          <w:color w:val="auto"/>
          <w:sz w:val="21"/>
          <w:szCs w:val="21"/>
          <w:highlight w:val="none"/>
        </w:rPr>
        <w:t>洁净、卫生、安全，符合深圳市有关规定、要求。</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员工劳动保障要求：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（1）中标人必须与员工签订书面劳动合同。</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（2）中标人必须遵守《劳动法》的规定为员工购买社会保险外。</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（3）中标人必须保障员工正常休息时间。</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为保障员工权益，合同履约过程中，中标人须每三个月向采购人提交一次项目团队的社保清单、员工签字的工资单和个税缴纳证明，如人员费用实际支出少于提交的详细分项报价中的承诺，采购人有权在支付阶段将该差额直接予以扣除。</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中标人须落实文明管养措施，为广大市民提供文明的服务。</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及时完成采购人及</w:t>
      </w:r>
      <w:r>
        <w:rPr>
          <w:rFonts w:hint="eastAsia" w:asciiTheme="minorEastAsia" w:hAnsiTheme="minorEastAsia" w:eastAsiaTheme="minorEastAsia" w:cstheme="minorEastAsia"/>
          <w:color w:val="auto"/>
          <w:sz w:val="21"/>
          <w:szCs w:val="21"/>
          <w:highlight w:val="none"/>
          <w:lang w:eastAsia="zh-CN"/>
        </w:rPr>
        <w:t>现场监管单位</w:t>
      </w:r>
      <w:r>
        <w:rPr>
          <w:rFonts w:hint="eastAsia" w:asciiTheme="minorEastAsia" w:hAnsiTheme="minorEastAsia" w:eastAsiaTheme="minorEastAsia" w:cstheme="minorEastAsia"/>
          <w:color w:val="auto"/>
          <w:sz w:val="21"/>
          <w:szCs w:val="21"/>
          <w:highlight w:val="none"/>
        </w:rPr>
        <w:t>下达的任务，按质按时完成上级交办的突击任务，并达到绿地养护要求。如管养期间接到不在管养范围内的市政绿化投诉或紧急情况或临时性、突击性应急任务，中标人需服从绿化管理部门安排，第一时间进行处理。</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在辖区绿地上进行的所有施工，中标人均负有监督责任，须全程跟踪，防止侵占绿地，对施工质量、进度、安全规范管理等方面进行监管，记录施工过程向采购人汇报。</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中标人私自破坏、非法占用绿地或容许他人破坏、非法占用绿地，除按合同约定进行处理外，还将承担行政处罚，甚至对企业法人追究刑事责任。</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中标人须购买公众责任险、安全生产责任险，投保区域包括本项目服务涉及的所有区域；为本项目所有人员购买雇主责任险及意外险等。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（1）公众责任险指由于企业的过错行为，在其经营场所致使外来人员（如顾客）伤亡或第三者财产损失的时候 ，可以得到理赔的保险。在项目执行期间出现的造成第三者的人身伤亡和财产损失的情况，由中标人向保险公司申请理赔，</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不承担理赔。本项目公众责任险赔偿额度要求如下：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年累计赔偿限额1000万元；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其中每次事故累计赔偿限额500万元，每人伤亡责任限额100万。每次事故财产损失赔偿限额100万，每人财产损失赔偿限额20万。</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附加自然灾害责任扩展条款，扩展承保台风、暴雨、暴风等自然灾害引发事故造成第三者人身伤亡、财产损失；</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附加树木折断、倒伏、园林设施责任扩展条款，承保管护范围内树木倒伏、断枝、枯枝坠落、边坡附属设施损坏造成第三者人身伤害、车辆及其他财产损失；</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安全生产责任险是指因发生安全事故或意外事故，导致企业的员工和外来人员伤亡的时候，可以得到理赔的保险。中标人须购买安全生产责任险中的第三者和施救费保险，在项目执行期间出现服务范围内人身伤亡情况，由中标人向保险公司申请理赔，</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不承担理赔。本项目安全生产责任险保额要求如下：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①年累计赔偿限额5000万元；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②其中每次事故累计赔偿限额1000万元，每次事故每人赔偿限额200万元，每次事故财产损失赔偿限额200万元。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雇主责任险是指被保险人所雇佣的员工在受雇过程中从事与保险单所载明的与被保险人业务有关的工作而遭受意外或患与业务有关的国家规定的职业性疾病时，本应由被保险人负责赔偿的金额都由保险公司负责赔偿的一种商业保险。中标人需为参与项目的所有工作人员购买保额不低于60万元的雇主责任险，参与项目工作人员发生意外伤害后，由中标人向保险公司申请理赔，</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不承担理赔。</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（4）中标人还需为参与项目的所有工作人员购买保额不低于60万元的人身意外伤害保险，参与项目工作人员发生意外伤害后，由中标人向保险公司申请理赔，</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不承担理赔。</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中标人对服务范围内的附属设施设备承担管养责任，属中标人责任范围内的相关附属设施设备丢失、人为损坏、意外灾害损坏等问题，由中标人负责报警追讨及补齐，中标人可视情况自行购买相关保险，避免或降低损失。</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（6）具体的保险类型、保险责任范围、对外责任、赔偿处理、被保险人义务、费率等问题，由中标人和保险公司协商决定，采购人不做具体要求。</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中标人应自行办理履约所需要的许可证明。如占道作业许可证缺失，即可认定不具备履约能力。</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绿地养护面积增减原则：</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（1）绿地被借占用，以《绿地占用通知》的面积为准，自迁移全部完成之日起开始撤减养护面积；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（2）绿地涉及整体改造提升工程并设置围挡的，以工程开工之日开始撤减养护面积，工程竣工接管时再增加相应面积；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（3）绿地养护面积因其他原因有变化时，以</w:t>
      </w:r>
      <w:r>
        <w:rPr>
          <w:rFonts w:hint="eastAsia" w:asciiTheme="minorEastAsia" w:hAnsiTheme="minorEastAsia" w:eastAsiaTheme="minorEastAsia" w:cstheme="minorEastAsia"/>
          <w:color w:val="auto"/>
          <w:sz w:val="21"/>
          <w:szCs w:val="21"/>
          <w:highlight w:val="none"/>
          <w:lang w:eastAsia="zh-CN"/>
        </w:rPr>
        <w:t>现场监管单位</w:t>
      </w:r>
      <w:r>
        <w:rPr>
          <w:rFonts w:hint="eastAsia" w:asciiTheme="minorEastAsia" w:hAnsiTheme="minorEastAsia" w:eastAsiaTheme="minorEastAsia" w:cstheme="minorEastAsia"/>
          <w:color w:val="auto"/>
          <w:sz w:val="21"/>
          <w:szCs w:val="21"/>
          <w:highlight w:val="none"/>
        </w:rPr>
        <w:t>核实的数据作为增减依据；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（4）绿地养护面积的变化采用动态管理，如因其他原因发生变动时可实时变更，随时</w:t>
      </w:r>
      <w:r>
        <w:rPr>
          <w:rFonts w:hint="eastAsia" w:asciiTheme="minorEastAsia" w:hAnsiTheme="minorEastAsia" w:eastAsiaTheme="minorEastAsia" w:cstheme="minorEastAsia"/>
          <w:color w:val="auto"/>
          <w:sz w:val="21"/>
          <w:szCs w:val="21"/>
          <w:highlight w:val="none"/>
          <w:lang w:eastAsia="zh-CN"/>
        </w:rPr>
        <w:t>登记台账</w:t>
      </w:r>
      <w:r>
        <w:rPr>
          <w:rFonts w:hint="eastAsia" w:asciiTheme="minorEastAsia" w:hAnsiTheme="minorEastAsia" w:eastAsiaTheme="minorEastAsia" w:cstheme="minorEastAsia"/>
          <w:color w:val="auto"/>
          <w:sz w:val="21"/>
          <w:szCs w:val="21"/>
          <w:highlight w:val="none"/>
        </w:rPr>
        <w:t>，双月检查前进行一次全面校验。</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同一位置</w:t>
      </w:r>
      <w:r>
        <w:rPr>
          <w:rFonts w:hint="eastAsia" w:asciiTheme="minorEastAsia" w:hAnsiTheme="minorEastAsia" w:eastAsiaTheme="minorEastAsia" w:cstheme="minorEastAsia"/>
          <w:color w:val="auto"/>
          <w:sz w:val="21"/>
          <w:szCs w:val="21"/>
          <w:highlight w:val="none"/>
        </w:rPr>
        <w:t>借占用时间小于3个月</w:t>
      </w:r>
      <w:r>
        <w:rPr>
          <w:rFonts w:hint="eastAsia" w:asciiTheme="minorEastAsia" w:hAnsiTheme="minorEastAsia" w:eastAsiaTheme="minorEastAsia" w:cstheme="minorEastAsia"/>
          <w:color w:val="auto"/>
          <w:sz w:val="21"/>
          <w:szCs w:val="21"/>
          <w:highlight w:val="none"/>
          <w:lang w:eastAsia="zh-CN"/>
        </w:rPr>
        <w:t>且</w:t>
      </w:r>
      <w:r>
        <w:rPr>
          <w:rFonts w:hint="eastAsia" w:asciiTheme="minorEastAsia" w:hAnsiTheme="minorEastAsia" w:eastAsiaTheme="minorEastAsia" w:cstheme="minorEastAsia"/>
          <w:color w:val="auto"/>
          <w:sz w:val="21"/>
          <w:szCs w:val="21"/>
          <w:highlight w:val="none"/>
        </w:rPr>
        <w:t>面积小于1000平方米的绿地，需要继续负责部分养护工作或监管职责的，可不撤减养护面积；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（6）经同意不作围挡的借占用绿地，确须行使管理职责的，可保留部分养护面积作为管理任务。</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履行期间，若因市政建设或为了方便采购人管理需要调整包号绿地范围、管养地段、管养树木和管养级别，导致绿地管养面积、公园数量、公厕数量等服务内容减少或增多的，中标人需无条件服从安排，同时根据项目配置要求相应核增或核减人员、车辆、设备等。采购人每月按照实际管养</w:t>
      </w:r>
      <w:r>
        <w:rPr>
          <w:rFonts w:hint="eastAsia" w:asciiTheme="minorEastAsia" w:hAnsiTheme="minorEastAsia" w:eastAsiaTheme="minorEastAsia" w:cstheme="minorEastAsia"/>
          <w:color w:val="auto"/>
          <w:sz w:val="21"/>
          <w:szCs w:val="21"/>
          <w:highlight w:val="none"/>
          <w:lang w:eastAsia="zh-CN"/>
        </w:rPr>
        <w:t>数量及中标单价</w:t>
      </w:r>
      <w:r>
        <w:rPr>
          <w:rFonts w:hint="eastAsia" w:asciiTheme="minorEastAsia" w:hAnsiTheme="minorEastAsia" w:eastAsiaTheme="minorEastAsia" w:cstheme="minorEastAsia"/>
          <w:color w:val="auto"/>
          <w:sz w:val="21"/>
          <w:szCs w:val="21"/>
          <w:highlight w:val="none"/>
        </w:rPr>
        <w:t>计算一次相应的核增或核减费用。若核算后的月服务费超过每月</w:t>
      </w:r>
      <w:r>
        <w:rPr>
          <w:rFonts w:hint="eastAsia" w:asciiTheme="minorEastAsia" w:hAnsiTheme="minorEastAsia" w:eastAsiaTheme="minorEastAsia" w:cstheme="minorEastAsia"/>
          <w:color w:val="auto"/>
          <w:sz w:val="21"/>
          <w:szCs w:val="21"/>
          <w:highlight w:val="none"/>
          <w:lang w:eastAsia="zh-CN"/>
        </w:rPr>
        <w:t>中标金额</w:t>
      </w:r>
      <w:r>
        <w:rPr>
          <w:rFonts w:hint="eastAsia" w:asciiTheme="minorEastAsia" w:hAnsiTheme="minorEastAsia" w:eastAsiaTheme="minorEastAsia" w:cstheme="minorEastAsia"/>
          <w:color w:val="auto"/>
          <w:sz w:val="21"/>
          <w:szCs w:val="21"/>
          <w:highlight w:val="none"/>
        </w:rPr>
        <w:t>的，在经财政主管部门同意的情况下，可另行增加管养费用，增加的费用不得超过</w:t>
      </w:r>
      <w:r>
        <w:rPr>
          <w:rFonts w:hint="eastAsia" w:asciiTheme="minorEastAsia" w:hAnsiTheme="minorEastAsia" w:eastAsiaTheme="minorEastAsia" w:cstheme="minorEastAsia"/>
          <w:color w:val="auto"/>
          <w:sz w:val="21"/>
          <w:szCs w:val="21"/>
          <w:highlight w:val="none"/>
          <w:lang w:val="en-US" w:eastAsia="zh-CN"/>
        </w:rPr>
        <w:t>每月</w:t>
      </w:r>
      <w:r>
        <w:rPr>
          <w:rFonts w:hint="eastAsia" w:asciiTheme="minorEastAsia" w:hAnsiTheme="minorEastAsia" w:eastAsiaTheme="minorEastAsia" w:cstheme="minorEastAsia"/>
          <w:color w:val="auto"/>
          <w:sz w:val="21"/>
          <w:szCs w:val="21"/>
          <w:highlight w:val="none"/>
        </w:rPr>
        <w:t xml:space="preserve">中标金额的10%。 </w:t>
      </w:r>
    </w:p>
    <w:p>
      <w:pPr>
        <w:pStyle w:val="70"/>
        <w:keepNext w:val="0"/>
        <w:keepLines w:val="0"/>
        <w:pageBreakBefore w:val="0"/>
        <w:numPr>
          <w:ilvl w:val="0"/>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中标人所提供的服务未侵犯知识产权，不会产生因第三方提出的包括但不限于侵犯其专利权、商标权、</w:t>
      </w:r>
      <w:r>
        <w:rPr>
          <w:rFonts w:hint="eastAsia" w:asciiTheme="minorEastAsia" w:hAnsiTheme="minorEastAsia" w:eastAsiaTheme="minorEastAsia" w:cstheme="minorEastAsia"/>
          <w:color w:val="auto"/>
          <w:sz w:val="21"/>
          <w:szCs w:val="21"/>
          <w:highlight w:val="none"/>
          <w:lang w:eastAsia="zh-CN"/>
        </w:rPr>
        <w:t>著作权</w:t>
      </w:r>
      <w:r>
        <w:rPr>
          <w:rFonts w:hint="eastAsia" w:asciiTheme="minorEastAsia" w:hAnsiTheme="minorEastAsia" w:eastAsiaTheme="minorEastAsia" w:cstheme="minorEastAsia"/>
          <w:color w:val="auto"/>
          <w:sz w:val="21"/>
          <w:szCs w:val="21"/>
          <w:highlight w:val="none"/>
        </w:rPr>
        <w:t>等知识产权和侵犯其所有权、抵押权等物权及其他权利而引发的纠纷。如有纠纷，中标人应承担全部责任。</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（二）人员管理要求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定岗定员要求。要求一线岗位人员（不含管理人员）必须占项目团队总人数的75%以上。定岗定员必须覆盖到所有养护任务类型。要求中标人每月将人员档案和上岗计划、作业范围报管理单位备案并录入智慧城管系统，发生调整时需第一时间报告采购人并在系统中更新人员信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项目入场时要求一线岗位工人的50%和全部管理团队成员到岗，30天内全部人员到岗。合同生效后，半年内管理团队成员更换比例不得超过20%，一年内管理团队的成员更换比例不得超过30%。</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乙方派驻项目团队分为“项目管理部”（管理团队）和“项目执行部”（一线工人队伍）。其中项目管理部（项目负责人和主要管理团队）对</w:t>
      </w:r>
      <w:r>
        <w:rPr>
          <w:rFonts w:hint="eastAsia" w:asciiTheme="minorEastAsia" w:hAnsiTheme="minorEastAsia" w:eastAsiaTheme="minorEastAsia" w:cstheme="minorEastAsia"/>
          <w:color w:val="auto"/>
          <w:sz w:val="21"/>
          <w:szCs w:val="21"/>
          <w:highlight w:val="none"/>
          <w:lang w:eastAsia="zh-CN"/>
        </w:rPr>
        <w:t>现场监管单位</w:t>
      </w:r>
      <w:r>
        <w:rPr>
          <w:rFonts w:hint="eastAsia" w:asciiTheme="minorEastAsia" w:hAnsiTheme="minorEastAsia" w:eastAsiaTheme="minorEastAsia" w:cstheme="minorEastAsia"/>
          <w:color w:val="auto"/>
          <w:sz w:val="21"/>
          <w:szCs w:val="21"/>
          <w:highlight w:val="none"/>
        </w:rPr>
        <w:t>直接负责，按要求全面落实好本管理服务项目。同时项目管理部通过对项目执行部的作业人员进行聘用、培训、检查、考评，确保执行部人员的工作状态和作业质量，实现各专业块状的融合、互动、协作管理。而项目执行部对项目管理部直接负责，通过专业化运作，条状管理，确保一线作业质量达到本项目管理考核标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乙方必须按本项目投标文件中所列拟安排的项目负责人、拟安排的项目团队成员进行配备。在合同履行期间，除最基层的一线普通作业工人岗位，可由投标人项目管理部直接做出调整后报采购人备案外，其它岗位人员若确因相关原因需进行更换的的，均需提前五个工作日书面报请采购人审核，经采购人审核同意，跟班至少一周，方可正式交接更换。若未获得采购人同意而擅自更换的，一经发现，除接受相应违约扣罚外，采购人可将其视为供应商不规范行为信息，纳入政府采购供应商信用信息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.人员备案要求。中标人在中标后一个月内以及每年年初首月内将项目所有人员资料报采购人备案。备案资料包括：人员管理规定、人员岗位表、技术人员资质证明、社保记录、变更记录。</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.项目服务期间，中标人派驻完全独立的项目团队成员，即“同一人员仅可出现在一个绿化管养项目中”。</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.加强对员工的智能化管理，包括用定位设备等对每天到岗人数进行清点、监管等，实时更新作业位置。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安保队伍须统一着装、纪律严明、训练有素、文明执勤、热情服务、服从领导、听从指挥，做到令行禁止，遇事报告；坚守岗位，保持高度警惕，注意发现可疑的人、事、物，预防治安案件的发生；积极配合卫生、绿化、维修等其他服务，制止违章行为，防止破坏，不能制止解决的向采购人报告；做好防火、防盗、防破坏、防治安灾害事故的“四防”工作，及时发现隐患漏洞或其他不安全因素，并向上级报告；安保人员不得非法剥夺限制他人的人身自由，无人身搜查权，不得扣押或没收他人证件和私有财产，不得辱骂、殴打他人或者教唆殴打他人；安保人员在岗时必须佩戴执勤记录仪；采取“时间不定时、路线常变换”的原则加强公园巡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.中标人做好排班表，按排班计划表配置相应人员。</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.规范人员工作态度，上班时间要对工作认真负责，不得迟到、早退；不得玩手机、扎堆闲聊；不得脱岗、离岗。</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.中标人对员工遵纪守法、遵守计划生育的政策情况负责，如发生违纪事件，将承担一切经济责任和法律责任。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.电工</w:t>
      </w:r>
      <w:r>
        <w:rPr>
          <w:rFonts w:hint="eastAsia" w:asciiTheme="minorEastAsia" w:hAnsiTheme="minorEastAsia" w:eastAsiaTheme="minorEastAsia" w:cstheme="minorEastAsia"/>
          <w:color w:val="auto"/>
          <w:sz w:val="21"/>
          <w:szCs w:val="21"/>
          <w:highlight w:val="none"/>
          <w:lang w:eastAsia="zh-CN"/>
        </w:rPr>
        <w:t>、高空作业人员</w:t>
      </w:r>
      <w:r>
        <w:rPr>
          <w:rFonts w:hint="eastAsia" w:asciiTheme="minorEastAsia" w:hAnsiTheme="minorEastAsia" w:eastAsiaTheme="minorEastAsia" w:cstheme="minorEastAsia"/>
          <w:color w:val="auto"/>
          <w:sz w:val="21"/>
          <w:szCs w:val="21"/>
          <w:highlight w:val="none"/>
        </w:rPr>
        <w:t>需持有专业上岗资格证。</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（三）作业工器具管理要求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1.装备：除本招标文件要求配备的车辆、机械、设备外，中标人须配备常用的绿化管养、清扫保洁工器具。</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车辆机械备案要求。车辆机械按照采购人要求、在合同签订之日起15日内配齐并完成备案申报工作，且在合同生效之日起半年内不得更换。车辆机械应按采购人要求统一喷绘（喷绘样式参考附件）。合同生效之日起半年后，若需更换车辆机械，变更前须征得采购人同意，变更后3天内完成备案。备案资料包括：车辆机械设备配备方案和管理规定、车辆机械设备存量表、产权或租赁证明、停放地点、使用和维护日志、核查记录。</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车辆作业要求。中标人需每月将当月作业车辆信息及作业计划录入智慧城管系统，发生变动时需第一时间报告采购人并在系统中更新车辆信息。车辆作业时必须开启GPS定位设备，实时更新作业位置。所有车辆均应在闲时进行维修保养，工作期间如发生故障应由同等规格的车辆顶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4.本项目所有作业车辆年审、环保检测和交通强制险等三证齐全，且须按规定购买全额保险。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5.作业工器具规范化形象要求：全部作业工器具全部作业工器具需统一外观、规格和标准，所需费用由中标人支付，具体要求如下：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外观统一，的样式、标准制作，即所有管养服务工作过程中所涉及到的设备，如自卸垃圾车、水车、管理用车、货车、高空作业车、防撞缓冲车、打孔机、疏草机、草坪修剪机、绿篱修剪机、油锯、割灌机、高枝剪、高压喷雾器、高感油锯机等，工具及设备包含但不限于以上列举。</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（2）下班后及时清洗工具，保持安全、洁净、美观。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（3）及时更换老旧破损设备。</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（四）安全文明措施管理</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须制定并执行全面、完善、针对各个岗位的安全生产责任制度、劳动保障体系、自查自纠和风险防控措施，并每月将当月的安全生产资料报备绿化监管部门，做到安全第一、责任到人、严密防控，规范实施各项作业程序和作业方式，并指定专职人员负责安全生产工作，每日巡查作业人员劳动保护工具和作业机械装备、使用及保养情况，主动排除安全隐患，发现问题及时解决，出现事故全力控制，举一反三、严防死守，确保人身财产安全保障到位。如发生由于中标人过失、不作为或其他人为原因所导致的一切安全事故和人财物损失，均由中标人承担相关法律和经济责任。</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在路面作业应符合《道路交通标志和标线 第4部分：作业区》（GB 5768.4-2017）、深圳市《占道作业交通管理设施设置技术指引（试行）》及其它交通管理部门关于安全文明施工的规定，按要求设置警示标志，配备安全员等。参照《深圳市道路绿地环境卫生保洁规范作业指引》和《深圳市道路绿化管养规范作业指引》，以及环卫部门的垃圾车和垃圾填埋场进场管理规定等相关规定和标准进行规范作业。</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绿地上作业的人员须全部穿着统一的工作服（包括衣裤、手套、反光背心、反光袖套、反光雨衣、雨鞋），佩戴工作证，路面作业的人员须穿着反光衣；乔木修剪现场工作人员均应戴安全帽，操作机械和配合操作的人员须按操作指引配备手套、安全帽、护目镜等安全防护用具。其它岗位人员也应按操作规范指引配备安全防护用具。</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占道作业时要求按照交通管理规定上路作业，并服从指挥。交通高峰期（7:00-9:30、17:00-19:30）所有绿化作业车辆不得上路，其它绿化养护作业不得占用机动车道；其他时间占道作业时必须设专人指挥疏导交通，现场设有效围挡和温馨提示牌，出现交通拥堵时应立即撤离路面；占用人行道进行养护作业时，应设有效围挡和温馨提示牌，并在首尾处各设安全员对行人进行有效疏解和劝阻。</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要求有切实可行的措施保证工作人员和周边人员的安全。使用农药和危险机具时应采取相应措施以确保工作人员和周边人员的安全。在影响景观或市民生活的工作场地作业时应设围挡和温馨提示牌；对绿地上的安全隐患必须马上设警示标识，随后必须及时消除隐患；绿地上所有事故的损失，均由中标人承担经济赔偿责任。</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养护作业时必须规范、文明、有序。要求绿化养护员工与市民沟通时应态度和蔼、言辞尊重、简明回应。绿化作业车不得出现沿途跑、冒、滴、漏垃圾及污水的现象；任何情况下泥土均不得冲出路面；水车浇水时不得洒到行人。</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中标人（及其员工）须严格执行绿化行业安全监管规范与标准，包括《园林绿化管养规范》（DB4403/T 87—2020）、《深圳市绿化管理处道路绿化安全规范养护作业指引》、《园林林业行业分类安全监管指引》、《园林林业专项工作安全监管指引》和《公园安全管理规范》（SZDB/Z299-2018）等相关绿化行业安全监管规范与标准规定，规范作业。</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中标人负责制定员工技术培训和安全教育计划，定期安排员工参加上岗培训、作业技能和安全作业培训，达到相应作业岗位上岗资格才能作业，掌握安全规程，并逐渐提高工作素质和作业水平。</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中标人（及其作业人员）应严格遵守各项法律、法规，抓好劳务、计生、治安、维稳等内部工作，保证不发生聚众闹事、员工上访等事件。</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上岗后三个月内应完成编制应急预案，并组织演练。台风、洪涝等灾害天气及其它突发事件时，要求中标人按预案及时出动足够的人力、机械参与抢险，保证不因绿化问题影响交通和市民生活。灾害天气和突发事件过后，及时恢复绿化。</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中标人需主动发现并解决服务范围内有关绿化及安全隐患的问题，提前整改处理，减少投诉。接到投诉时及时采取措施整改，及时回复。</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落实文明管养措施。如员工与游客发生纠纷以及因中标人</w:t>
      </w:r>
      <w:r>
        <w:rPr>
          <w:rFonts w:hint="eastAsia" w:asciiTheme="minorEastAsia" w:hAnsiTheme="minorEastAsia" w:eastAsiaTheme="minorEastAsia" w:cstheme="minorEastAsia"/>
          <w:color w:val="auto"/>
          <w:sz w:val="21"/>
          <w:szCs w:val="21"/>
          <w:highlight w:val="none"/>
          <w:lang w:val="en-US" w:eastAsia="zh-CN"/>
        </w:rPr>
        <w:t>管护不到位等</w:t>
      </w:r>
      <w:r>
        <w:rPr>
          <w:rFonts w:hint="eastAsia" w:asciiTheme="minorEastAsia" w:hAnsiTheme="minorEastAsia" w:eastAsiaTheme="minorEastAsia" w:cstheme="minorEastAsia"/>
          <w:color w:val="auto"/>
          <w:sz w:val="21"/>
          <w:szCs w:val="21"/>
          <w:highlight w:val="none"/>
        </w:rPr>
        <w:t>原因造成游客跌伤、滑到等人身意外伤害的，一切责任和费用由中标人承担。</w:t>
      </w:r>
    </w:p>
    <w:p>
      <w:pPr>
        <w:pStyle w:val="70"/>
        <w:keepNext w:val="0"/>
        <w:keepLines w:val="0"/>
        <w:pageBreakBefore w:val="0"/>
        <w:numPr>
          <w:ilvl w:val="3"/>
          <w:numId w:val="107"/>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投标人需加强</w:t>
      </w:r>
      <w:r>
        <w:rPr>
          <w:rFonts w:hint="eastAsia" w:asciiTheme="minorEastAsia" w:hAnsiTheme="minorEastAsia" w:eastAsiaTheme="minorEastAsia" w:cstheme="minorEastAsia"/>
          <w:color w:val="auto"/>
          <w:sz w:val="21"/>
          <w:szCs w:val="21"/>
          <w:highlight w:val="none"/>
          <w:lang w:eastAsia="zh-CN"/>
        </w:rPr>
        <w:t>水体周边</w:t>
      </w:r>
      <w:r>
        <w:rPr>
          <w:rFonts w:hint="eastAsia" w:asciiTheme="minorEastAsia" w:hAnsiTheme="minorEastAsia" w:eastAsiaTheme="minorEastAsia" w:cstheme="minorEastAsia"/>
          <w:color w:val="auto"/>
          <w:sz w:val="21"/>
          <w:szCs w:val="21"/>
          <w:highlight w:val="none"/>
        </w:rPr>
        <w:t>的安全巡查、做好安全警示告示，及时劝阻游人垂钓、戏水等不文明行为，</w:t>
      </w:r>
      <w:r>
        <w:rPr>
          <w:rFonts w:hint="eastAsia" w:asciiTheme="minorEastAsia" w:hAnsiTheme="minorEastAsia" w:eastAsiaTheme="minorEastAsia" w:cstheme="minorEastAsia"/>
          <w:color w:val="auto"/>
          <w:sz w:val="21"/>
          <w:szCs w:val="21"/>
          <w:highlight w:val="none"/>
          <w:lang w:val="en-US" w:eastAsia="zh-CN"/>
        </w:rPr>
        <w:t>防止</w:t>
      </w:r>
      <w:r>
        <w:rPr>
          <w:rFonts w:hint="eastAsia" w:asciiTheme="minorEastAsia" w:hAnsiTheme="minorEastAsia" w:eastAsiaTheme="minorEastAsia" w:cstheme="minorEastAsia"/>
          <w:color w:val="auto"/>
          <w:sz w:val="21"/>
          <w:szCs w:val="21"/>
          <w:highlight w:val="none"/>
        </w:rPr>
        <w:t>游人意外坠水。</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（五）信息化管理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1.本项目使用“盐田区智慧城管信息--深圳市道路绿化养护精细化管理信息系统”（以下简称“信息系统”）作为工作平台。要求中标人将养护资料全部上传到信息系统上报采购人审核。</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中标单位需按照每人一台、每车一台的标准，自行配足所中</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所需的GPS定位设备，统一接入信息系统进行统一管理。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3.中标人需安排一名专职人员负责信息系统数据录入、案件处理等事项，落实系统各项考核任务。信息系统数据包括但不限于（以系统要求为准）：</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信息、人员信息、设备信息、企业信息、绿地样点信息及合同信息等。如信息系统数据发生变动，需在变动的3个工作日内将变动情况报绿化监管部门审核批准后录入系统。养护投入情况包括但不限于（以系统要求为准）：对</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绿地养护投入的人、车、水、肥、苗等。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4.绿化养护台帐由专人跟进，定期更新：中标人中标后需建立完整的绿化养护台帐，每月末需对数据进行审核。如有树木数据更新或修改，应及时记录并</w:t>
      </w:r>
      <w:r>
        <w:rPr>
          <w:rFonts w:hint="eastAsia" w:asciiTheme="minorEastAsia" w:hAnsiTheme="minorEastAsia" w:eastAsiaTheme="minorEastAsia" w:cstheme="minorEastAsia"/>
          <w:color w:val="auto"/>
          <w:sz w:val="21"/>
          <w:szCs w:val="21"/>
          <w:highlight w:val="none"/>
          <w:lang w:eastAsia="zh-CN"/>
        </w:rPr>
        <w:t>按要求</w:t>
      </w:r>
      <w:r>
        <w:rPr>
          <w:rFonts w:hint="eastAsia" w:asciiTheme="minorEastAsia" w:hAnsiTheme="minorEastAsia" w:eastAsiaTheme="minorEastAsia" w:cstheme="minorEastAsia"/>
          <w:color w:val="auto"/>
          <w:sz w:val="21"/>
          <w:szCs w:val="21"/>
          <w:highlight w:val="none"/>
        </w:rPr>
        <w:t>在树木调查系统进行更新，同时及时向采购人反馈。绿化资料记录详细，分类清楚，数据详实。月度养护计划及养护作业按时记录、及时上报采购人，并符合现状和季节特点，针对性强，养护档案做到完整、真实，不弄虚作假。</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（六）其他要求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1.在实施绿地管养过程中，中标人须服从采购人（含现场监管单位）的指挥和合理调整。相关人员不称职、不符合要求，采购人（含现场监管单位）有权要求更换，中标人需无条件配合。</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及时完成采购人及现场监管单位下达的任务，按质按时完成上级交办的突击任务，并达到绿地养护要求。如管养期间接到项目所在辖区未接管的市政绿化投诉或紧急情况或临时性、突击性应急任务，中标人需服从采购人及现场监管单位安排，第一时间进行处理。</w:t>
      </w:r>
    </w:p>
    <w:p>
      <w:pPr>
        <w:keepNext w:val="0"/>
        <w:keepLines w:val="0"/>
        <w:pageBreakBefore w:val="0"/>
        <w:kinsoku/>
        <w:wordWrap/>
        <w:overflowPunct/>
        <w:topLinePunct w:val="0"/>
        <w:autoSpaceDE/>
        <w:autoSpaceDN/>
        <w:bidi w:val="0"/>
        <w:snapToGrid w:val="0"/>
        <w:spacing w:line="240" w:lineRule="auto"/>
        <w:ind w:left="0"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3.中标人应负责借占用绿地的现场监管，包括核实绿地占用范围、迁移（砍伐）树木数量，树木迁移质量和成活情况，监管绿地恢复等。</w:t>
      </w:r>
    </w:p>
    <w:p>
      <w:pPr>
        <w:pStyle w:val="2"/>
        <w:rPr>
          <w:b/>
          <w:sz w:val="24"/>
        </w:rPr>
      </w:pPr>
    </w:p>
    <w:p/>
    <w:p>
      <w:pPr>
        <w:pStyle w:val="7"/>
        <w:spacing w:before="120" w:beforeLines="50" w:after="120" w:afterLines="50"/>
        <w:rPr>
          <w:szCs w:val="24"/>
        </w:rPr>
      </w:pPr>
      <w:r>
        <w:rPr>
          <w:rFonts w:hint="eastAsia"/>
          <w:szCs w:val="24"/>
          <w:lang w:val="en-US" w:eastAsia="zh-CN"/>
        </w:rPr>
        <w:t>八</w:t>
      </w:r>
      <w:r>
        <w:rPr>
          <w:rFonts w:hint="eastAsia"/>
          <w:szCs w:val="24"/>
        </w:rPr>
        <w:t>、商务要求</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0" w:firstLineChars="200"/>
        <w:textAlignment w:val="auto"/>
        <w:outlineLvl w:val="1"/>
        <w:rPr>
          <w:rFonts w:hint="eastAsia" w:asciiTheme="minorEastAsia" w:hAnsiTheme="minorEastAsia" w:eastAsiaTheme="minorEastAsia" w:cstheme="minorEastAsia"/>
          <w:b/>
          <w:color w:val="FF0000"/>
          <w:kern w:val="0"/>
          <w:sz w:val="21"/>
          <w:szCs w:val="21"/>
          <w:highlight w:val="none"/>
          <w:lang w:val="en-US" w:eastAsia="zh-CN"/>
        </w:rPr>
      </w:pPr>
      <w:r>
        <w:rPr>
          <w:rFonts w:hint="eastAsia"/>
          <w:color w:val="FF0000"/>
          <w:szCs w:val="21"/>
        </w:rPr>
        <w:t>★</w:t>
      </w:r>
      <w:r>
        <w:rPr>
          <w:rFonts w:hint="eastAsia" w:asciiTheme="minorEastAsia" w:hAnsiTheme="minorEastAsia" w:eastAsiaTheme="minorEastAsia" w:cstheme="minorEastAsia"/>
          <w:b/>
          <w:color w:val="FF0000"/>
          <w:kern w:val="0"/>
          <w:sz w:val="21"/>
          <w:szCs w:val="21"/>
          <w:highlight w:val="none"/>
          <w:lang w:val="en-US" w:eastAsia="zh-CN"/>
        </w:rPr>
        <w:t>（一）服务期限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color w:val="FF0000"/>
          <w:sz w:val="21"/>
          <w:szCs w:val="21"/>
          <w:highlight w:val="none"/>
        </w:rPr>
        <w:t>本项目一招三年，合同一年一签，每满一年后视中标人的考核情况等相关情况确定是否续签合同，符合续签要求的可续签至3年。若采购单位因政策影响、项目管理需要需终止合同的，采购单位需提前1个月告知，中标单位需无条件接受。若中标单位因政策影响或企业自身原因要求终止合同的，中标单位需提前3个月提出申请，并按中标要求继续管养至新的服务单位进场后方能撤离项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FF0000"/>
          <w:sz w:val="21"/>
          <w:szCs w:val="21"/>
          <w:highlight w:val="none"/>
        </w:rPr>
        <w:t>注：长期货物政府采购合同履行期限最长不得超过二十四个月，长期服务政府采购合同履行期限最长不得超过三十六个月。如甲方对履约情况不满意，甲方不再续约。</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（二）付款方式</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每月支付一次。支付经费＝每月中标费用－检查验收扣款－管养面积核</w:t>
      </w:r>
      <w:r>
        <w:rPr>
          <w:rFonts w:hint="eastAsia" w:asciiTheme="minorEastAsia" w:hAnsiTheme="minorEastAsia" w:eastAsiaTheme="minorEastAsia" w:cstheme="minorEastAsia"/>
          <w:color w:val="auto"/>
          <w:sz w:val="21"/>
          <w:szCs w:val="21"/>
          <w:highlight w:val="none"/>
          <w:lang w:eastAsia="zh-CN"/>
        </w:rPr>
        <w:t>（增）</w:t>
      </w:r>
      <w:r>
        <w:rPr>
          <w:rFonts w:hint="eastAsia" w:asciiTheme="minorEastAsia" w:hAnsiTheme="minorEastAsia" w:eastAsiaTheme="minorEastAsia" w:cstheme="minorEastAsia"/>
          <w:color w:val="auto"/>
          <w:sz w:val="21"/>
          <w:szCs w:val="21"/>
          <w:highlight w:val="none"/>
        </w:rPr>
        <w:t>减经费－调整管养级别核</w:t>
      </w:r>
      <w:r>
        <w:rPr>
          <w:rFonts w:hint="eastAsia" w:asciiTheme="minorEastAsia" w:hAnsiTheme="minorEastAsia" w:eastAsiaTheme="minorEastAsia" w:cstheme="minorEastAsia"/>
          <w:color w:val="auto"/>
          <w:sz w:val="21"/>
          <w:szCs w:val="21"/>
          <w:highlight w:val="none"/>
          <w:lang w:eastAsia="zh-CN"/>
        </w:rPr>
        <w:t>（增）</w:t>
      </w:r>
      <w:r>
        <w:rPr>
          <w:rFonts w:hint="eastAsia" w:asciiTheme="minorEastAsia" w:hAnsiTheme="minorEastAsia" w:eastAsiaTheme="minorEastAsia" w:cstheme="minorEastAsia"/>
          <w:color w:val="auto"/>
          <w:sz w:val="21"/>
          <w:szCs w:val="21"/>
          <w:highlight w:val="none"/>
        </w:rPr>
        <w:t>减经费。本月支付上月费用（以实际服务的费用结算）。</w:t>
      </w:r>
      <w:r>
        <w:rPr>
          <w:rFonts w:hint="eastAsia" w:asciiTheme="minorEastAsia" w:hAnsiTheme="minorEastAsia" w:eastAsiaTheme="minorEastAsia" w:cstheme="minorEastAsia"/>
          <w:color w:val="auto"/>
          <w:sz w:val="21"/>
          <w:szCs w:val="21"/>
          <w:highlight w:val="none"/>
          <w:lang w:val="en-US" w:eastAsia="zh-CN"/>
        </w:rPr>
        <w:t>如本项目合同期内，各类别分项对应的养护数量发生增减变动，按照实际接管的数量乘以该类别分项中标单价计算养护费用，本项目结算金额不得大于中标价。本项目采取固定单价，不随通货膨胀的影响而波动，结算时项目单价不做调整，按实际养护任务结算。</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采购人在按养护数量及质量支付服务费用的同时，有权根据中标人实际投入的机械物料占比情况进行扣罚。扣罚规则：如中标人实际投入的机械物料占比比例低于此部分报价占比的85%（85%为最低标准），则将被处以与最低标准差额两倍的罚金，处罚金额=（85%-中标人实际投入的占比比例）*2*中标金额*该部分占比比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3.如服务期内发现管养规模存在未及时核增核减的情况，采购人可在服务期内任一期结算。合同期最后一个月需核减当月费用外还需核减合同期内其他应核减的所有费用。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4.后期若发现本项目存在超付款项情况的，采购人有权要求中标人予以返还，中标人不得以任何理由拒绝归还。</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5.</w:t>
      </w:r>
      <w:r>
        <w:rPr>
          <w:rFonts w:hint="eastAsia" w:asciiTheme="minorEastAsia" w:hAnsiTheme="minorEastAsia" w:eastAsiaTheme="minorEastAsia" w:cstheme="minorEastAsia"/>
          <w:b w:val="0"/>
          <w:bCs w:val="0"/>
          <w:color w:val="auto"/>
          <w:kern w:val="2"/>
          <w:sz w:val="21"/>
          <w:szCs w:val="21"/>
          <w:highlight w:val="none"/>
          <w:lang w:val="en-US" w:eastAsia="zh-CN" w:bidi="ar-SA"/>
        </w:rPr>
        <w:t>本承包合同的管养经费由政府拨款，如因中标人未及时提供发票或采购人政府财政拨款、政府财政审批流程等原因导致延迟支付的，不视为采购人违约，中标人不得以此为由而不履行本合同规定的义务。</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（三）质量考核验收标准及违约金</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1.检查机制</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420" w:firstLineChars="200"/>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采取日常检查、专项检查、抽检相结合的办法进行检查验收。检查验收结果作为对中标供应商养护质量评价、承包经费发放、合同续签以及相关奖惩的依据。</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b/>
          <w:bCs/>
          <w:color w:val="auto"/>
          <w:sz w:val="21"/>
          <w:szCs w:val="21"/>
          <w:highlight w:val="none"/>
        </w:rPr>
        <w:t>奖惩机制</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420" w:firstLineChars="200"/>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（1）养护期内连续3个月或累计5个月考核不达标，除按合同扣分处理外，采购人有权终止合同，所有损失和责任由中标人承担。若采购人未终止合同，中标人需要采购人出具服务履约情况评价的，一律评定为差。</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420" w:firstLineChars="200"/>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2）项目管理养护情况直接与经济效益挂钩，具体扣罚标准以《盐田区公共绿地（绿道）管理服务检查考核办法》为准。如《盐田区公共绿地（绿道）管理服务检查考核办法》在承包期修订或补充其他规定的，按新修订或补充的办法执行。</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3.</w:t>
      </w:r>
      <w:r>
        <w:rPr>
          <w:rFonts w:hint="eastAsia" w:asciiTheme="minorEastAsia" w:hAnsiTheme="minorEastAsia" w:eastAsiaTheme="minorEastAsia" w:cstheme="minorEastAsia"/>
          <w:b/>
          <w:bCs/>
          <w:color w:val="auto"/>
          <w:sz w:val="21"/>
          <w:szCs w:val="21"/>
          <w:highlight w:val="none"/>
        </w:rPr>
        <w:t>质量考核验收标准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《深圳市道路绿化精细化养护操作导则》、《园林绿化管养规范》（DB4403/T 87—2020）、《社区公园管理维护技术规范》（DB440300/T 33-2008）、《综合公园管养维护要求》（SZDB/Z 81-2013）、《立交桥悬挂绿化技术规范》（DB440300/T 18-2001）、《立体绿化管养技术规程》（DB4403/T 177—2021）、《深圳市绿地养护工作指引》（2013年深圳市城管局印发）、《公园服务规范》（SZDB/Z 88-2013）、《公园园容绿化管理规范》（SZDB/Z-2016）、《公共区域环境卫生质量和管理要求》（DB4403/T 59—2020）、《深圳市公共厕所清洁作业指引（试行）》（深城管〔2018〕174 号）、《公园公厕管理维护技术规范》（DB4403/T 66-2020）、</w:t>
      </w:r>
      <w:r>
        <w:rPr>
          <w:rFonts w:hint="eastAsia" w:asciiTheme="minorEastAsia" w:hAnsiTheme="minorEastAsia" w:eastAsiaTheme="minorEastAsia" w:cstheme="minorEastAsia"/>
          <w:color w:val="auto"/>
          <w:sz w:val="21"/>
          <w:szCs w:val="21"/>
          <w:highlight w:val="none"/>
          <w:lang w:eastAsia="zh-CN"/>
        </w:rPr>
        <w:t>《盐田区公共绿地（绿道）管理服务检查考核办法》</w:t>
      </w:r>
      <w:r>
        <w:rPr>
          <w:rFonts w:hint="eastAsia" w:asciiTheme="minorEastAsia" w:hAnsiTheme="minorEastAsia" w:eastAsiaTheme="minorEastAsia" w:cstheme="minorEastAsia"/>
          <w:color w:val="auto"/>
          <w:sz w:val="21"/>
          <w:szCs w:val="21"/>
          <w:highlight w:val="none"/>
        </w:rPr>
        <w:t>。</w:t>
      </w:r>
    </w:p>
    <w:p>
      <w:pPr>
        <w:keepNext w:val="0"/>
        <w:keepLines w:val="0"/>
        <w:pageBreakBefore w:val="0"/>
        <w:kinsoku/>
        <w:wordWrap/>
        <w:overflowPunct/>
        <w:topLinePunct w:val="0"/>
        <w:autoSpaceDE/>
        <w:autoSpaceDN/>
        <w:bidi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如上述标准、规范、要求存在不一致时，根据实际情况以采购人要求为准。以上规定规范在合同期内因管理要求需要重新修订或补充其它管理规定的，按新修订</w:t>
      </w:r>
      <w:r>
        <w:rPr>
          <w:rFonts w:hint="eastAsia" w:asciiTheme="minorEastAsia" w:hAnsiTheme="minorEastAsia" w:eastAsiaTheme="minorEastAsia" w:cstheme="minorEastAsia"/>
          <w:color w:val="auto"/>
          <w:sz w:val="21"/>
          <w:szCs w:val="21"/>
          <w:highlight w:val="none"/>
          <w:lang w:val="en-US" w:eastAsia="zh-CN"/>
        </w:rPr>
        <w:t>或补充</w:t>
      </w:r>
      <w:r>
        <w:rPr>
          <w:rFonts w:hint="eastAsia" w:asciiTheme="minorEastAsia" w:hAnsiTheme="minorEastAsia" w:eastAsiaTheme="minorEastAsia" w:cstheme="minorEastAsia"/>
          <w:color w:val="auto"/>
          <w:sz w:val="21"/>
          <w:szCs w:val="21"/>
          <w:highlight w:val="none"/>
        </w:rPr>
        <w:t>的办法执行。</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4.</w:t>
      </w:r>
      <w:r>
        <w:rPr>
          <w:rFonts w:hint="eastAsia" w:asciiTheme="minorEastAsia" w:hAnsiTheme="minorEastAsia" w:eastAsiaTheme="minorEastAsia" w:cstheme="minorEastAsia"/>
          <w:b/>
          <w:bCs/>
          <w:color w:val="auto"/>
          <w:sz w:val="21"/>
          <w:szCs w:val="21"/>
          <w:highlight w:val="none"/>
        </w:rPr>
        <w:t>验收条件</w:t>
      </w:r>
    </w:p>
    <w:p>
      <w:pPr>
        <w:keepNext w:val="0"/>
        <w:keepLines w:val="0"/>
        <w:pageBreakBefore w:val="0"/>
        <w:widowControl/>
        <w:kinsoku/>
        <w:wordWrap/>
        <w:overflowPunct/>
        <w:topLinePunct w:val="0"/>
        <w:autoSpaceDE/>
        <w:autoSpaceDN/>
        <w:bidi w:val="0"/>
        <w:snapToGrid w:val="0"/>
        <w:spacing w:line="240" w:lineRule="auto"/>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合同届满或合同提前终止，中标人按照招标文件中及合同约定的全部管理服务内容提供管理服务，并经采购人验收。</w:t>
      </w:r>
    </w:p>
    <w:p>
      <w:pPr>
        <w:keepNext w:val="0"/>
        <w:keepLines w:val="0"/>
        <w:pageBreakBefore w:val="0"/>
        <w:widowControl/>
        <w:kinsoku/>
        <w:wordWrap/>
        <w:overflowPunct/>
        <w:topLinePunct w:val="0"/>
        <w:autoSpaceDE/>
        <w:autoSpaceDN/>
        <w:bidi w:val="0"/>
        <w:snapToGrid w:val="0"/>
        <w:spacing w:line="240" w:lineRule="auto"/>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非中标人所有的设施、设备和有关物资在合同届满或解除后的5天内及时移交采购人并保证数量齐全且均处于可正常使用状态。相关设施、设备和物资的移交经采购人验收不合格的，中标人应继续整改直至达到采购人验收要求，移交期限不予顺延。</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5</w:t>
      </w:r>
      <w:r>
        <w:rPr>
          <w:rFonts w:hint="eastAsia" w:asciiTheme="minorEastAsia" w:hAnsiTheme="minorEastAsia" w:eastAsiaTheme="minorEastAsia" w:cstheme="minorEastAsia"/>
          <w:b/>
          <w:bCs/>
          <w:color w:val="auto"/>
          <w:sz w:val="21"/>
          <w:szCs w:val="21"/>
          <w:highlight w:val="none"/>
        </w:rPr>
        <w:t>.违约责任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合同实际签订时，中标人履行本项目发生以下情形的，按照下列规定执行。同时，采购人有权调整以下现有违约责任或增加相关违约责任。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同履行期间，因中标人安全生产工作落实不到位，导致服务范围内出现人员伤亡等安全生产事件的，由中标人或责任人承担一切经济损失和法律责任。发生1人以上（含1人）死亡或3人以上（含3人）重伤，并负主要责任的，采购人向区财政主管单位申请同意后有权单方解除合同，而无须向中标人支付任何费用或承担其他的任何责任，由此产生的经济损失和法律责任均全部由中标人承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（2）合同履行期间，中标</w:t>
      </w:r>
      <w:r>
        <w:rPr>
          <w:rFonts w:hint="eastAsia" w:asciiTheme="minorEastAsia" w:hAnsiTheme="minorEastAsia" w:eastAsiaTheme="minorEastAsia" w:cstheme="minorEastAsia"/>
          <w:color w:val="auto"/>
          <w:sz w:val="21"/>
          <w:szCs w:val="21"/>
          <w:highlight w:val="none"/>
          <w:lang w:val="en-US" w:eastAsia="zh-CN"/>
        </w:rPr>
        <w:t>人发生</w:t>
      </w:r>
      <w:r>
        <w:rPr>
          <w:rFonts w:hint="eastAsia" w:asciiTheme="minorEastAsia" w:hAnsiTheme="minorEastAsia" w:eastAsiaTheme="minorEastAsia" w:cstheme="minorEastAsia"/>
          <w:color w:val="auto"/>
          <w:sz w:val="21"/>
          <w:szCs w:val="21"/>
          <w:highlight w:val="none"/>
        </w:rPr>
        <w:t>欠薪、加班费发放不足、未按法律法规足额发放高温补贴、支付经济补偿金、赔偿款等劳资纠纷</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 w:val="21"/>
          <w:szCs w:val="21"/>
          <w:highlight w:val="none"/>
        </w:rPr>
        <w:t>，中标人应按当年管理服务费总额的1%向采购人支付违约金</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劳资纠纷</w:t>
      </w:r>
      <w:r>
        <w:rPr>
          <w:rFonts w:hint="eastAsia" w:asciiTheme="minorEastAsia" w:hAnsiTheme="minorEastAsia" w:eastAsiaTheme="minorEastAsia" w:cstheme="minorEastAsia"/>
          <w:color w:val="auto"/>
          <w:sz w:val="21"/>
          <w:szCs w:val="21"/>
          <w:highlight w:val="none"/>
        </w:rPr>
        <w:t>影响合同正常履行的，采购单位向区财政主管单位申请同意后有权单方解除合同，而无须向中标供应商支付任何费用或承担其他的任何责任，由此产生的经济损失和法律责任均全部由中标供应商承担。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未按实际上岗人数与员工签定用工合同，未到有关部门申办用工手续、员工劳动保险、居住证等手续，未安排员工的住宿和教育管理工作等，在采购人要求期限内仍未整改的，采购单位向区财政主管单位申请同意后有权单方解除合同，而无须向中标供应商支付任何费用或承担其他的任何责任，由此产生的经济损失和法律责任均全部由中标供应商承担。如发生违纪、违法事件，由中标供应商承担一切经济责任和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中标人未按实际上岗人数与员工签定用工合同，未到有关部门申办用工手续、员工劳动保险、居住证等手续，未安排员工的住宿和教育管理工作等，每发生一人次，中标人应按当年管理服务费总额的1%向采购人支付违约金。如发生违纪、违法事件，由中标人承担一切经济责任和法律责任，并按当年管理服务费总额的5%向采购人支付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从事合同约定的管理维护工作的员工的工资待遇（含加班费）、福利、社会保障、商业保险等低于投标文件约定的标准或低于中标人承诺的标准的或低于深圳市最低工资标准的，每发生一人次，中标人应按当年管理服务费总额的1%向采购人支付违约金，并承担一切经济责任和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（6）中标人未为上岗工人购买统一的工作服和反光衣，未安排业务骨干参加业务技术培训学习，未落实安全防火、防风、防灾和安全生产措施的，每发生一次扣款2000元。如发生安全事故, 中标人负责承担一切经济责任和法律责任。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中标供应商必须积极参加各种类型的迎检活动，落实采购单位提出的各种管理质量要求。遇有迎检活动，中标供应商须派出项目主管或项目经理到检查现场落实迎检工作，如中标供应商未能满足采购单位提出的管理质量要求，又未派出项目主管或项目经理到检查现场落实迎检工作的，每发生一次，采购人可从支付给中标供应商管理服务费中扣款5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在接到采购人提出的整改通知后未在期限内处理完毕，或采购人发出应急等突发事项的通知，中标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未在半小时内到达现场；公众、其他单位的投诉未在规定时间内处理完毕；如属于检查、考核或</w:t>
      </w:r>
      <w:r>
        <w:rPr>
          <w:rFonts w:hint="eastAsia" w:asciiTheme="minorEastAsia" w:hAnsiTheme="minorEastAsia" w:eastAsiaTheme="minorEastAsia" w:cstheme="minorEastAsia"/>
          <w:color w:val="auto"/>
          <w:sz w:val="21"/>
          <w:szCs w:val="21"/>
          <w:highlight w:val="none"/>
          <w:lang w:val="en-US" w:eastAsia="zh-CN"/>
        </w:rPr>
        <w:t>现场</w:t>
      </w:r>
      <w:r>
        <w:rPr>
          <w:rFonts w:hint="eastAsia" w:asciiTheme="minorEastAsia" w:hAnsiTheme="minorEastAsia" w:eastAsiaTheme="minorEastAsia" w:cstheme="minorEastAsia"/>
          <w:color w:val="auto"/>
          <w:sz w:val="21"/>
          <w:szCs w:val="21"/>
          <w:highlight w:val="none"/>
        </w:rPr>
        <w:t>监管</w:t>
      </w:r>
      <w:r>
        <w:rPr>
          <w:rFonts w:hint="eastAsia" w:asciiTheme="minorEastAsia" w:hAnsiTheme="minorEastAsia" w:eastAsiaTheme="minorEastAsia" w:cstheme="minorEastAsia"/>
          <w:color w:val="auto"/>
          <w:sz w:val="21"/>
          <w:szCs w:val="21"/>
          <w:highlight w:val="none"/>
          <w:lang w:val="en-US" w:eastAsia="zh-CN"/>
        </w:rPr>
        <w:t>单位</w:t>
      </w:r>
      <w:r>
        <w:rPr>
          <w:rFonts w:hint="eastAsia" w:asciiTheme="minorEastAsia" w:hAnsiTheme="minorEastAsia" w:eastAsiaTheme="minorEastAsia" w:cstheme="minorEastAsia"/>
          <w:color w:val="auto"/>
          <w:sz w:val="21"/>
          <w:szCs w:val="21"/>
          <w:highlight w:val="none"/>
        </w:rPr>
        <w:t>的书面整改通知，未在采购人要求时限内将问题解决；除存在特殊情况取得采购人同意外，上述情形每发生一次，中标供应商应向采购人支付违约金10000元。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不配合采购</w:t>
      </w:r>
      <w:r>
        <w:rPr>
          <w:rFonts w:hint="eastAsia" w:asciiTheme="minorEastAsia" w:hAnsiTheme="minorEastAsia" w:eastAsiaTheme="minorEastAsia" w:cstheme="minorEastAsia"/>
          <w:color w:val="auto"/>
          <w:sz w:val="21"/>
          <w:szCs w:val="21"/>
          <w:highlight w:val="none"/>
          <w:lang w:val="en-US" w:eastAsia="zh-CN"/>
        </w:rPr>
        <w:t>人（含现场监管单位）</w:t>
      </w:r>
      <w:r>
        <w:rPr>
          <w:rFonts w:hint="eastAsia" w:asciiTheme="minorEastAsia" w:hAnsiTheme="minorEastAsia" w:eastAsiaTheme="minorEastAsia" w:cstheme="minorEastAsia"/>
          <w:color w:val="auto"/>
          <w:sz w:val="21"/>
          <w:szCs w:val="21"/>
          <w:highlight w:val="none"/>
        </w:rPr>
        <w:t>工作安排或不服从采购</w:t>
      </w:r>
      <w:r>
        <w:rPr>
          <w:rFonts w:hint="eastAsia" w:asciiTheme="minorEastAsia" w:hAnsiTheme="minorEastAsia" w:eastAsiaTheme="minorEastAsia" w:cstheme="minorEastAsia"/>
          <w:color w:val="auto"/>
          <w:sz w:val="21"/>
          <w:szCs w:val="21"/>
          <w:highlight w:val="none"/>
          <w:lang w:val="en-US" w:eastAsia="zh-CN"/>
        </w:rPr>
        <w:t>人（含现场监管单位）</w:t>
      </w:r>
      <w:r>
        <w:rPr>
          <w:rFonts w:hint="eastAsia" w:asciiTheme="minorEastAsia" w:hAnsiTheme="minorEastAsia" w:eastAsiaTheme="minorEastAsia" w:cstheme="minorEastAsia"/>
          <w:color w:val="auto"/>
          <w:sz w:val="21"/>
          <w:szCs w:val="21"/>
          <w:highlight w:val="none"/>
        </w:rPr>
        <w:t>指挥或不落实采购</w:t>
      </w:r>
      <w:r>
        <w:rPr>
          <w:rFonts w:hint="eastAsia" w:asciiTheme="minorEastAsia" w:hAnsiTheme="minorEastAsia" w:eastAsiaTheme="minorEastAsia" w:cstheme="minorEastAsia"/>
          <w:color w:val="auto"/>
          <w:sz w:val="21"/>
          <w:szCs w:val="21"/>
          <w:highlight w:val="none"/>
          <w:lang w:val="en-US" w:eastAsia="zh-CN"/>
        </w:rPr>
        <w:t>人（含现场监管单位）</w:t>
      </w:r>
      <w:r>
        <w:rPr>
          <w:rFonts w:hint="eastAsia" w:asciiTheme="minorEastAsia" w:hAnsiTheme="minorEastAsia" w:eastAsiaTheme="minorEastAsia" w:cstheme="minorEastAsia"/>
          <w:color w:val="auto"/>
          <w:sz w:val="21"/>
          <w:szCs w:val="21"/>
          <w:highlight w:val="none"/>
        </w:rPr>
        <w:t>整改要求，每发生一次，中标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应向采购人支付违约金10000元。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（10）中标人未按合同约定编制组织实施方案或者虽编制了组织实施方案，但没有按组织实施方案规范操作执行的，中标人应向采购人支付违约金5万元。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）中标人应严格按照招标文件要求足额配置人员，人员配置不足的，包括但不限于现场主管、技术人员、养护人员（绿化工人、清洁工人）、水电工、资料员等，</w:t>
      </w:r>
      <w:r>
        <w:rPr>
          <w:rFonts w:hint="eastAsia" w:asciiTheme="minorEastAsia" w:hAnsiTheme="minorEastAsia" w:eastAsiaTheme="minorEastAsia" w:cstheme="minorEastAsia"/>
          <w:color w:val="auto"/>
          <w:sz w:val="21"/>
          <w:szCs w:val="21"/>
          <w:highlight w:val="none"/>
          <w:lang w:val="en-US" w:eastAsia="zh-CN"/>
        </w:rPr>
        <w:t>采购人有权要求中标人按</w:t>
      </w:r>
      <w:r>
        <w:rPr>
          <w:rFonts w:hint="eastAsia" w:asciiTheme="minorEastAsia" w:hAnsiTheme="minorEastAsia" w:eastAsiaTheme="minorEastAsia" w:cstheme="minorEastAsia"/>
          <w:color w:val="auto"/>
          <w:sz w:val="21"/>
          <w:szCs w:val="21"/>
          <w:highlight w:val="none"/>
        </w:rPr>
        <w:t>每缺一人每天1000元的标准向采购人支付违约金，直至达到配置要求为止。采购人可从支付给中标人管理服务费中直接扣除前述违约金。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）中标人未按规定的作业时间进行清扫保洁作业的，采购人可从支付给中标人管理服务费中进行扣款，具体标准为：每发生一次扣款2000元。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中标人未按照招标文件要求配备足够的自卸垃圾车、水车、货车、管理用车、高空作业车、防撞缓冲车、抢险应急设备、园林机械和森防物资等设备设施的，应按每缺一台每天1000元的标准向采购人支付违约金，直至达到配置要求为止。采购单位可从支付给中标供应商管理服务费中直接扣除前述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）乙方未在</w:t>
      </w:r>
      <w:r>
        <w:rPr>
          <w:rFonts w:hint="eastAsia" w:asciiTheme="minorEastAsia" w:hAnsiTheme="minorEastAsia" w:eastAsiaTheme="minorEastAsia" w:cstheme="minorEastAsia"/>
          <w:color w:val="auto"/>
          <w:sz w:val="21"/>
          <w:szCs w:val="21"/>
          <w:highlight w:val="none"/>
          <w:lang w:eastAsia="zh-CN"/>
        </w:rPr>
        <w:t>本地</w:t>
      </w:r>
      <w:r>
        <w:rPr>
          <w:rFonts w:hint="eastAsia" w:asciiTheme="minorEastAsia" w:hAnsiTheme="minorEastAsia" w:eastAsiaTheme="minorEastAsia" w:cstheme="minorEastAsia"/>
          <w:color w:val="auto"/>
          <w:sz w:val="21"/>
          <w:szCs w:val="21"/>
          <w:highlight w:val="none"/>
        </w:rPr>
        <w:t>配备足够的生产、生活基地，固定办公地点和车辆停放点的，或项目负责人未驻点项目办公的，乙方应按甲方要求限期内整改，并按当年管理服务费总额的1%向甲方支付违约金。如乙方未按甲方要求在限期内完成整改的，乙方应按当年管理服务费总额的5%向甲方支付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中标人因机械、工具或技术、劳动力等跟不上管理养护需要造成管理养护质量不合格的（即季度总罚款数额超过管理服务费总额1%的），第一季度采购人要求中标人限期整改，并按规定扣除罚金；第二季度仍不合格的，采购人向区</w:t>
      </w: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主管</w:t>
      </w:r>
      <w:r>
        <w:rPr>
          <w:rFonts w:hint="eastAsia" w:asciiTheme="minorEastAsia" w:hAnsiTheme="minorEastAsia" w:eastAsiaTheme="minorEastAsia" w:cstheme="minorEastAsia"/>
          <w:color w:val="auto"/>
          <w:sz w:val="21"/>
          <w:szCs w:val="21"/>
          <w:highlight w:val="none"/>
          <w:lang w:eastAsia="zh-CN"/>
        </w:rPr>
        <w:t>部门</w:t>
      </w:r>
      <w:r>
        <w:rPr>
          <w:rFonts w:hint="eastAsia" w:asciiTheme="minorEastAsia" w:hAnsiTheme="minorEastAsia" w:eastAsiaTheme="minorEastAsia" w:cstheme="minorEastAsia"/>
          <w:color w:val="auto"/>
          <w:sz w:val="21"/>
          <w:szCs w:val="21"/>
          <w:highlight w:val="none"/>
        </w:rPr>
        <w:t>申请同意后有权单方解除合同，由此造成的损失由中标人承担，中标人向采购人支付当年管理服务费总额5%的违约金。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进行栏杆油漆、日常消杀、白蚁防治、绿化灭虫害等工作时，未先做出书面计划及相应的防护措施；四害防治及白蚁消杀由不具备专业上岗证书的工作人员操作；或者在开展上述各项工作时使用国家及省市相关部门明令禁止使用的有毒有害药物，未做好防护措施；上述情形每发生一次扣款2000元。若发生安全事故或者环境污染事故，中标供应商承担一切经济及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）中标供应商未按照国家标准对管理范围内的薇甘菊、红火蚁等有害生物进行防治的；</w:t>
      </w:r>
      <w:r>
        <w:rPr>
          <w:rFonts w:hint="eastAsia" w:asciiTheme="minorEastAsia" w:hAnsiTheme="minorEastAsia" w:eastAsiaTheme="minorEastAsia" w:cstheme="minorEastAsia"/>
          <w:color w:val="auto"/>
          <w:sz w:val="21"/>
          <w:szCs w:val="21"/>
          <w:highlight w:val="none"/>
          <w:lang w:val="en-US" w:eastAsia="zh-CN"/>
        </w:rPr>
        <w:t>未按照要求对管理范围内的白蚁、四害等进行消杀的；</w:t>
      </w:r>
      <w:r>
        <w:rPr>
          <w:rFonts w:hint="eastAsia" w:asciiTheme="minorEastAsia" w:hAnsiTheme="minorEastAsia" w:eastAsiaTheme="minorEastAsia" w:cstheme="minorEastAsia"/>
          <w:color w:val="auto"/>
          <w:sz w:val="21"/>
          <w:szCs w:val="21"/>
          <w:highlight w:val="none"/>
        </w:rPr>
        <w:t>在水源保护区使用药物防治的；在市级相关考核中，有害生物防治</w:t>
      </w:r>
      <w:r>
        <w:rPr>
          <w:rFonts w:hint="eastAsia" w:asciiTheme="minorEastAsia" w:hAnsiTheme="minorEastAsia" w:eastAsiaTheme="minorEastAsia" w:cstheme="minorEastAsia"/>
          <w:color w:val="auto"/>
          <w:sz w:val="21"/>
          <w:szCs w:val="21"/>
          <w:highlight w:val="none"/>
          <w:lang w:val="en-US" w:eastAsia="zh-CN"/>
        </w:rPr>
        <w:t>和四害消杀等</w:t>
      </w:r>
      <w:r>
        <w:rPr>
          <w:rFonts w:hint="eastAsia" w:asciiTheme="minorEastAsia" w:hAnsiTheme="minorEastAsia" w:eastAsiaTheme="minorEastAsia" w:cstheme="minorEastAsia"/>
          <w:color w:val="auto"/>
          <w:sz w:val="21"/>
          <w:szCs w:val="21"/>
          <w:highlight w:val="none"/>
        </w:rPr>
        <w:t>所扣分数发生在管理范围内的；上述情形每发生一次扣款5000元。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在台风季节、暴雨等特殊情况下，未设立明显警示标志，禁止行人进入危险区段；未做好管理地点的设施设备安全保护工作；未成立应急队伍；不服从采购单位和政府三防指挥机构的统一指挥和调度，参加管理范围内的抢险救灾工作等；台风、暴雨过后，未立即组织人员做好清扫保洁工作或48小时以内未清扫完毕的；上述情形每发生一次扣款5000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19</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未按合同约定</w:t>
      </w:r>
      <w:r>
        <w:rPr>
          <w:rFonts w:hint="eastAsia" w:asciiTheme="minorEastAsia" w:hAnsiTheme="minorEastAsia" w:eastAsiaTheme="minorEastAsia" w:cstheme="minorEastAsia"/>
          <w:color w:val="auto"/>
          <w:sz w:val="21"/>
          <w:szCs w:val="21"/>
          <w:highlight w:val="none"/>
          <w:lang w:val="en-US" w:eastAsia="zh-CN"/>
        </w:rPr>
        <w:t>足额购买相应保险</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lang w:val="en-US" w:eastAsia="zh-CN"/>
        </w:rPr>
        <w:t>每缺1项保险，</w:t>
      </w:r>
      <w:r>
        <w:rPr>
          <w:rFonts w:hint="eastAsia" w:asciiTheme="minorEastAsia" w:hAnsiTheme="minorEastAsia" w:eastAsiaTheme="minorEastAsia" w:cstheme="minorEastAsia"/>
          <w:color w:val="auto"/>
          <w:sz w:val="21"/>
          <w:szCs w:val="21"/>
          <w:highlight w:val="none"/>
        </w:rPr>
        <w:t>中标供应商应向采购人支付违约金50000元，并重新购买达到合同约定的标准。如发生意外事故时，中标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不配合用户办理索赔手续，跟进事件的处理，或者遇重大事故及意外伤亡、中标供应商未第一时间通知采购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甚至隐瞒的，中标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应向采购人支付违约金100000元，并且意外事故产生的经济责任和法律责任均由中标供应商承担。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未在项目部设置专门的电子邮箱和24小时值班电话受理公众和其他单位的咨询、投诉、意见反馈，中标供应商应向采购人支付违约金5000元。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有权根据市级的通报、督办情况及媒体监督的情况对中标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进行</w:t>
      </w:r>
      <w:r>
        <w:rPr>
          <w:rFonts w:hint="eastAsia" w:asciiTheme="minorEastAsia" w:hAnsiTheme="minorEastAsia" w:eastAsiaTheme="minorEastAsia" w:cstheme="minorEastAsia"/>
          <w:color w:val="auto"/>
          <w:sz w:val="21"/>
          <w:szCs w:val="21"/>
          <w:highlight w:val="none"/>
          <w:lang w:val="en-US" w:eastAsia="zh-CN"/>
        </w:rPr>
        <w:t>扣罚</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服务区域受到市、区领导和市城管局点名批评、通报、督办或受到报纸、电视等媒体监督曝光的，经采购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查证属实，每次扣款人民币1万元，并以此类推。造成恶劣影响的，采购人可以经区财政主管部门同意后解除合同而无须承担任何责任与费用。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）合同期届满未续约或提前终止，中标人不按时移交，按每日2万元的标准向采购人支付违约金。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因各种原因造成歇工事件时，采购人可临时指定其他管理单位对本项目歇工区域进行管理，付给其他管理单位的服务费用由原本支付给中标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的管理服务费中直接支付。</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中标人违反法律、法规、规章或其他相关规范性文件的规定，影响合同履行的，采购人向区财政主管单位申请同意后有权单方解除合同，而无须向中标人支付任何费用或承担其他的任何责任，由此产生的经济损失和法律责任均全部由中标人承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）中标人中标后，在管养期间私自破坏、非法占用绿地、擅自迁移树木或容许他人破坏、非法占用绿地或迁移树木的，每发现一次扣款人民币2万元。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中标人中标后，在管养期间管辖范围内存在绿地占用或树木砍伐、或迁移等情况的，应主动报告并提出费用核减申请。未及时报告占用绿地或砍伐、迁移树木情况的，采购人在补扣相应费用的基础上，发现一次扣款人民币5000元；被市民投诉一次扣款人民币10000元；被媒体曝光或被上级部门检查发现，每次扣款人民币20000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）中标人中标后，</w:t>
      </w:r>
      <w:r>
        <w:rPr>
          <w:rFonts w:hint="eastAsia" w:asciiTheme="minorEastAsia" w:hAnsiTheme="minorEastAsia" w:eastAsiaTheme="minorEastAsia" w:cstheme="minorEastAsia"/>
          <w:color w:val="auto"/>
          <w:sz w:val="21"/>
          <w:szCs w:val="21"/>
          <w:highlight w:val="none"/>
          <w:lang w:val="en-US" w:eastAsia="zh-CN"/>
        </w:rPr>
        <w:t>如未将投标时承诺提供的</w:t>
      </w:r>
      <w:r>
        <w:rPr>
          <w:rFonts w:hint="eastAsia" w:asciiTheme="minorEastAsia" w:hAnsiTheme="minorEastAsia" w:eastAsiaTheme="minorEastAsia" w:cstheme="minorEastAsia"/>
          <w:color w:val="auto"/>
          <w:sz w:val="21"/>
          <w:szCs w:val="21"/>
          <w:highlight w:val="none"/>
        </w:rPr>
        <w:t>相关自主知识产权产品（创新、设计）投入到本项目中使用</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 w:val="21"/>
          <w:szCs w:val="21"/>
          <w:highlight w:val="none"/>
        </w:rPr>
        <w:t>经采购人查证属实，每次扣款当年管理服务费总额的</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w:t>
      </w:r>
    </w:p>
    <w:p>
      <w:pPr>
        <w:keepNext w:val="0"/>
        <w:keepLines w:val="0"/>
        <w:pageBreakBefore w:val="0"/>
        <w:kinsoku/>
        <w:wordWrap/>
        <w:overflowPunct/>
        <w:topLinePunct w:val="0"/>
        <w:autoSpaceDE/>
        <w:autoSpaceDN/>
        <w:bidi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转包或擅自分包的，中标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应承担因此而给采购人造成的全部损失（含直接损失和间接损失）并向采购人支付违约金200000元，同时采购人可以经区财政主管部门同意后解除合同而无须承担任何责任与费用。</w:t>
      </w:r>
    </w:p>
    <w:p>
      <w:pPr>
        <w:keepNext w:val="0"/>
        <w:keepLines w:val="0"/>
        <w:pageBreakBefore w:val="0"/>
        <w:kinsoku/>
        <w:wordWrap/>
        <w:overflowPunct/>
        <w:topLinePunct w:val="0"/>
        <w:autoSpaceDE/>
        <w:autoSpaceDN/>
        <w:bidi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29</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因政策影响或企业自身原因要求终止合同，未提前3个月提出申请的，采购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不同意终止合同，由此产生的一切法律和经济责任由中标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自行承担。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违反法律、法规、规章或其他相关规范性文件的规定，影响合同履行的，采购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向区财政主管单位申请同意后有权单方解除合同，而无须向中标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支付任何费用或承担其他的任何责任，由此产生的经济损失和法律责任均全部由中标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承担。</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对发现安全问题不整改的，中标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应承担如下违约责任：</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对采购人发现的一般安全隐患，中标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 xml:space="preserve">应在收到采购人安全隐患督办通知书之日起按安全隐患督办通知书中规定的期限和要求进行整改，逾期未完成整改的，应向采购人支付违约金20000元；对同一问题经采购人通知三次或三次以上仍未完成整改的，采购人有权停止支付服务费或者经区财政主管部门同意后解除合同而无须承担任何责任与费用。    </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对采购人发现的重大安全隐患，中标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应在收到采购人出具的安全隐患督办通知书之日起按通知书规定的期限和要求进行整改，逾期未完成整改的，中标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应向采购人支付违约金50000元，同时采购人有权停止支付服务费或者经区财政主管部门同意后解除合同而无须承担任何责任与费用。</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未及时发现安全隐患或未及时处理安全隐患或整改不到位，导致发生安全事件（故）的，每次向采购人支付违约金10000元，并由中标人承担一切经济责任和法律责任。</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如在合同期间发生生产安全事故（等级为一般事故或以上）或环境污染事故，采购人有权单方终止合同，而无须向乙方支付任何费用或承担其他的任何责任，由此造成的经济损失和法律责任由中标供应商承担。</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在本项目管养维护承包期间，中标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存在廉政问题且对本项目造成影响的，一经查实，采购人经区财政主管部门同意后可解除合同而无须承担任何责任与费用。</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在履行本合同过程中给采购人造成损失的，中标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须承担赔偿责任。</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36</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若中标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在履行本合同的过程中，被交委、交警、消防、市场监督等行政部门处罚的，一概由中标供应商负责处理，并承担相应的经济责任和法律责任。</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37</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违反本合同保密约定的，除了承担因此而给采购人造成的全部损失外，还应向采购人支付违约金50000元。采购人可经区财政主管部门同意后解除合同而无须承担任何责任与费用。</w:t>
      </w:r>
    </w:p>
    <w:p>
      <w:pPr>
        <w:keepNext w:val="0"/>
        <w:keepLines w:val="0"/>
        <w:pageBreakBefore w:val="0"/>
        <w:widowControl w:val="0"/>
        <w:kinsoku/>
        <w:wordWrap/>
        <w:overflowPunct/>
        <w:topLinePunct w:val="0"/>
        <w:autoSpaceDE/>
        <w:autoSpaceDN/>
        <w:bidi w:val="0"/>
        <w:adjustRightInd/>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本合同所涉的中标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向采购人支付的违约金、赔偿款均累计计算，违约金和赔偿款均可从中标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任一期服务费中直接予以扣除，不足以扣除全部违约金和赔偿款的，中标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应于采购人通知之日起10日内补足，并承担因此给采购人造成的全部损失。</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（四）关于分包</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根据招标文件的规定和本项目的实际情况，拟在中标后将本项目的非主体、非关键性工作分包的，应当在投标文件中载明分包承担主体，分包承担主体应当具备相应资质条件且不得再次分包。若合同实施过程中，采购人发现中标人将中标项目转让给他人、或者在投标文件中未说明且未经采购人同意，将中标项目分包给他人的，采购人报由主管部门记入供应商诚信档案，予以通报。</w:t>
      </w:r>
    </w:p>
    <w:p>
      <w:pPr>
        <w:pStyle w:val="70"/>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outlineLvl w:val="0"/>
        <w:rPr>
          <w:rFonts w:hint="eastAsia" w:asciiTheme="minorEastAsia" w:hAnsiTheme="minorEastAsia" w:eastAsiaTheme="minorEastAsia" w:cstheme="minorEastAsia"/>
          <w:b/>
          <w:color w:val="000000" w:themeColor="text1"/>
          <w:kern w:val="0"/>
          <w:sz w:val="21"/>
          <w:szCs w:val="21"/>
          <w:lang w:val="en-US" w:eastAsia="zh-CN"/>
          <w14:textFill>
            <w14:solidFill>
              <w14:schemeClr w14:val="tx1"/>
            </w14:solidFill>
          </w14:textFill>
        </w:rPr>
      </w:pPr>
    </w:p>
    <w:p>
      <w:pPr>
        <w:pStyle w:val="7"/>
        <w:spacing w:before="120" w:beforeLines="50" w:after="120" w:afterLines="50"/>
        <w:rPr>
          <w:rFonts w:hint="eastAsia" w:ascii="宋体" w:hAnsi="宋体" w:eastAsia="宋体" w:cs="Times New Roman"/>
          <w:szCs w:val="24"/>
          <w:lang w:val="en-US" w:eastAsia="zh-CN"/>
        </w:rPr>
      </w:pPr>
      <w:r>
        <w:rPr>
          <w:rFonts w:hint="eastAsia" w:ascii="宋体" w:hAnsi="宋体" w:eastAsia="宋体" w:cs="Times New Roman"/>
          <w:szCs w:val="24"/>
          <w:lang w:val="en-US" w:eastAsia="zh-CN"/>
        </w:rPr>
        <w:t xml:space="preserve">九、投标报价 </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项目采用业务包干、经费在总价控制下固定综合单价包干方式。按项目价格（即实际中标价格）进行考核后依据“按质付费”原则支付费用，中标人按采购人的管理要求和标准组织管养维护服务工作，并接受采购人的指导、监督、考核和检查验收。</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2、投标人应根据本企业的成本自行决定报价，但不得以低于其企业成本的报价投标。</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3、投标人的投标报价不得超过财政预算限额。</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4、投标人的投标报价，应是本项目招标范围和招标文件及合同条款上所列的各项内容中所述的全部，不得以任何理由予以重复，并以投标人在投标文件中提出的综合单价或总价为依据。</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除非政府集中采购机构通过修改招标文件予以更正，否则，投标人应毫无例外地按招标文件所列的清单中项目和数量填报综合单价和合价。投标人未填综合单价或合价的项目，在实施后，将不得以支付，并视作该项费用已包括在其它有价款的综合单价或合价内。</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6、投标人应先到项目地点踏勘以充分了解项目的位置、情况、道路及任何其它足以影响投标报价的情况，任何因忽视或误解项目情况而导致的索赔或服务期限延长申请将不获批准。</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pageBreakBefore w:val="0"/>
        <w:kinsoku/>
        <w:wordWrap/>
        <w:overflowPunct/>
        <w:topLinePunct w:val="0"/>
        <w:autoSpaceDE/>
        <w:autoSpaceDN/>
        <w:bidi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8、本项目需报养护单价且中标单价中包含以下16个部分的内容：</w:t>
      </w:r>
    </w:p>
    <w:tbl>
      <w:tblPr>
        <w:tblStyle w:val="42"/>
        <w:tblW w:w="83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gridCol w:w="813"/>
        <w:gridCol w:w="711"/>
        <w:gridCol w:w="228"/>
        <w:gridCol w:w="890"/>
        <w:gridCol w:w="5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43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序号</w:t>
            </w:r>
          </w:p>
        </w:tc>
        <w:tc>
          <w:tcPr>
            <w:tcW w:w="81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项目</w:t>
            </w: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子项目</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435"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813"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人工费</w:t>
            </w: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项目负责人</w:t>
            </w:r>
          </w:p>
        </w:tc>
        <w:tc>
          <w:tcPr>
            <w:tcW w:w="5304"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人员工资（符合特区最低工资标准）、奖金、房补、节假日加班费（节假日加班费）、劳保福利、社保、医疗险、工伤险等，教育培训费，暂住费及处理一切伤亡事故等的费用。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现场主管</w:t>
            </w:r>
          </w:p>
        </w:tc>
        <w:tc>
          <w:tcPr>
            <w:tcW w:w="5304"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园林绿化技术人员</w:t>
            </w:r>
          </w:p>
        </w:tc>
        <w:tc>
          <w:tcPr>
            <w:tcW w:w="5304"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资料员</w:t>
            </w:r>
          </w:p>
        </w:tc>
        <w:tc>
          <w:tcPr>
            <w:tcW w:w="5304"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水电工</w:t>
            </w:r>
          </w:p>
        </w:tc>
        <w:tc>
          <w:tcPr>
            <w:tcW w:w="5304"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设施维修技术人员</w:t>
            </w:r>
          </w:p>
        </w:tc>
        <w:tc>
          <w:tcPr>
            <w:tcW w:w="5304"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安全管理员</w:t>
            </w:r>
          </w:p>
        </w:tc>
        <w:tc>
          <w:tcPr>
            <w:tcW w:w="5304"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管养人员（绿化+保洁）</w:t>
            </w:r>
          </w:p>
        </w:tc>
        <w:tc>
          <w:tcPr>
            <w:tcW w:w="5304"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安保人员</w:t>
            </w:r>
          </w:p>
        </w:tc>
        <w:tc>
          <w:tcPr>
            <w:tcW w:w="5304"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5" w:type="dxa"/>
            <w:vMerge w:val="continue"/>
            <w:tcBorders>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eastAsia="zh-CN"/>
              </w:rPr>
              <w:t>救生员</w:t>
            </w:r>
          </w:p>
        </w:tc>
        <w:tc>
          <w:tcPr>
            <w:tcW w:w="5304" w:type="dxa"/>
            <w:vMerge w:val="continue"/>
            <w:tcBorders>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813"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机械材料费</w:t>
            </w:r>
          </w:p>
        </w:tc>
        <w:tc>
          <w:tcPr>
            <w:tcW w:w="71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机械设备费</w:t>
            </w:r>
          </w:p>
        </w:tc>
        <w:tc>
          <w:tcPr>
            <w:tcW w:w="111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自卸垃圾车（4.5吨以上）</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水车（3吨以上）</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管理用车</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货车</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巡逻车</w:t>
            </w:r>
          </w:p>
        </w:tc>
        <w:tc>
          <w:tcPr>
            <w:tcW w:w="5304" w:type="dxa"/>
            <w:tcBorders>
              <w:top w:val="single" w:color="auto" w:sz="4" w:space="0"/>
              <w:left w:val="single" w:color="auto" w:sz="4" w:space="0"/>
              <w:bottom w:val="nil"/>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自卸垃圾车（4.5吨以上）</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水车（3吨以上）</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管理用车</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货车</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巡逻车</w:t>
            </w:r>
            <w:r>
              <w:rPr>
                <w:rFonts w:hint="eastAsia" w:asciiTheme="minorEastAsia" w:hAnsiTheme="minorEastAsia" w:eastAsiaTheme="minorEastAsia" w:cstheme="minorEastAsia"/>
                <w:color w:val="auto"/>
                <w:sz w:val="21"/>
                <w:szCs w:val="21"/>
                <w:highlight w:val="none"/>
              </w:rPr>
              <w:t>运行所需的</w:t>
            </w:r>
            <w:r>
              <w:rPr>
                <w:rFonts w:hint="eastAsia" w:asciiTheme="minorEastAsia" w:hAnsiTheme="minorEastAsia" w:eastAsiaTheme="minorEastAsia" w:cstheme="minorEastAsia"/>
                <w:color w:val="auto"/>
                <w:sz w:val="21"/>
                <w:szCs w:val="21"/>
                <w:highlight w:val="none"/>
                <w:lang w:val="en-US" w:eastAsia="zh-CN"/>
              </w:rPr>
              <w:t>能耗费</w:t>
            </w:r>
            <w:r>
              <w:rPr>
                <w:rFonts w:hint="eastAsia" w:asciiTheme="minorEastAsia" w:hAnsiTheme="minorEastAsia" w:eastAsiaTheme="minorEastAsia" w:cstheme="minorEastAsia"/>
                <w:color w:val="auto"/>
                <w:sz w:val="21"/>
                <w:szCs w:val="21"/>
                <w:highlight w:val="none"/>
              </w:rPr>
              <w:t>、保险、养路、修理等费用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111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高空作业车</w:t>
            </w:r>
            <w:r>
              <w:rPr>
                <w:rFonts w:hint="eastAsia" w:asciiTheme="minorEastAsia" w:hAnsiTheme="minorEastAsia" w:eastAsiaTheme="minorEastAsia" w:cstheme="minorEastAsia"/>
                <w:color w:val="auto"/>
                <w:sz w:val="21"/>
                <w:szCs w:val="21"/>
                <w:highlight w:val="none"/>
              </w:rPr>
              <w:t>、防撞车</w:t>
            </w:r>
          </w:p>
        </w:tc>
        <w:tc>
          <w:tcPr>
            <w:tcW w:w="5304" w:type="dxa"/>
            <w:tcBorders>
              <w:top w:val="single" w:color="auto" w:sz="4" w:space="0"/>
              <w:left w:val="single" w:color="auto" w:sz="4" w:space="0"/>
              <w:bottom w:val="nil"/>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高空作业车</w:t>
            </w:r>
            <w:r>
              <w:rPr>
                <w:rFonts w:hint="eastAsia" w:asciiTheme="minorEastAsia" w:hAnsiTheme="minorEastAsia" w:eastAsiaTheme="minorEastAsia" w:cstheme="minorEastAsia"/>
                <w:color w:val="auto"/>
                <w:sz w:val="21"/>
                <w:szCs w:val="21"/>
                <w:highlight w:val="none"/>
              </w:rPr>
              <w:t>、防撞车运行所需的油</w:t>
            </w:r>
            <w:r>
              <w:rPr>
                <w:rFonts w:hint="eastAsia" w:asciiTheme="minorEastAsia" w:hAnsiTheme="minorEastAsia" w:eastAsiaTheme="minorEastAsia" w:cstheme="minorEastAsia"/>
                <w:color w:val="auto"/>
                <w:sz w:val="21"/>
                <w:szCs w:val="21"/>
                <w:highlight w:val="none"/>
                <w:lang w:val="en-US" w:eastAsia="zh-CN"/>
              </w:rPr>
              <w:t>耗</w:t>
            </w:r>
            <w:r>
              <w:rPr>
                <w:rFonts w:hint="eastAsia" w:asciiTheme="minorEastAsia" w:hAnsiTheme="minorEastAsia" w:eastAsiaTheme="minorEastAsia" w:cstheme="minorEastAsia"/>
                <w:color w:val="auto"/>
                <w:sz w:val="21"/>
                <w:szCs w:val="21"/>
                <w:highlight w:val="none"/>
              </w:rPr>
              <w:t>、保险、养路、修理等费用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111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执法记录仪</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sz w:val="21"/>
                <w:szCs w:val="21"/>
                <w:highlight w:val="none"/>
              </w:rPr>
              <w:t>园林机械</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作业工具</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GPS</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使用剪草机（车）、割灌机、疏草机、打孔机、绿篱剪、油锯等所需的油</w:t>
            </w:r>
            <w:r>
              <w:rPr>
                <w:rFonts w:hint="eastAsia" w:asciiTheme="minorEastAsia" w:hAnsiTheme="minorEastAsia" w:eastAsiaTheme="minorEastAsia" w:cstheme="minorEastAsia"/>
                <w:color w:val="auto"/>
                <w:sz w:val="21"/>
                <w:szCs w:val="21"/>
                <w:highlight w:val="none"/>
                <w:lang w:val="en-US" w:eastAsia="zh-CN"/>
              </w:rPr>
              <w:t>耗</w:t>
            </w:r>
            <w:r>
              <w:rPr>
                <w:rFonts w:hint="eastAsia" w:asciiTheme="minorEastAsia" w:hAnsiTheme="minorEastAsia" w:eastAsiaTheme="minorEastAsia" w:cstheme="minorEastAsia"/>
                <w:color w:val="auto"/>
                <w:sz w:val="21"/>
                <w:szCs w:val="21"/>
                <w:highlight w:val="none"/>
              </w:rPr>
              <w:t>、修理等费用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苗木费</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用于零星裸露及人为破坏苗木补植。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肥料费</w:t>
            </w:r>
          </w:p>
        </w:tc>
        <w:tc>
          <w:tcPr>
            <w:tcW w:w="5304" w:type="dxa"/>
            <w:tcBorders>
              <w:top w:val="single" w:color="auto" w:sz="4" w:space="0"/>
              <w:left w:val="single" w:color="auto" w:sz="4" w:space="0"/>
              <w:bottom w:val="nil"/>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植物养护必须的各类肥料，包括不限于有机肥、复合肥、氮磷钾肥等。肥料、药剂必须符合国家规定，“三证齐全”</w:t>
            </w:r>
            <w:r>
              <w:rPr>
                <w:rFonts w:hint="eastAsia" w:asciiTheme="minorEastAsia" w:hAnsiTheme="minorEastAsia" w:eastAsiaTheme="minorEastAsia" w:cstheme="minorEastAsia"/>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水、电费</w:t>
            </w:r>
          </w:p>
        </w:tc>
        <w:tc>
          <w:tcPr>
            <w:tcW w:w="5304" w:type="dxa"/>
            <w:tcBorders>
              <w:top w:val="single" w:color="auto" w:sz="4" w:space="0"/>
              <w:left w:val="single" w:color="auto" w:sz="4" w:space="0"/>
              <w:bottom w:val="nil"/>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绿地所有用水、电（含人工浇灌、自动喷灌、水车浇灌、抽水浇灌、灯光、喷泉、公厕）的费用。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农药及消杀、清洁费</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防治病虫害、除四害的农药费用(要求选用无公害药物)和清洁、消杀费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工具费</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包括锄头、铲、钎、草剪、枝剪、高枝剪、扫把、竹耙、手锯、油锯片、砍刀等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93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其他材料费</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护树设施</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包括护树桩、护树板、护树带、铁丝、护树竹等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9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供水设施</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活动喷头（架）及水龙头、自动喷头、电磁阀、快速取水器、水管及管件、水表等的维修更换费用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93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其它</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灯具、垃圾筒、园凳及其它园林设施、小品、雕塑的维修翻新、更换费用，以及购买清洁用品、胶水管、垃圾袋、绳、竹篱笆等材料费用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813"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安全文明施工措施费</w:t>
            </w: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安全文明生产装备费</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包括工人工作服装（冬夏装各2套）、反光衣、安全筒、警示牌、绿化作业车辆的警示指向灯等。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垃圾外运费及处理费</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垃圾运往垃圾填埋场所需缴纳的费用。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消防安全</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应急消防安全的费用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自然灾害防损费</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防台风、防汛、防寒、应急意外抢险费用，以及受灾损失的恢复费、意外灾害保险费（财产险）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vMerge w:val="continue"/>
            <w:tcBorders>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813" w:type="dxa"/>
            <w:vMerge w:val="continue"/>
            <w:tcBorders>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人为破坏防损费</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包括人为破坏、盗窃及交通事故破坏等造成的绿地损坏恢复费用及护栏、防撞柱、电碰网等的制作安装费用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813"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管理费</w:t>
            </w: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其它业务和管理费</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包括办公、宣传、管理等费用</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每月至少1次对公园水体水质进行检测的费用。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813"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利润</w:t>
            </w: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利润</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企业合法利润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43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813"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税金</w:t>
            </w:r>
          </w:p>
        </w:tc>
        <w:tc>
          <w:tcPr>
            <w:tcW w:w="182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税金</w:t>
            </w:r>
          </w:p>
        </w:tc>
        <w:tc>
          <w:tcPr>
            <w:tcW w:w="53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企业依法应向税务部门缴纳的费用</w:t>
            </w: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rPr>
        <w:t>9、本项目各项服务内容指导单价如下，各级别绿地分项报价需以此为上限价。</w:t>
      </w:r>
    </w:p>
    <w:tbl>
      <w:tblPr>
        <w:tblStyle w:val="42"/>
        <w:tblW w:w="88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0"/>
        <w:gridCol w:w="1123"/>
        <w:gridCol w:w="2223"/>
        <w:gridCol w:w="1584"/>
        <w:gridCol w:w="2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33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项目名称</w:t>
            </w:r>
          </w:p>
        </w:tc>
        <w:tc>
          <w:tcPr>
            <w:tcW w:w="158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26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采购上限单价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33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5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2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沙头角、海山片区</w:t>
            </w:r>
          </w:p>
        </w:tc>
        <w:tc>
          <w:tcPr>
            <w:tcW w:w="1123" w:type="dxa"/>
            <w:vMerge w:val="restart"/>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道路绿地</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特级绿地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29.37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一级绿地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20.05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二级绿地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三级绿地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相邻林地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116.55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一级行道树</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株</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二级行道树</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株</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56.41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石材路面（花岗岩,大理石）</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公园绿地</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特级绿地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26.63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一级绿地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16.90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二级绿地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14.67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三级绿地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9.83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一级林地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社区公园（一级）</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社区公园（二级）</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116.55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电梯</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部</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22560.00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一体互动屏</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restart"/>
            <w:tcBorders>
              <w:top w:val="nil"/>
              <w:left w:val="nil"/>
              <w:bottom w:val="nil"/>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栈道管理</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道路保洁</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18.06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相邻林地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彩色透水沥青路面</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13.44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砼路面</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9.88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石材路面（花岗岩,大理石）</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预制块路面(透水砖)</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道路标线</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53.80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挂网边坡</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石材边坡</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砼边坡(锚杆,挡土墙)</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木栈道</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47.98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金属栈道</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金属栏杆</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30.06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砼栏杆</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14.35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仿木栏杆</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26.26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标识系统</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nil"/>
              <w:left w:val="nil"/>
              <w:bottom w:val="nil"/>
              <w:right w:val="nil"/>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35.38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边沟</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单杆灯</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163.90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地灯</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风雨亭（10-50平方米）</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12000.00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风雨亭（50平方米以上）</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14400.00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集装箱驿站（50~150平方米）</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41900.00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驿站（50-150平方米）</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57600.00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驿站（150平方米以上）</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115200.00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直饮水机</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智慧座椅</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389.41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游乐及康体设施</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34.88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nil"/>
              <w:left w:val="nil"/>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礁石区（水体保洁）</w:t>
            </w:r>
          </w:p>
        </w:tc>
        <w:tc>
          <w:tcPr>
            <w:tcW w:w="1584"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0.80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绿道管护</w:t>
            </w: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道路绿地（三级）</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道路相邻林地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绿道绿化（三级管护）</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路面保洁</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绿道相邻林地</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绿化保洁</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路灯</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盏</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122.93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一级维护</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31.15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二级维护</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25.44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三级维护</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19.73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安保</w:t>
            </w: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保安</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61000.00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nil"/>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救生员</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62400.00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公厕保洁</w:t>
            </w: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一级保洁（10蹲位以上）</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171900.00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一级保洁（10蹲位以下）</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154600.00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2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二级保洁（10蹲位以下）</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95900</w:t>
            </w:r>
          </w:p>
        </w:tc>
      </w:tr>
    </w:tbl>
    <w:p>
      <w:pPr>
        <w:pStyle w:val="3"/>
        <w:spacing w:line="240" w:lineRule="auto"/>
      </w:pPr>
    </w:p>
    <w:p>
      <w:pPr>
        <w:pStyle w:val="2"/>
        <w:spacing w:line="240" w:lineRule="auto"/>
      </w:pPr>
      <w:r>
        <w:br w:type="page"/>
      </w:r>
    </w:p>
    <w:p>
      <w:pPr>
        <w:pStyle w:val="3"/>
      </w:pPr>
    </w:p>
    <w:p>
      <w:pPr>
        <w:pStyle w:val="7"/>
        <w:spacing w:before="120" w:beforeLines="50" w:after="120" w:afterLines="50"/>
        <w:rPr>
          <w:szCs w:val="24"/>
        </w:rPr>
      </w:pPr>
      <w:r>
        <w:rPr>
          <w:rFonts w:hint="eastAsia"/>
          <w:szCs w:val="24"/>
          <w:lang w:val="en-US" w:eastAsia="zh-CN"/>
        </w:rPr>
        <w:t>十</w:t>
      </w:r>
      <w:r>
        <w:rPr>
          <w:rFonts w:hint="eastAsia"/>
          <w:szCs w:val="24"/>
        </w:rPr>
        <w:t>、其他重要条款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9"/>
        <w:spacing w:before="60" w:beforeLines="25" w:after="60" w:afterLines="25"/>
        <w:ind w:firstLine="392" w:firstLineChars="187"/>
        <w:rPr>
          <w:rFonts w:ascii="宋体" w:hAnsi="宋体"/>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pPr>
        <w:widowControl/>
        <w:ind w:firstLine="420" w:firstLineChars="200"/>
        <w:jc w:val="left"/>
        <w:rPr>
          <w:rFonts w:ascii="宋体" w:hAnsi="宋体" w:cs="宋体"/>
          <w:kern w:val="0"/>
          <w:sz w:val="24"/>
        </w:rPr>
      </w:pPr>
      <w:r>
        <w:rPr>
          <w:rFonts w:hint="eastAsia"/>
          <w:bCs/>
          <w:szCs w:val="21"/>
        </w:rPr>
        <w:t>5.“信用中国”中“信用服务”栏的“重大税收违法失信主体”“失信被执行人”，“中国政府采购网”中的“政府采购严重违法失信行为记录名单”，“深圳市政府采购监管网”</w:t>
      </w:r>
      <w:r>
        <w:rPr>
          <w:rFonts w:hint="eastAsia" w:asciiTheme="minorEastAsia" w:hAnsiTheme="minorEastAsia" w:eastAsiaTheme="minorEastAsia" w:cstheme="minorEastAsia"/>
          <w:szCs w:val="21"/>
        </w:rPr>
        <w:t>以及深圳市、区财政部门认可的“供应商诚信档案库”</w:t>
      </w:r>
      <w:r>
        <w:rPr>
          <w:rFonts w:hint="eastAsia"/>
          <w:bCs/>
          <w:szCs w:val="21"/>
        </w:rPr>
        <w:t>为供应商信用信息的查询渠道，相关信息以开标当日的查询结果为准。</w:t>
      </w:r>
      <w:r>
        <w:rPr>
          <w:rFonts w:hint="eastAsia" w:ascii="宋体" w:hAnsi="宋体"/>
          <w:bCs/>
        </w:rPr>
        <w:t>如开标当日网站出现网站无法打开的特殊情况，相关信息则以中标通知书发出前的查询结果为准。</w:t>
      </w:r>
    </w:p>
    <w:p>
      <w:pPr>
        <w:ind w:firstLine="420" w:firstLineChars="200"/>
        <w:rPr>
          <w:bCs/>
          <w:szCs w:val="21"/>
        </w:rPr>
      </w:pPr>
      <w:bookmarkStart w:id="37" w:name="_Hlk218865646"/>
      <w:r>
        <w:rPr>
          <w:rFonts w:hint="eastAsia"/>
          <w:bCs/>
          <w:szCs w:val="21"/>
        </w:rPr>
        <w:t>6、供应商提供报价合理性、澄清、说明、补正或者错误的修正的方式，包括但不限于现场提交（地址：</w:t>
      </w:r>
      <w:r>
        <w:rPr>
          <w:rFonts w:hint="eastAsia" w:ascii="宋体" w:hAnsi="宋体"/>
          <w:bCs/>
        </w:rPr>
        <w:t>深圳市盐田区海景二路</w:t>
      </w:r>
      <w:r>
        <w:rPr>
          <w:rFonts w:hint="eastAsia"/>
          <w:bCs/>
        </w:rPr>
        <w:t>1025</w:t>
      </w:r>
      <w:r>
        <w:rPr>
          <w:rFonts w:hint="eastAsia" w:ascii="宋体" w:hAnsi="宋体"/>
          <w:bCs/>
        </w:rPr>
        <w:t>号壹海国际中心</w:t>
      </w:r>
      <w:r>
        <w:rPr>
          <w:rFonts w:hint="eastAsia"/>
          <w:bCs/>
        </w:rPr>
        <w:t>9</w:t>
      </w:r>
      <w:r>
        <w:rPr>
          <w:rFonts w:hint="eastAsia" w:ascii="宋体" w:hAnsi="宋体"/>
          <w:bCs/>
        </w:rPr>
        <w:t>楼</w:t>
      </w:r>
      <w:r>
        <w:rPr>
          <w:rFonts w:hint="eastAsia"/>
          <w:bCs/>
        </w:rPr>
        <w:t>901</w:t>
      </w:r>
      <w:r>
        <w:rPr>
          <w:rFonts w:hint="eastAsia"/>
          <w:bCs/>
          <w:szCs w:val="21"/>
        </w:rPr>
        <w:t>）、电邮提交（邮箱：</w:t>
      </w:r>
      <w:r>
        <w:rPr>
          <w:rFonts w:hint="eastAsia"/>
          <w:bCs/>
          <w:szCs w:val="21"/>
          <w:lang w:val="en-US" w:eastAsia="zh-CN"/>
        </w:rPr>
        <w:t>yantian</w:t>
      </w:r>
      <w:r>
        <w:rPr>
          <w:rFonts w:hint="eastAsia"/>
          <w:bCs/>
          <w:szCs w:val="21"/>
        </w:rPr>
        <w:t>fgs@szexgrp.com）等便捷方式。</w:t>
      </w:r>
      <w:bookmarkEnd w:id="37"/>
    </w:p>
    <w:p>
      <w:pPr>
        <w:pStyle w:val="9"/>
        <w:spacing w:before="60" w:beforeLines="25" w:after="60" w:afterLines="25"/>
        <w:ind w:firstLine="392" w:firstLineChars="187"/>
        <w:rPr>
          <w:rFonts w:ascii="宋体" w:hAnsi="宋体"/>
          <w:szCs w:val="21"/>
        </w:rPr>
      </w:pPr>
    </w:p>
    <w:p>
      <w:pPr>
        <w:pStyle w:val="9"/>
        <w:spacing w:before="60" w:beforeLines="25" w:after="60" w:afterLines="25"/>
        <w:ind w:firstLine="392" w:firstLineChars="187"/>
        <w:rPr>
          <w:rFonts w:ascii="宋体" w:hAnsi="宋体"/>
          <w:szCs w:val="21"/>
        </w:rPr>
      </w:pPr>
    </w:p>
    <w:p>
      <w:pPr>
        <w:pStyle w:val="9"/>
        <w:spacing w:before="60" w:beforeLines="25" w:after="60" w:afterLines="25"/>
        <w:ind w:firstLine="392" w:firstLineChars="187"/>
        <w:rPr>
          <w:rFonts w:ascii="宋体" w:hAnsi="宋体"/>
          <w:szCs w:val="21"/>
        </w:rPr>
      </w:pPr>
    </w:p>
    <w:p>
      <w:pPr>
        <w:pStyle w:val="9"/>
        <w:spacing w:before="60" w:beforeLines="25" w:after="60" w:afterLines="25"/>
        <w:ind w:firstLine="392" w:firstLineChars="187"/>
        <w:rPr>
          <w:rFonts w:ascii="宋体" w:hAnsi="宋体"/>
          <w:szCs w:val="21"/>
        </w:rPr>
      </w:pPr>
    </w:p>
    <w:p>
      <w:r>
        <w:rPr>
          <w:rFonts w:hint="eastAsia"/>
        </w:rPr>
        <w:br w:type="page"/>
      </w:r>
    </w:p>
    <w:p>
      <w:pPr>
        <w:pStyle w:val="7"/>
        <w:rPr>
          <w:kern w:val="2"/>
        </w:rPr>
      </w:pPr>
      <w:r>
        <w:rPr>
          <w:rFonts w:hint="eastAsia"/>
          <w:kern w:val="2"/>
        </w:rPr>
        <w:t>第四章 投标文件组成要求及格式</w:t>
      </w:r>
    </w:p>
    <w:p>
      <w:pPr>
        <w:rPr>
          <w:rStyle w:val="55"/>
          <w:sz w:val="24"/>
        </w:rPr>
      </w:pPr>
      <w:r>
        <w:rPr>
          <w:rStyle w:val="55"/>
          <w:rFonts w:hint="eastAsia"/>
          <w:sz w:val="24"/>
        </w:rPr>
        <w:t>特别提醒：</w:t>
      </w:r>
    </w:p>
    <w:p>
      <w:pPr>
        <w:ind w:firstLine="480" w:firstLineChars="200"/>
        <w:rPr>
          <w:rFonts w:ascii="仿宋_GB2312" w:eastAsia="仿宋_GB2312"/>
          <w:sz w:val="24"/>
        </w:rPr>
      </w:pPr>
      <w:r>
        <w:rPr>
          <w:rFonts w:hint="eastAsia" w:ascii="仿宋_GB2312" w:eastAsia="仿宋_GB2312"/>
          <w:sz w:val="24"/>
        </w:rPr>
        <w:t>中标（成交）供应商的投标文件正文将对外公开，投标文件附件不公开；未中标（成交）供应商的投标文件一律不公开。投标人在编辑投标文件时，在投标文件目录中属于本节点内容的必须在本节点中填写，填写到其他节点或附件的将可能导致投标无效，一切后果由供应商自行承担。</w:t>
      </w:r>
    </w:p>
    <w:p>
      <w:pPr>
        <w:rPr>
          <w:rFonts w:ascii="仿宋_GB2312" w:eastAsia="仿宋_GB2312"/>
          <w:sz w:val="24"/>
        </w:rPr>
      </w:pPr>
      <w:r>
        <w:rPr>
          <w:rFonts w:hint="eastAsia" w:ascii="仿宋_GB2312" w:eastAsia="仿宋_GB2312"/>
          <w:sz w:val="24"/>
        </w:rPr>
        <w:t xml:space="preserve">    投标文件正文（信息公开部分）必须编制于“正文（公开部分）”，投标文件附件（非信息公开部分）必须编制于“附件（不公开部分）”，如下图所示。</w:t>
      </w:r>
    </w:p>
    <w:p>
      <w:pPr>
        <w:widowControl/>
        <w:jc w:val="left"/>
        <w:rPr>
          <w:rFonts w:ascii="宋体" w:hAnsi="宋体" w:cs="宋体"/>
          <w:kern w:val="0"/>
          <w:sz w:val="24"/>
        </w:rPr>
      </w:pPr>
      <w:r>
        <w:drawing>
          <wp:inline distT="0" distB="0" distL="114300" distR="114300">
            <wp:extent cx="5203190" cy="4043045"/>
            <wp:effectExtent l="0" t="0" r="8890" b="10795"/>
            <wp:docPr id="8"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66f322b8feee32c1a3f0d48f365c82"/>
                    <pic:cNvPicPr>
                      <a:picLocks noChangeAspect="1"/>
                    </pic:cNvPicPr>
                  </pic:nvPicPr>
                  <pic:blipFill>
                    <a:blip r:embed="rId10"/>
                    <a:stretch>
                      <a:fillRect/>
                    </a:stretch>
                  </pic:blipFill>
                  <pic:spPr>
                    <a:xfrm>
                      <a:off x="0" y="0"/>
                      <a:ext cx="5203190" cy="4043045"/>
                    </a:xfrm>
                    <a:prstGeom prst="rect">
                      <a:avLst/>
                    </a:prstGeom>
                  </pic:spPr>
                </pic:pic>
              </a:graphicData>
            </a:graphic>
          </wp:inline>
        </w:drawing>
      </w:r>
    </w:p>
    <w:p>
      <w:pPr>
        <w:ind w:firstLine="480" w:firstLineChars="200"/>
        <w:rPr>
          <w:rFonts w:ascii="仿宋_GB2312" w:eastAsia="仿宋_GB2312"/>
          <w:sz w:val="24"/>
        </w:rPr>
      </w:pPr>
      <w:r>
        <w:rPr>
          <w:rFonts w:hint="eastAsia" w:ascii="仿宋_GB2312" w:eastAsia="仿宋_GB2312"/>
          <w:sz w:val="24"/>
        </w:rPr>
        <w:t>政府集中采购机构公布投标文件正文（信息公开部分）时为计算机截取信息自动公布，供应商登录深圳政府采购智慧平台后下载附件。</w:t>
      </w:r>
      <w:r>
        <w:rPr>
          <w:rFonts w:hint="eastAsia" w:ascii="仿宋_GB2312" w:eastAsia="仿宋_GB2312"/>
          <w:b/>
          <w:bCs/>
          <w:sz w:val="24"/>
        </w:rPr>
        <w:t>如投标人误将涉及个人隐私的信息放入投标文件正文，相关后果由投标人自负；</w:t>
      </w:r>
      <w:r>
        <w:rPr>
          <w:rFonts w:hint="eastAsia" w:ascii="仿宋_GB2312" w:eastAsia="仿宋_GB2312"/>
          <w:sz w:val="24"/>
          <w:highlight w:val="yellow"/>
        </w:rPr>
        <w:t>如投标人将必须放于投标文件正文（信息公开部分）的内容放入投标文件附件（非信息公开部分），将作投标无效处理。</w:t>
      </w:r>
    </w:p>
    <w:p>
      <w:pPr>
        <w:ind w:firstLine="480" w:firstLineChars="200"/>
        <w:rPr>
          <w:rFonts w:ascii="仿宋_GB2312" w:eastAsia="仿宋_GB2312"/>
          <w:sz w:val="24"/>
        </w:rPr>
      </w:pPr>
    </w:p>
    <w:p>
      <w:pPr>
        <w:ind w:firstLine="481" w:firstLineChars="200"/>
        <w:rPr>
          <w:rFonts w:ascii="宋体" w:hAnsi="宋体"/>
          <w:b/>
          <w:sz w:val="24"/>
        </w:rPr>
      </w:pPr>
    </w:p>
    <w:p>
      <w:pPr>
        <w:rPr>
          <w:rFonts w:ascii="宋体" w:hAnsi="宋体"/>
          <w:sz w:val="24"/>
        </w:rPr>
      </w:pPr>
      <w:r>
        <w:rPr>
          <w:rFonts w:hint="eastAsia" w:ascii="宋体" w:hAnsi="宋体"/>
          <w:sz w:val="24"/>
        </w:rPr>
        <w:br w:type="page"/>
      </w:r>
    </w:p>
    <w:p>
      <w:pPr>
        <w:rPr>
          <w:rFonts w:ascii="宋体" w:hAnsi="宋体"/>
          <w:sz w:val="24"/>
        </w:rPr>
      </w:pPr>
      <w:r>
        <w:rPr>
          <w:rFonts w:hint="eastAsia" w:ascii="宋体" w:hAnsi="宋体"/>
          <w:sz w:val="24"/>
        </w:rPr>
        <w:t>投标文件组成：</w:t>
      </w:r>
    </w:p>
    <w:p>
      <w:pPr>
        <w:ind w:firstLine="1200" w:firstLineChars="500"/>
        <w:rPr>
          <w:rFonts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pPr>
        <w:ind w:left="718" w:leftChars="342" w:firstLine="1417" w:firstLineChars="675"/>
        <w:rPr>
          <w:szCs w:val="21"/>
        </w:rPr>
      </w:pPr>
      <w:r>
        <w:rPr>
          <w:rFonts w:hint="eastAsia"/>
          <w:szCs w:val="21"/>
        </w:rPr>
        <w:t>（1）</w:t>
      </w:r>
      <w:bookmarkStart w:id="38" w:name="_Hlk72070784"/>
      <w:r>
        <w:rPr>
          <w:rFonts w:hint="eastAsia"/>
          <w:szCs w:val="21"/>
        </w:rPr>
        <w:t>投标函</w:t>
      </w:r>
      <w:bookmarkEnd w:id="38"/>
    </w:p>
    <w:p>
      <w:pPr>
        <w:ind w:left="718" w:leftChars="342" w:firstLine="1417" w:firstLineChars="675"/>
        <w:rPr>
          <w:szCs w:val="21"/>
        </w:rPr>
      </w:pPr>
      <w:r>
        <w:rPr>
          <w:rFonts w:hint="eastAsia"/>
          <w:szCs w:val="21"/>
        </w:rPr>
        <w:t>（2）</w:t>
      </w:r>
      <w:bookmarkStart w:id="39" w:name="_Hlk72062521"/>
      <w:r>
        <w:rPr>
          <w:rFonts w:hint="eastAsia"/>
          <w:szCs w:val="21"/>
        </w:rPr>
        <w:t>政府采购投标及履约承诺函</w:t>
      </w:r>
      <w:bookmarkEnd w:id="39"/>
    </w:p>
    <w:p>
      <w:pPr>
        <w:ind w:left="718" w:leftChars="342" w:firstLine="1417" w:firstLineChars="675"/>
        <w:rPr>
          <w:rFonts w:hint="eastAsia"/>
          <w:szCs w:val="21"/>
        </w:rPr>
      </w:pPr>
      <w:r>
        <w:rPr>
          <w:rFonts w:hint="eastAsia"/>
          <w:szCs w:val="21"/>
        </w:rPr>
        <w:t>（</w:t>
      </w:r>
      <w:r>
        <w:rPr>
          <w:szCs w:val="21"/>
        </w:rPr>
        <w:t>3</w:t>
      </w:r>
      <w:r>
        <w:rPr>
          <w:rFonts w:hint="eastAsia"/>
          <w:szCs w:val="21"/>
        </w:rPr>
        <w:t>）投标人情况及资格证明文件</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4</w:t>
      </w:r>
      <w:r>
        <w:rPr>
          <w:rFonts w:hint="eastAsia"/>
          <w:szCs w:val="21"/>
          <w:lang w:eastAsia="zh-CN"/>
        </w:rPr>
        <w:t>）</w:t>
      </w:r>
      <w:r>
        <w:rPr>
          <w:rFonts w:hint="eastAsia"/>
          <w:szCs w:val="21"/>
        </w:rPr>
        <w:t>体系认证情况</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5</w:t>
      </w:r>
      <w:r>
        <w:rPr>
          <w:rFonts w:hint="eastAsia"/>
          <w:szCs w:val="21"/>
          <w:lang w:eastAsia="zh-CN"/>
        </w:rPr>
        <w:t>）</w:t>
      </w:r>
      <w:r>
        <w:rPr>
          <w:rFonts w:hint="eastAsia"/>
          <w:szCs w:val="21"/>
        </w:rPr>
        <w:t>投标人自主知识产权产品（创新、设计）情况</w:t>
      </w:r>
    </w:p>
    <w:p>
      <w:pPr>
        <w:ind w:left="718" w:leftChars="342" w:firstLine="1417" w:firstLineChars="675"/>
        <w:rPr>
          <w:szCs w:val="21"/>
        </w:rPr>
      </w:pPr>
      <w:r>
        <w:rPr>
          <w:rFonts w:hint="eastAsia"/>
          <w:szCs w:val="21"/>
          <w:lang w:eastAsia="zh-CN"/>
        </w:rPr>
        <w:t>（</w:t>
      </w:r>
      <w:r>
        <w:rPr>
          <w:rFonts w:hint="eastAsia"/>
          <w:szCs w:val="21"/>
          <w:lang w:val="en-US" w:eastAsia="zh-CN"/>
        </w:rPr>
        <w:t>6</w:t>
      </w:r>
      <w:r>
        <w:rPr>
          <w:rFonts w:hint="eastAsia"/>
          <w:szCs w:val="21"/>
          <w:lang w:eastAsia="zh-CN"/>
        </w:rPr>
        <w:t>）</w:t>
      </w:r>
      <w:r>
        <w:rPr>
          <w:rFonts w:hint="eastAsia"/>
          <w:szCs w:val="21"/>
        </w:rPr>
        <w:t>本地化服务能力</w:t>
      </w:r>
    </w:p>
    <w:p>
      <w:pPr>
        <w:ind w:firstLine="1200" w:firstLineChars="500"/>
        <w:rPr>
          <w:rFonts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pPr>
        <w:ind w:firstLine="2100" w:firstLineChars="1000"/>
        <w:rPr>
          <w:szCs w:val="21"/>
        </w:rPr>
      </w:pPr>
      <w:r>
        <w:rPr>
          <w:rFonts w:hint="eastAsia"/>
          <w:szCs w:val="21"/>
        </w:rPr>
        <w:t>（1）供应商基本情况表</w:t>
      </w:r>
    </w:p>
    <w:p>
      <w:pPr>
        <w:ind w:firstLine="2100" w:firstLineChars="1000"/>
        <w:rPr>
          <w:szCs w:val="21"/>
        </w:rPr>
      </w:pPr>
      <w:r>
        <w:rPr>
          <w:rFonts w:hint="eastAsia"/>
          <w:szCs w:val="21"/>
        </w:rPr>
        <w:t>（2）法定代表人（负责人）证明书</w:t>
      </w:r>
    </w:p>
    <w:p>
      <w:pPr>
        <w:ind w:left="718" w:leftChars="342" w:firstLine="1417" w:firstLineChars="675"/>
        <w:rPr>
          <w:szCs w:val="21"/>
        </w:rPr>
      </w:pPr>
      <w:r>
        <w:rPr>
          <w:rFonts w:hint="eastAsia"/>
          <w:szCs w:val="21"/>
        </w:rPr>
        <w:t>（3）投标文件签署授权委托书</w:t>
      </w:r>
    </w:p>
    <w:p>
      <w:pPr>
        <w:ind w:left="718" w:leftChars="342" w:firstLine="1417" w:firstLineChars="675"/>
        <w:rPr>
          <w:szCs w:val="21"/>
        </w:rPr>
      </w:pPr>
      <w:r>
        <w:rPr>
          <w:rFonts w:hint="eastAsia"/>
          <w:szCs w:val="21"/>
        </w:rPr>
        <w:t>（4）项目详细报价</w:t>
      </w:r>
    </w:p>
    <w:p>
      <w:pPr>
        <w:ind w:left="718" w:leftChars="342" w:firstLine="1417" w:firstLineChars="675"/>
        <w:rPr>
          <w:szCs w:val="21"/>
        </w:rPr>
      </w:pPr>
      <w:r>
        <w:rPr>
          <w:rFonts w:hint="eastAsia"/>
          <w:szCs w:val="21"/>
        </w:rPr>
        <w:t>（5）</w:t>
      </w:r>
      <w:r>
        <w:rPr>
          <w:szCs w:val="21"/>
        </w:rPr>
        <w:t>实质性条款响应情况表</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6</w:t>
      </w:r>
      <w:r>
        <w:rPr>
          <w:rFonts w:hint="eastAsia"/>
          <w:szCs w:val="21"/>
          <w:lang w:eastAsia="zh-CN"/>
        </w:rPr>
        <w:t>）</w:t>
      </w:r>
      <w:r>
        <w:rPr>
          <w:rFonts w:hint="eastAsia"/>
          <w:szCs w:val="21"/>
        </w:rPr>
        <w:t>实施方案</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7</w:t>
      </w:r>
      <w:r>
        <w:rPr>
          <w:rFonts w:hint="eastAsia"/>
          <w:szCs w:val="21"/>
          <w:lang w:eastAsia="zh-CN"/>
        </w:rPr>
        <w:t>）</w:t>
      </w:r>
      <w:r>
        <w:rPr>
          <w:rFonts w:hint="eastAsia"/>
          <w:szCs w:val="21"/>
        </w:rPr>
        <w:t>项目重点难点分析、应对措施及相关的合理化建议</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8</w:t>
      </w:r>
      <w:r>
        <w:rPr>
          <w:rFonts w:hint="eastAsia"/>
          <w:szCs w:val="21"/>
          <w:lang w:eastAsia="zh-CN"/>
        </w:rPr>
        <w:t>）</w:t>
      </w:r>
      <w:r>
        <w:rPr>
          <w:rFonts w:hint="eastAsia"/>
          <w:szCs w:val="21"/>
        </w:rPr>
        <w:t>质量保障措施及方案</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9</w:t>
      </w:r>
      <w:r>
        <w:rPr>
          <w:rFonts w:hint="eastAsia"/>
          <w:szCs w:val="21"/>
          <w:lang w:eastAsia="zh-CN"/>
        </w:rPr>
        <w:t>）</w:t>
      </w:r>
      <w:r>
        <w:rPr>
          <w:rFonts w:hint="eastAsia"/>
          <w:szCs w:val="21"/>
        </w:rPr>
        <w:t>违约承诺</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10</w:t>
      </w:r>
      <w:r>
        <w:rPr>
          <w:rFonts w:hint="eastAsia"/>
          <w:szCs w:val="21"/>
          <w:lang w:eastAsia="zh-CN"/>
        </w:rPr>
        <w:t>）</w:t>
      </w:r>
      <w:r>
        <w:rPr>
          <w:rFonts w:hint="eastAsia"/>
          <w:szCs w:val="21"/>
        </w:rPr>
        <w:t>项目拟使用的设备（车辆、场地、工具、机器）情况</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11</w:t>
      </w:r>
      <w:r>
        <w:rPr>
          <w:rFonts w:hint="eastAsia"/>
          <w:szCs w:val="21"/>
          <w:lang w:eastAsia="zh-CN"/>
        </w:rPr>
        <w:t>）</w:t>
      </w:r>
      <w:r>
        <w:rPr>
          <w:rFonts w:hint="eastAsia"/>
          <w:szCs w:val="21"/>
        </w:rPr>
        <w:t>拟安排的项目负责人情况（仅限一人）</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12</w:t>
      </w:r>
      <w:r>
        <w:rPr>
          <w:rFonts w:hint="eastAsia"/>
          <w:szCs w:val="21"/>
          <w:lang w:eastAsia="zh-CN"/>
        </w:rPr>
        <w:t>）</w:t>
      </w:r>
      <w:r>
        <w:rPr>
          <w:rFonts w:hint="eastAsia"/>
          <w:szCs w:val="21"/>
        </w:rPr>
        <w:t>拟安排的项目主要团队成员（主要技术人员）情况（项目负责人除外）</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13</w:t>
      </w:r>
      <w:r>
        <w:rPr>
          <w:rFonts w:hint="eastAsia"/>
          <w:szCs w:val="21"/>
          <w:lang w:eastAsia="zh-CN"/>
        </w:rPr>
        <w:t>）</w:t>
      </w:r>
      <w:r>
        <w:rPr>
          <w:rFonts w:hint="eastAsia"/>
          <w:szCs w:val="21"/>
        </w:rPr>
        <w:t>投标人同类项目业绩情况</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14</w:t>
      </w:r>
      <w:r>
        <w:rPr>
          <w:rFonts w:hint="eastAsia"/>
          <w:szCs w:val="21"/>
          <w:lang w:eastAsia="zh-CN"/>
        </w:rPr>
        <w:t>）</w:t>
      </w:r>
      <w:r>
        <w:rPr>
          <w:rFonts w:hint="eastAsia"/>
          <w:szCs w:val="21"/>
        </w:rPr>
        <w:t>履约评价</w:t>
      </w:r>
    </w:p>
    <w:p>
      <w:pPr>
        <w:ind w:left="718" w:leftChars="342" w:firstLine="1417" w:firstLineChars="675"/>
        <w:rPr>
          <w:szCs w:val="21"/>
        </w:rPr>
      </w:pPr>
      <w:r>
        <w:rPr>
          <w:rFonts w:hint="eastAsia"/>
          <w:szCs w:val="21"/>
          <w:lang w:eastAsia="zh-CN"/>
        </w:rPr>
        <w:t>（</w:t>
      </w:r>
      <w:r>
        <w:rPr>
          <w:rFonts w:hint="eastAsia"/>
          <w:szCs w:val="21"/>
          <w:lang w:val="en-US" w:eastAsia="zh-CN"/>
        </w:rPr>
        <w:t>15</w:t>
      </w:r>
      <w:r>
        <w:rPr>
          <w:rFonts w:hint="eastAsia"/>
          <w:szCs w:val="21"/>
          <w:lang w:eastAsia="zh-CN"/>
        </w:rPr>
        <w:t>）</w:t>
      </w:r>
      <w:r>
        <w:rPr>
          <w:rFonts w:hint="eastAsia"/>
          <w:szCs w:val="21"/>
        </w:rPr>
        <w:t>项目完成后的服务承诺</w:t>
      </w:r>
    </w:p>
    <w:p>
      <w:pPr>
        <w:ind w:left="718" w:leftChars="342" w:firstLine="1417" w:firstLineChars="675"/>
        <w:rPr>
          <w:rFonts w:ascii="宋体" w:hAnsi="宋体"/>
          <w:szCs w:val="21"/>
        </w:rPr>
      </w:pPr>
      <w:r>
        <w:rPr>
          <w:rFonts w:hint="eastAsia"/>
          <w:szCs w:val="21"/>
        </w:rPr>
        <w:t>（</w:t>
      </w:r>
      <w:r>
        <w:rPr>
          <w:rFonts w:hint="eastAsia"/>
          <w:szCs w:val="21"/>
          <w:lang w:val="en-US" w:eastAsia="zh-CN"/>
        </w:rPr>
        <w:t>16</w:t>
      </w:r>
      <w:r>
        <w:rPr>
          <w:rFonts w:hint="eastAsia"/>
          <w:szCs w:val="21"/>
        </w:rPr>
        <w:t>）投标人认为需要加以说明的其他内容</w:t>
      </w:r>
    </w:p>
    <w:p>
      <w:pPr>
        <w:pStyle w:val="2"/>
      </w:pPr>
    </w:p>
    <w:p>
      <w:pPr>
        <w:pStyle w:val="9"/>
        <w:ind w:firstLine="0"/>
        <w:rPr>
          <w:rFonts w:ascii="宋体" w:hAnsi="宋体"/>
          <w:szCs w:val="21"/>
        </w:rPr>
      </w:pPr>
    </w:p>
    <w:p>
      <w:pPr>
        <w:rPr>
          <w:rFonts w:ascii="仿宋_GB2312" w:eastAsia="仿宋_GB2312"/>
          <w:sz w:val="24"/>
        </w:rPr>
      </w:pPr>
    </w:p>
    <w:p>
      <w:pPr>
        <w:ind w:firstLine="425" w:firstLineChars="202"/>
        <w:rPr>
          <w:rFonts w:ascii="宋体" w:hAnsi="宋体"/>
          <w:b/>
          <w:szCs w:val="21"/>
        </w:rPr>
      </w:pPr>
      <w:r>
        <w:rPr>
          <w:rFonts w:hint="eastAsia" w:ascii="宋体" w:hAnsi="宋体"/>
          <w:b/>
          <w:szCs w:val="21"/>
        </w:rPr>
        <w:t>备注：</w:t>
      </w:r>
    </w:p>
    <w:p>
      <w:pPr>
        <w:ind w:firstLine="425"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pPr>
        <w:ind w:firstLine="425" w:firstLineChars="202"/>
        <w:rPr>
          <w:rFonts w:ascii="宋体" w:hAnsi="宋体"/>
          <w:b/>
          <w:szCs w:val="21"/>
        </w:rPr>
      </w:pPr>
      <w:r>
        <w:rPr>
          <w:rFonts w:hint="eastAsia" w:ascii="宋体" w:hAnsi="宋体"/>
          <w:b/>
          <w:szCs w:val="21"/>
        </w:rPr>
        <w:t>2.关于填写“开标一览表”的说明：“开标一览表”中除“投标总价”外，其他信息不作评审依据。</w:t>
      </w:r>
    </w:p>
    <w:p>
      <w:pPr>
        <w:rPr>
          <w:rFonts w:ascii="仿宋_GB2312" w:eastAsia="仿宋_GB2312"/>
          <w:sz w:val="24"/>
        </w:rPr>
      </w:pPr>
    </w:p>
    <w:p>
      <w:pPr>
        <w:rPr>
          <w:rFonts w:ascii="宋体" w:hAnsi="宋体"/>
          <w:b/>
          <w:szCs w:val="21"/>
        </w:rPr>
      </w:pPr>
    </w:p>
    <w:p>
      <w:pPr>
        <w:rPr>
          <w:rFonts w:ascii="宋体" w:hAnsi="宋体"/>
          <w:b/>
          <w:szCs w:val="21"/>
        </w:rPr>
      </w:pPr>
    </w:p>
    <w:p>
      <w:pPr>
        <w:jc w:val="left"/>
        <w:rPr>
          <w:rFonts w:ascii="宋体" w:hAnsi="宋体"/>
          <w:b/>
          <w:color w:val="FF0000"/>
          <w:sz w:val="36"/>
          <w:szCs w:val="36"/>
        </w:rPr>
      </w:pPr>
      <w:r>
        <w:rPr>
          <w:rFonts w:hint="eastAsia" w:ascii="宋体" w:hAnsi="宋体"/>
          <w:b/>
          <w:color w:val="FF0000"/>
          <w:sz w:val="36"/>
          <w:szCs w:val="36"/>
        </w:rPr>
        <w:br w:type="page"/>
      </w:r>
    </w:p>
    <w:p>
      <w:pPr>
        <w:outlineLvl w:val="1"/>
        <w:rPr>
          <w:rFonts w:ascii="宋体" w:hAnsi="宋体"/>
          <w:b/>
          <w:color w:val="FF0000"/>
          <w:sz w:val="28"/>
          <w:szCs w:val="28"/>
        </w:rPr>
      </w:pPr>
      <w:r>
        <w:rPr>
          <w:rFonts w:hint="eastAsia" w:ascii="宋体" w:hAnsi="宋体"/>
          <w:b/>
          <w:color w:val="FF0000"/>
          <w:sz w:val="28"/>
          <w:szCs w:val="28"/>
        </w:rPr>
        <w:t>投标文件正文（信息公开部分）</w:t>
      </w:r>
    </w:p>
    <w:p>
      <w:pPr>
        <w:pStyle w:val="5"/>
        <w:jc w:val="center"/>
        <w:rPr>
          <w:rFonts w:ascii="黑体" w:eastAsia="黑体"/>
          <w:b w:val="0"/>
          <w:kern w:val="0"/>
          <w:sz w:val="24"/>
        </w:rPr>
      </w:pPr>
      <w:r>
        <w:rPr>
          <w:rFonts w:hint="eastAsia" w:ascii="黑体" w:eastAsia="黑体"/>
          <w:b w:val="0"/>
          <w:kern w:val="0"/>
          <w:sz w:val="24"/>
        </w:rPr>
        <w:t>一、投标函</w:t>
      </w:r>
    </w:p>
    <w:p>
      <w:pPr>
        <w:spacing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pPr>
        <w:ind w:firstLine="420" w:firstLineChars="200"/>
        <w:rPr>
          <w:rFonts w:ascii="宋体" w:hAnsi="宋体"/>
          <w:szCs w:val="21"/>
        </w:rPr>
      </w:pPr>
      <w:bookmarkStart w:id="40"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single"/>
        </w:rPr>
        <w:t>盐田区沙头角、海山片区公共绿地（含栈道、绿道）综合管理服务项目</w:t>
      </w:r>
      <w:r>
        <w:rPr>
          <w:rFonts w:hint="eastAsia"/>
          <w:szCs w:val="21"/>
        </w:rPr>
        <w:t>的招标文件，遵照《深圳经济特区政府采购条例》和《深圳网上政府采购管理暂行办法》等有关规定，我单位经研究上述招标文件的专用条款及通用条款后，</w:t>
      </w:r>
      <w:bookmarkStart w:id="41" w:name="_Hlk72263588"/>
      <w:r>
        <w:rPr>
          <w:rFonts w:hint="eastAsia"/>
          <w:szCs w:val="21"/>
        </w:rPr>
        <w:t>愿意按照招标文件要求承包上述项目并修补其任何缺陷。</w:t>
      </w:r>
      <w:bookmarkEnd w:id="41"/>
    </w:p>
    <w:p>
      <w:pPr>
        <w:ind w:firstLine="420" w:firstLineChars="200"/>
        <w:rPr>
          <w:rFonts w:ascii="宋体" w:hAnsi="宋体"/>
          <w:szCs w:val="21"/>
        </w:rPr>
      </w:pPr>
      <w:r>
        <w:rPr>
          <w:rFonts w:hint="eastAsia" w:ascii="宋体" w:hAnsi="宋体"/>
          <w:szCs w:val="21"/>
        </w:rPr>
        <w:t>2.投标价格见</w:t>
      </w:r>
      <w:r>
        <w:rPr>
          <w:rFonts w:hint="eastAsia"/>
          <w:szCs w:val="21"/>
        </w:rPr>
        <w:t>投标书编制软件中《开标一览表》中填写的投标总价。</w:t>
      </w:r>
    </w:p>
    <w:p>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rPr>
          <w:rFonts w:ascii="宋体" w:hAnsi="宋体"/>
          <w:szCs w:val="21"/>
        </w:rPr>
      </w:pPr>
      <w:r>
        <w:rPr>
          <w:rFonts w:hint="eastAsia" w:ascii="宋体" w:hAnsi="宋体"/>
          <w:szCs w:val="21"/>
        </w:rPr>
        <w:t>6.我单位理解贵单位将不受必须接受所收到的最低报价或其它任何投标文件的约束。</w:t>
      </w:r>
      <w:bookmarkEnd w:id="40"/>
    </w:p>
    <w:p>
      <w:pPr>
        <w:ind w:firstLine="421" w:firstLineChars="200"/>
        <w:rPr>
          <w:rFonts w:ascii="宋体" w:hAnsi="宋体"/>
          <w:b/>
          <w:szCs w:val="21"/>
        </w:rPr>
      </w:pPr>
      <w:r>
        <w:rPr>
          <w:rFonts w:hint="eastAsia" w:ascii="宋体" w:hAnsi="宋体"/>
          <w:b/>
          <w:szCs w:val="21"/>
        </w:rPr>
        <w:t>7.</w:t>
      </w:r>
      <w:r>
        <w:rPr>
          <w:rFonts w:ascii="宋体" w:hAnsi="宋体"/>
          <w:b/>
          <w:szCs w:val="21"/>
        </w:rPr>
        <w:t>如我单位提交样品，且未在规定时间内取回样品的，视</w:t>
      </w:r>
      <w:r>
        <w:rPr>
          <w:rFonts w:hint="eastAsia" w:ascii="宋体" w:hAnsi="宋体"/>
          <w:b/>
          <w:szCs w:val="21"/>
        </w:rPr>
        <w:t>为</w:t>
      </w:r>
      <w:r>
        <w:rPr>
          <w:rFonts w:ascii="宋体" w:hAnsi="宋体"/>
          <w:b/>
          <w:szCs w:val="21"/>
        </w:rPr>
        <w:t>放弃</w:t>
      </w:r>
      <w:r>
        <w:rPr>
          <w:rFonts w:hint="eastAsia" w:ascii="宋体" w:hAnsi="宋体"/>
          <w:b/>
          <w:szCs w:val="21"/>
        </w:rPr>
        <w:t>对样品的所有权</w:t>
      </w:r>
      <w:r>
        <w:rPr>
          <w:rFonts w:ascii="宋体" w:hAnsi="宋体"/>
          <w:b/>
          <w:szCs w:val="21"/>
        </w:rPr>
        <w:t>，同意深圳公共资源交易中心对我单位提交的样品进行清理</w:t>
      </w:r>
      <w:r>
        <w:rPr>
          <w:rFonts w:hint="eastAsia" w:ascii="宋体" w:hAnsi="宋体"/>
          <w:b/>
          <w:szCs w:val="21"/>
        </w:rPr>
        <w:t>处置</w:t>
      </w:r>
      <w:r>
        <w:rPr>
          <w:rFonts w:ascii="宋体" w:hAnsi="宋体"/>
          <w:b/>
          <w:szCs w:val="21"/>
        </w:rPr>
        <w:t>。</w:t>
      </w:r>
    </w:p>
    <w:p>
      <w:pPr>
        <w:ind w:firstLine="421" w:firstLineChars="200"/>
        <w:rPr>
          <w:rFonts w:ascii="宋体" w:hAnsi="宋体"/>
          <w:b/>
          <w:szCs w:val="21"/>
        </w:rPr>
      </w:pPr>
      <w:bookmarkStart w:id="42" w:name="OLE_LINK40"/>
      <w:r>
        <w:rPr>
          <w:rFonts w:hint="eastAsia" w:ascii="宋体" w:hAnsi="宋体"/>
          <w:b/>
          <w:szCs w:val="21"/>
        </w:rPr>
        <w:t>8、如果我方中标，我方保证在中标（成交）结果公示结束之日的次日起7个工作日内向深圳公共资源交易中心（深圳交易集团有限公司</w:t>
      </w:r>
      <w:r>
        <w:rPr>
          <w:rFonts w:hint="eastAsia" w:ascii="宋体" w:hAnsi="宋体"/>
          <w:b/>
          <w:szCs w:val="21"/>
          <w:lang w:eastAsia="zh-CN"/>
        </w:rPr>
        <w:t>盐田</w:t>
      </w:r>
      <w:r>
        <w:rPr>
          <w:rFonts w:hint="eastAsia" w:ascii="宋体" w:hAnsi="宋体"/>
          <w:b/>
          <w:szCs w:val="21"/>
        </w:rPr>
        <w:t>分公司）交纳代理服务费。</w:t>
      </w:r>
    </w:p>
    <w:bookmarkEnd w:id="42"/>
    <w:p>
      <w:pPr>
        <w:ind w:left="420" w:leftChars="200"/>
        <w:rPr>
          <w:rFonts w:ascii="宋体" w:hAnsi="宋体"/>
          <w:b/>
          <w:szCs w:val="21"/>
        </w:rPr>
      </w:pPr>
    </w:p>
    <w:p>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ind w:left="420" w:leftChars="200"/>
        <w:rPr>
          <w:sz w:val="24"/>
        </w:rPr>
      </w:pPr>
      <w:r>
        <w:rPr>
          <w:rFonts w:hint="eastAsia"/>
          <w:sz w:val="24"/>
        </w:rPr>
        <w:t xml:space="preserve">                       </w:t>
      </w:r>
    </w:p>
    <w:p>
      <w:pPr>
        <w:rPr>
          <w:rFonts w:ascii="黑体" w:hAnsi="宋体" w:eastAsia="黑体"/>
        </w:rPr>
      </w:pPr>
    </w:p>
    <w:p>
      <w:pPr>
        <w:rPr>
          <w:rFonts w:ascii="宋体" w:hAnsi="宋体"/>
          <w:szCs w:val="21"/>
        </w:rPr>
      </w:pPr>
    </w:p>
    <w:p>
      <w:pPr>
        <w:pStyle w:val="5"/>
        <w:jc w:val="center"/>
        <w:rPr>
          <w:rFonts w:ascii="黑体" w:eastAsia="黑体"/>
          <w:b w:val="0"/>
          <w:kern w:val="0"/>
          <w:sz w:val="24"/>
        </w:rPr>
      </w:pPr>
      <w:r>
        <w:rPr>
          <w:rFonts w:hint="eastAsia" w:ascii="黑体" w:eastAsia="黑体"/>
          <w:b w:val="0"/>
          <w:kern w:val="0"/>
          <w:sz w:val="24"/>
        </w:rPr>
        <w:t>二、政府采购投标及履约承诺函</w:t>
      </w:r>
    </w:p>
    <w:p>
      <w:pPr>
        <w:rPr>
          <w:rFonts w:ascii="宋体" w:hAnsi="宋体"/>
          <w:sz w:val="24"/>
        </w:rPr>
      </w:pPr>
    </w:p>
    <w:p>
      <w:pPr>
        <w:rPr>
          <w:rFonts w:ascii="宋体" w:hAnsi="宋体"/>
          <w:color w:val="FF0000"/>
          <w:szCs w:val="21"/>
        </w:rPr>
      </w:pPr>
      <w:r>
        <w:rPr>
          <w:rFonts w:hint="eastAsia" w:ascii="宋体" w:hAnsi="宋体"/>
          <w:color w:val="FF0000"/>
          <w:szCs w:val="21"/>
        </w:rPr>
        <w:t>致：</w:t>
      </w:r>
      <w:r>
        <w:rPr>
          <w:rFonts w:hint="eastAsia" w:ascii="宋体" w:hAnsi="宋体"/>
          <w:color w:val="FF0000"/>
          <w:szCs w:val="21"/>
          <w:u w:val="single"/>
        </w:rPr>
        <w:t>深圳公共资源交易中心</w:t>
      </w:r>
    </w:p>
    <w:p>
      <w:pPr>
        <w:ind w:right="-815" w:firstLine="420" w:firstLineChars="200"/>
        <w:rPr>
          <w:rFonts w:ascii="宋体" w:hAnsi="宋体"/>
          <w:szCs w:val="21"/>
        </w:rPr>
      </w:pPr>
      <w:r>
        <w:rPr>
          <w:rFonts w:hint="eastAsia" w:ascii="宋体" w:hAnsi="宋体"/>
          <w:szCs w:val="21"/>
        </w:rPr>
        <w:t>我单位承诺：</w:t>
      </w:r>
    </w:p>
    <w:p>
      <w:pPr>
        <w:ind w:firstLine="420" w:firstLineChars="200"/>
      </w:pPr>
      <w:r>
        <w:rPr>
          <w:rFonts w:hint="eastAsia" w:ascii="宋体" w:hAnsi="宋体"/>
          <w:bCs/>
          <w:szCs w:val="21"/>
        </w:rPr>
        <w:t>1.我单位参与本项目符合资格条件关于联合体、进口产品的要求</w:t>
      </w:r>
      <w:r>
        <w:rPr>
          <w:rFonts w:hint="eastAsia"/>
        </w:rPr>
        <w:t>。</w:t>
      </w:r>
    </w:p>
    <w:p>
      <w:pPr>
        <w:ind w:firstLine="420" w:firstLineChars="200"/>
        <w:rPr>
          <w:rFonts w:ascii="宋体" w:hAnsi="宋体"/>
          <w:szCs w:val="21"/>
        </w:rPr>
      </w:pPr>
      <w:r>
        <w:rPr>
          <w:rFonts w:hint="eastAsia" w:ascii="宋体" w:hAnsi="宋体"/>
          <w:szCs w:val="21"/>
        </w:rPr>
        <w:t>2.我单位参与本项目</w:t>
      </w:r>
      <w:r>
        <w:rPr>
          <w:rFonts w:hint="eastAsia" w:ascii="宋体" w:hAnsi="宋体"/>
        </w:rPr>
        <w:t>所投标（响应）的货物、工程或服务，不存在侵犯知识产权的情况。</w:t>
      </w:r>
    </w:p>
    <w:p>
      <w:pPr>
        <w:ind w:firstLine="42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p>
    <w:p>
      <w:pPr>
        <w:ind w:firstLine="420" w:firstLineChars="200"/>
        <w:rPr>
          <w:rFonts w:ascii="宋体" w:hAnsi="宋体"/>
          <w:szCs w:val="21"/>
        </w:rPr>
      </w:pPr>
      <w:r>
        <w:rPr>
          <w:rFonts w:hint="eastAsia" w:ascii="宋体" w:hAnsi="宋体"/>
          <w:szCs w:val="21"/>
        </w:rPr>
        <w:t>4.我单位具备《中华人民共和国政府采购法》第二十二条第一款规定的六项条件。</w:t>
      </w:r>
    </w:p>
    <w:p>
      <w:pPr>
        <w:ind w:firstLine="420" w:firstLineChars="200"/>
      </w:pPr>
      <w:r>
        <w:rPr>
          <w:rFonts w:hint="eastAsia" w:ascii="宋体" w:hAnsi="宋体"/>
          <w:szCs w:val="21"/>
        </w:rPr>
        <w:t>5.我单位</w:t>
      </w:r>
      <w:r>
        <w:rPr>
          <w:rFonts w:hint="eastAsia"/>
        </w:rPr>
        <w:t>未被列入失信被执行人、重大税收违法案件当事人名单、政府采购严重违法失信行为记录名单。</w:t>
      </w:r>
    </w:p>
    <w:p>
      <w:pPr>
        <w:ind w:firstLine="420" w:firstLineChars="200"/>
      </w:pPr>
      <w:r>
        <w:rPr>
          <w:rFonts w:hint="eastAsia"/>
          <w:color w:val="FF0000"/>
        </w:rPr>
        <w:t>6.我单位不存在《深圳市财政局政府采购供应商信用信息管理办法》（深财规〔2023〕3号）列明的严重违法失信行为。</w:t>
      </w:r>
    </w:p>
    <w:p>
      <w:pPr>
        <w:ind w:firstLine="420" w:firstLineChars="200"/>
        <w:rPr>
          <w:rFonts w:ascii="宋体" w:hAnsi="宋体"/>
          <w:szCs w:val="21"/>
        </w:rPr>
      </w:pPr>
      <w:r>
        <w:rPr>
          <w:rFonts w:hint="eastAsia" w:ascii="宋体" w:hAnsi="宋体"/>
          <w:szCs w:val="21"/>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ascii="宋体" w:hAnsi="宋体"/>
          <w:szCs w:val="21"/>
        </w:rPr>
      </w:pPr>
      <w:r>
        <w:rPr>
          <w:rFonts w:hint="eastAsia" w:ascii="宋体" w:hAnsi="宋体"/>
          <w:szCs w:val="21"/>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ascii="宋体" w:hAnsi="宋体"/>
          <w:szCs w:val="21"/>
        </w:rPr>
      </w:pPr>
      <w:r>
        <w:rPr>
          <w:rFonts w:hint="eastAsia" w:ascii="宋体" w:hAnsi="宋体"/>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ascii="宋体" w:hAnsi="宋体"/>
          <w:szCs w:val="21"/>
        </w:rPr>
      </w:pPr>
      <w:r>
        <w:rPr>
          <w:rFonts w:hint="eastAsia" w:ascii="宋体" w:hAnsi="宋体"/>
          <w:szCs w:val="21"/>
        </w:rPr>
        <w:t>10.我单位承诺中标后项目不转包，未经采购人同意不进行分包。</w:t>
      </w:r>
    </w:p>
    <w:p>
      <w:pPr>
        <w:ind w:firstLine="420" w:firstLineChars="200"/>
        <w:rPr>
          <w:rFonts w:ascii="宋体" w:hAnsi="宋体"/>
        </w:rPr>
      </w:pPr>
      <w:r>
        <w:rPr>
          <w:rFonts w:hint="eastAsia" w:ascii="宋体" w:hAnsi="宋体"/>
          <w:szCs w:val="21"/>
        </w:rPr>
        <w:t>11</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ascii="宋体" w:hAnsi="宋体" w:cs="宋体"/>
          <w:b/>
          <w:kern w:val="0"/>
          <w:szCs w:val="21"/>
        </w:rPr>
      </w:pPr>
      <w:r>
        <w:rPr>
          <w:rFonts w:hint="eastAsia" w:ascii="宋体" w:hAnsi="宋体"/>
        </w:rPr>
        <w:t>12</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工业和信息化部关于印发&lt;绿色数据中心政府采购需求标准（试行）&gt;的通知》（财库〔2023〕7号）要求。若所投产品涉及国家强制性标准的，所投产品应符合国家强制性标准相关要求。</w:t>
      </w:r>
    </w:p>
    <w:p>
      <w:pPr>
        <w:ind w:firstLine="420" w:firstLineChars="200"/>
        <w:rPr>
          <w:rFonts w:ascii="宋体" w:hAnsi="宋体"/>
          <w:bCs/>
        </w:rPr>
      </w:pPr>
      <w:r>
        <w:rPr>
          <w:rFonts w:hint="eastAsia" w:ascii="宋体" w:hAnsi="宋体" w:cs="宋体"/>
          <w:bCs/>
          <w:kern w:val="0"/>
          <w:szCs w:val="21"/>
        </w:rPr>
        <w:t>13.</w:t>
      </w:r>
      <w:r>
        <w:rPr>
          <w:rFonts w:hint="eastAsia" w:ascii="宋体" w:hAnsi="宋体"/>
          <w:bCs/>
        </w:rPr>
        <w:t>我单位已知悉并同意中标（成交）结果信息公示（公开）的内容。</w:t>
      </w:r>
    </w:p>
    <w:p>
      <w:pPr>
        <w:ind w:firstLine="420" w:firstLineChars="200"/>
        <w:rPr>
          <w:rFonts w:ascii="宋体" w:hAnsi="宋体"/>
          <w:bCs/>
        </w:rPr>
      </w:pPr>
      <w:r>
        <w:rPr>
          <w:rFonts w:hint="eastAsia" w:ascii="宋体" w:hAnsi="宋体"/>
          <w:bCs/>
        </w:rPr>
        <w:t>14.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pPr>
        <w:ind w:firstLine="421" w:firstLineChars="200"/>
        <w:rPr>
          <w:rFonts w:ascii="宋体" w:hAnsi="宋体"/>
          <w:b/>
        </w:rPr>
      </w:pPr>
      <w:r>
        <w:rPr>
          <w:rFonts w:hint="eastAsia" w:ascii="宋体" w:hAnsi="宋体"/>
          <w:b/>
        </w:rPr>
        <w:t>15.我单位清楚，如存在违反投标承诺行为情节严重的，将根据《深圳市财政局关于印发&lt;深圳市财政局政府采购供应商信用信息管理办法&gt;的通知》，依法被列入失信信息。</w:t>
      </w:r>
    </w:p>
    <w:p>
      <w:pPr>
        <w:pStyle w:val="2"/>
        <w:ind w:firstLine="481" w:firstLineChars="200"/>
        <w:rPr>
          <w:rFonts w:ascii="宋体" w:hAnsi="宋体"/>
        </w:rPr>
      </w:pPr>
    </w:p>
    <w:p>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pPr>
        <w:spacing w:before="60" w:beforeLines="25" w:after="60" w:afterLines="25"/>
        <w:ind w:firstLine="5460" w:firstLineChars="2600"/>
        <w:rPr>
          <w:rFonts w:ascii="宋体" w:hAnsi="宋体"/>
          <w:szCs w:val="21"/>
        </w:rPr>
      </w:pPr>
      <w:r>
        <w:rPr>
          <w:rFonts w:hint="eastAsia" w:ascii="宋体" w:hAnsi="宋体"/>
          <w:szCs w:val="21"/>
        </w:rPr>
        <w:t xml:space="preserve">                                    </w:t>
      </w:r>
    </w:p>
    <w:p>
      <w:pPr>
        <w:spacing w:before="60" w:beforeLines="25" w:after="60" w:afterLines="25"/>
        <w:ind w:firstLine="5460" w:firstLineChars="2600"/>
        <w:rPr>
          <w:color w:val="FF0000"/>
        </w:rPr>
      </w:pPr>
      <w:r>
        <w:rPr>
          <w:rFonts w:hint="eastAsia"/>
          <w:color w:val="FF0000"/>
          <w:szCs w:val="21"/>
        </w:rPr>
        <w:t>投标人：</w:t>
      </w:r>
      <w:r>
        <w:rPr>
          <w:rFonts w:hint="eastAsia"/>
          <w:color w:val="FF0000"/>
          <w:szCs w:val="21"/>
          <w:u w:val="single"/>
        </w:rPr>
        <w:t xml:space="preserve">              </w:t>
      </w:r>
    </w:p>
    <w:p>
      <w:pPr>
        <w:ind w:firstLine="645"/>
        <w:rPr>
          <w:rFonts w:ascii="宋体" w:hAnsi="宋体"/>
          <w:color w:val="FF0000"/>
          <w:szCs w:val="21"/>
        </w:rPr>
      </w:pPr>
      <w:r>
        <w:rPr>
          <w:rFonts w:hint="eastAsia" w:ascii="宋体" w:hAnsi="宋体"/>
          <w:color w:val="FF0000"/>
          <w:szCs w:val="21"/>
        </w:rPr>
        <w:t xml:space="preserve">                                              日期：</w:t>
      </w:r>
      <w:r>
        <w:rPr>
          <w:rFonts w:hint="eastAsia" w:ascii="宋体" w:hAnsi="宋体"/>
          <w:color w:val="FF0000"/>
          <w:szCs w:val="21"/>
          <w:u w:val="single"/>
        </w:rPr>
        <w:t xml:space="preserve">    </w:t>
      </w:r>
      <w:r>
        <w:rPr>
          <w:rFonts w:hint="eastAsia" w:ascii="宋体" w:hAnsi="宋体"/>
          <w:color w:val="FF0000"/>
          <w:szCs w:val="21"/>
        </w:rPr>
        <w:t>年</w:t>
      </w:r>
      <w:r>
        <w:rPr>
          <w:rFonts w:hint="eastAsia" w:ascii="宋体" w:hAnsi="宋体"/>
          <w:color w:val="FF0000"/>
          <w:szCs w:val="21"/>
          <w:u w:val="single"/>
        </w:rPr>
        <w:t xml:space="preserve">   </w:t>
      </w:r>
      <w:r>
        <w:rPr>
          <w:rFonts w:hint="eastAsia" w:ascii="宋体" w:hAnsi="宋体"/>
          <w:color w:val="FF0000"/>
          <w:szCs w:val="21"/>
        </w:rPr>
        <w:t>月</w:t>
      </w:r>
      <w:r>
        <w:rPr>
          <w:rFonts w:hint="eastAsia" w:ascii="宋体" w:hAnsi="宋体"/>
          <w:color w:val="FF0000"/>
          <w:szCs w:val="21"/>
          <w:u w:val="single"/>
        </w:rPr>
        <w:t xml:space="preserve">   </w:t>
      </w:r>
      <w:r>
        <w:rPr>
          <w:rFonts w:hint="eastAsia" w:ascii="宋体" w:hAnsi="宋体"/>
          <w:color w:val="FF0000"/>
          <w:szCs w:val="21"/>
        </w:rPr>
        <w:t>日</w:t>
      </w:r>
    </w:p>
    <w:p>
      <w:pPr>
        <w:rPr>
          <w:rFonts w:ascii="宋体" w:hAnsi="宋体"/>
          <w:szCs w:val="21"/>
        </w:rPr>
      </w:pPr>
    </w:p>
    <w:p>
      <w:pPr>
        <w:rPr>
          <w:rFonts w:ascii="宋体" w:hAnsi="宋体"/>
          <w:szCs w:val="21"/>
        </w:rPr>
      </w:pPr>
    </w:p>
    <w:p>
      <w:pPr>
        <w:pStyle w:val="5"/>
        <w:spacing w:before="120" w:after="120"/>
        <w:jc w:val="center"/>
        <w:rPr>
          <w:rFonts w:ascii="黑体" w:eastAsia="黑体"/>
          <w:b w:val="0"/>
          <w:kern w:val="0"/>
          <w:sz w:val="24"/>
        </w:rPr>
      </w:pPr>
      <w:r>
        <w:rPr>
          <w:rFonts w:hint="eastAsia" w:ascii="黑体" w:eastAsia="黑体"/>
          <w:b w:val="0"/>
          <w:kern w:val="0"/>
          <w:sz w:val="24"/>
        </w:rPr>
        <w:t>三、投标人情况及资格证明文件</w:t>
      </w:r>
    </w:p>
    <w:p>
      <w:pPr>
        <w:ind w:firstLine="2640" w:firstLineChars="1100"/>
        <w:rPr>
          <w:rFonts w:ascii="黑体" w:hAnsi="宋体" w:eastAsia="黑体"/>
          <w:bCs/>
          <w:kern w:val="0"/>
          <w:sz w:val="24"/>
          <w:szCs w:val="32"/>
        </w:rPr>
      </w:pPr>
      <w:r>
        <w:rPr>
          <w:rFonts w:hint="eastAsia" w:ascii="黑体" w:hAnsi="宋体" w:eastAsia="黑体"/>
          <w:bCs/>
          <w:kern w:val="0"/>
          <w:sz w:val="24"/>
          <w:szCs w:val="32"/>
        </w:rPr>
        <w:t>（一）投标人资格证明文件</w:t>
      </w:r>
    </w:p>
    <w:p>
      <w:pPr>
        <w:spacing w:before="120" w:beforeLines="50"/>
        <w:ind w:firstLine="421" w:firstLineChars="200"/>
        <w:rPr>
          <w:b/>
          <w:bCs/>
          <w:color w:val="FF0000"/>
        </w:rPr>
      </w:pPr>
      <w:r>
        <w:rPr>
          <w:rFonts w:hint="eastAsia"/>
          <w:b/>
          <w:bCs/>
          <w:color w:val="FF0000"/>
        </w:rPr>
        <w:t>（特别提示：投标人须按本招标文件第一册第一章招标公告“申请人的资格要求”（即投标人资格要求）提供相关的资格证明资料，未提供或提供不完整、不符合要求的，将作投标无效处理，其中要求提供《政府采购投标及履约承诺函》《供应商基本情况表》且已在规定章节中提供的，此处不重复提供。）</w:t>
      </w:r>
    </w:p>
    <w:p>
      <w:pPr>
        <w:ind w:firstLine="481" w:firstLineChars="200"/>
        <w:rPr>
          <w:b/>
          <w:sz w:val="24"/>
        </w:rPr>
      </w:pPr>
    </w:p>
    <w:p>
      <w:pPr>
        <w:ind w:firstLine="480" w:firstLineChars="200"/>
        <w:rPr>
          <w:rFonts w:ascii="黑体" w:hAnsi="宋体" w:eastAsia="黑体"/>
          <w:bCs/>
          <w:kern w:val="0"/>
          <w:sz w:val="24"/>
          <w:szCs w:val="32"/>
        </w:rPr>
      </w:pPr>
      <w:r>
        <w:rPr>
          <w:rFonts w:hint="eastAsia" w:ascii="黑体" w:hAnsi="宋体" w:eastAsia="黑体"/>
          <w:bCs/>
          <w:kern w:val="0"/>
          <w:sz w:val="24"/>
          <w:szCs w:val="32"/>
        </w:rPr>
        <w:t>（二）中小企业声明函、残疾人福利性单位声明函及监狱企业声明函</w:t>
      </w:r>
    </w:p>
    <w:p>
      <w:pPr>
        <w:jc w:val="left"/>
        <w:rPr>
          <w:rFonts w:ascii="黑体" w:hAnsi="宋体" w:eastAsia="黑体"/>
          <w:bCs/>
          <w:kern w:val="0"/>
          <w:sz w:val="24"/>
          <w:szCs w:val="32"/>
        </w:rPr>
      </w:pP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pPr>
        <w:ind w:firstLine="420" w:firstLineChars="200"/>
        <w:rPr>
          <w:rFonts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w:t>
      </w:r>
      <w:bookmarkStart w:id="43" w:name="_Hlk71925120"/>
      <w:r>
        <w:rPr>
          <w:rFonts w:hint="eastAsia" w:ascii="黑体" w:hAnsi="黑体" w:eastAsia="黑体"/>
          <w:color w:val="FF0000"/>
          <w:szCs w:val="21"/>
        </w:rPr>
        <w:t>《工业和信息化部、国家统计局、国家发展和改革委员会、财政部关于印发中小企业划型标准规定的通知》（工信部联企业〔2011〕300号</w:t>
      </w:r>
      <w:bookmarkEnd w:id="43"/>
      <w:r>
        <w:rPr>
          <w:rFonts w:hint="eastAsia" w:ascii="黑体" w:hAnsi="黑体" w:eastAsia="黑体"/>
          <w:color w:val="FF0000"/>
          <w:szCs w:val="21"/>
        </w:rPr>
        <w:t>）</w:t>
      </w:r>
    </w:p>
    <w:p>
      <w:pPr>
        <w:ind w:firstLine="420" w:firstLineChars="200"/>
        <w:rPr>
          <w:rFonts w:ascii="黑体" w:hAnsi="黑体" w:eastAsia="黑体"/>
          <w:color w:val="FF0000"/>
          <w:szCs w:val="21"/>
        </w:rPr>
      </w:pPr>
      <w:r>
        <w:rPr>
          <w:rFonts w:hint="eastAsia" w:ascii="黑体" w:hAnsi="黑体" w:eastAsia="黑体"/>
          <w:color w:val="FF0000"/>
          <w:szCs w:val="21"/>
        </w:rPr>
        <w:t>(3)《统计上大中小微型企业划分办法(2017)》（国统字〔2017〕213号）</w:t>
      </w:r>
    </w:p>
    <w:p>
      <w:pPr>
        <w:ind w:firstLine="420" w:firstLineChars="200"/>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pPr>
        <w:ind w:firstLine="420" w:firstLineChars="200"/>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标的具体名称（以招标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第五处，在“企业名称”下划线处如实填写</w:t>
      </w:r>
      <w:r>
        <w:rPr>
          <w:rFonts w:hint="eastAsia" w:ascii="黑体" w:hAnsi="宋体" w:eastAsia="黑体"/>
          <w:b/>
          <w:color w:val="FF0000"/>
          <w:kern w:val="0"/>
          <w:szCs w:val="21"/>
        </w:rPr>
        <w:t>服务承接商名称。</w:t>
      </w:r>
      <w:r>
        <w:rPr>
          <w:rFonts w:hint="eastAsia" w:ascii="黑体" w:hAnsi="宋体" w:eastAsia="黑体"/>
          <w:bCs/>
          <w:color w:val="FF0000"/>
          <w:kern w:val="0"/>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pStyle w:val="192"/>
        <w:ind w:firstLine="420" w:firstLineChars="200"/>
        <w:rPr>
          <w:rFonts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（4）声明是残疾人福利性单位须填写《残疾人福利性单位声明函》的相关内容，具体参照以上《中小企业声明函》填写要求执行。</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5.本项目属于服务类项目，相关服务承接商应当为中小企业或残疾人福利性单位或监狱企业，如包含硬件设备、产品等货物采购的，不再对其中涉及的货物制造商作出要求。</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pStyle w:val="2"/>
      </w:pPr>
    </w:p>
    <w:p>
      <w:pPr>
        <w:numPr>
          <w:ilvl w:val="0"/>
          <w:numId w:val="108"/>
        </w:numPr>
        <w:jc w:val="center"/>
        <w:rPr>
          <w:b/>
          <w:sz w:val="24"/>
        </w:rPr>
      </w:pPr>
      <w:r>
        <w:rPr>
          <w:b/>
          <w:sz w:val="24"/>
        </w:rPr>
        <w:t>中小企业声明函（</w:t>
      </w:r>
      <w:r>
        <w:rPr>
          <w:rFonts w:hint="eastAsia"/>
          <w:b/>
          <w:sz w:val="24"/>
        </w:rPr>
        <w:t>服务</w:t>
      </w:r>
      <w:r>
        <w:rPr>
          <w:b/>
          <w:sz w:val="24"/>
        </w:rPr>
        <w:t>）</w:t>
      </w:r>
    </w:p>
    <w:p>
      <w:pPr>
        <w:pStyle w:val="2"/>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Cs w:val="21"/>
          <w:u w:val="single"/>
        </w:rPr>
        <w:t xml:space="preserve">    （单位名称）    </w:t>
      </w:r>
      <w:r>
        <w:rPr>
          <w:rFonts w:hint="eastAsia" w:asciiTheme="minorEastAsia" w:hAnsiTheme="minorEastAsia" w:eastAsiaTheme="minorEastAsia" w:cstheme="minorEastAsia"/>
          <w:szCs w:val="21"/>
        </w:rPr>
        <w:t>的</w:t>
      </w:r>
      <w:r>
        <w:rPr>
          <w:rFonts w:hint="eastAsia" w:asciiTheme="minorEastAsia" w:hAnsiTheme="minorEastAsia" w:eastAsiaTheme="minorEastAsia" w:cstheme="minorEastAsia"/>
          <w:b/>
          <w:bCs/>
          <w:i/>
          <w:iCs/>
          <w:szCs w:val="21"/>
          <w:u w:val="single"/>
        </w:rPr>
        <w:t xml:space="preserve">    （项目名称）    </w:t>
      </w:r>
      <w:r>
        <w:rPr>
          <w:rFonts w:hint="eastAsia" w:asciiTheme="minorEastAsia" w:hAnsiTheme="minorEastAsia" w:eastAsiaTheme="minorEastAsia" w:cstheme="minorEastAsia"/>
          <w:szCs w:val="21"/>
        </w:rPr>
        <w:t>采购活动，服务全部由符合政策要求的中小企业承接。相关企业（含联合体中的中小企业、签订分包意向协议的中小企业）的具体情况如下：</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b/>
          <w:bCs/>
          <w:i/>
          <w:i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i/>
          <w:i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i/>
          <w:i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i/>
          <w:i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bCs/>
          <w:i/>
          <w:i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i/>
          <w:i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i/>
          <w:i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i/>
          <w:i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本企业对上述声明内容的真实性负责。如有虚假，将依法承担相应责任。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bookmarkStart w:id="44" w:name="_Hlk73562275"/>
      <w:r>
        <w:rPr>
          <w:rFonts w:hint="eastAsia" w:asciiTheme="minorEastAsia" w:hAnsiTheme="minorEastAsia" w:eastAsiaTheme="minorEastAsia" w:cstheme="minorEastAsia"/>
          <w:szCs w:val="21"/>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4"/>
    </w:p>
    <w:p>
      <w:pPr>
        <w:ind w:firstLine="420" w:firstLineChars="200"/>
      </w:pPr>
    </w:p>
    <w:p>
      <w:pPr>
        <w:jc w:val="center"/>
        <w:rPr>
          <w:b/>
          <w:sz w:val="24"/>
        </w:rPr>
      </w:pPr>
      <w:r>
        <w:rPr>
          <w:rFonts w:hint="eastAsia"/>
          <w:b/>
          <w:sz w:val="24"/>
        </w:rPr>
        <w:t>2.残疾人福利性单位声明函（服务类）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i/>
          <w:iCs/>
          <w:szCs w:val="21"/>
          <w:u w:val="single"/>
        </w:rPr>
        <w:t xml:space="preserve">    （项目名称）    </w:t>
      </w:r>
      <w:r>
        <w:rPr>
          <w:rFonts w:hint="eastAsia" w:asciiTheme="minorEastAsia" w:hAnsiTheme="minorEastAsia" w:eastAsiaTheme="minorEastAsia" w:cstheme="minorEastAsia"/>
          <w:szCs w:val="21"/>
        </w:rPr>
        <w:t>项目采购活动由本单位提供服务。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jc w:val="center"/>
        <w:rPr>
          <w:b/>
          <w:sz w:val="24"/>
        </w:rPr>
      </w:pPr>
      <w:r>
        <w:rPr>
          <w:rFonts w:hint="eastAsia"/>
          <w:b/>
          <w:sz w:val="24"/>
        </w:rPr>
        <w:t>3.监狱企业声明函【服务类，监狱企业如需享受优惠政策，还须另行提供省级以上监狱管理局、戒毒管理局（含新疆生产建设兵团）出具的监狱企业证明文件】</w:t>
      </w:r>
    </w:p>
    <w:p>
      <w:pPr>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hint="eastAsia" w:ascii="宋体" w:hAnsi="宋体"/>
          <w:szCs w:val="21"/>
        </w:rPr>
        <w:t>服务</w:t>
      </w:r>
      <w:r>
        <w:rPr>
          <w:rFonts w:ascii="宋体" w:hAnsi="宋体"/>
          <w:szCs w:val="21"/>
        </w:rPr>
        <w:t>全部由符合政策要求的</w:t>
      </w:r>
      <w:r>
        <w:rPr>
          <w:rFonts w:hint="eastAsia" w:ascii="宋体" w:hAnsi="宋体"/>
          <w:szCs w:val="21"/>
        </w:rPr>
        <w:t>监狱企业承接</w:t>
      </w:r>
      <w:r>
        <w:rPr>
          <w:rFonts w:ascii="宋体" w:hAnsi="宋体"/>
          <w:szCs w:val="21"/>
        </w:rPr>
        <w:t>。相关</w:t>
      </w:r>
      <w:r>
        <w:rPr>
          <w:rFonts w:hint="eastAsia" w:ascii="宋体" w:hAnsi="宋体"/>
          <w:szCs w:val="21"/>
        </w:rPr>
        <w:t>监狱企业</w:t>
      </w:r>
      <w:r>
        <w:rPr>
          <w:rFonts w:ascii="宋体" w:hAnsi="宋体"/>
          <w:szCs w:val="21"/>
        </w:rPr>
        <w:t>的具体情况如下：</w:t>
      </w:r>
    </w:p>
    <w:p>
      <w:pPr>
        <w:ind w:firstLine="420" w:firstLineChars="200"/>
        <w:rPr>
          <w:rFonts w:ascii="宋体" w:hAnsi="宋体"/>
          <w:szCs w:val="21"/>
        </w:rPr>
      </w:pPr>
      <w:r>
        <w:rPr>
          <w:rFonts w:ascii="宋体" w:hAnsi="宋体"/>
          <w:szCs w:val="21"/>
        </w:rPr>
        <w:t>1.</w:t>
      </w:r>
      <w:r>
        <w:rPr>
          <w:rFonts w:ascii="宋体" w:hAnsi="宋体"/>
          <w:b/>
          <w:bCs/>
          <w:szCs w:val="21"/>
          <w:u w:val="single"/>
        </w:rPr>
        <w:t xml:space="preserve"> </w:t>
      </w:r>
      <w:r>
        <w:rPr>
          <w:rFonts w:ascii="宋体" w:hAnsi="宋体"/>
          <w:b/>
          <w:bCs/>
          <w:i/>
          <w:iCs/>
          <w:szCs w:val="21"/>
          <w:u w:val="single"/>
        </w:rPr>
        <w:t>（标的名称</w:t>
      </w:r>
      <w:r>
        <w:rPr>
          <w:rFonts w:ascii="宋体" w:hAnsi="宋体"/>
          <w:b/>
          <w:bCs/>
          <w:szCs w:val="21"/>
          <w:u w:val="single"/>
        </w:rPr>
        <w:t>）</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ascii="宋体" w:hAnsi="宋体"/>
          <w:szCs w:val="21"/>
        </w:rPr>
        <w:t>，属于</w:t>
      </w:r>
      <w:r>
        <w:rPr>
          <w:rFonts w:hint="eastAsia" w:ascii="宋体" w:hAnsi="宋体"/>
          <w:b/>
          <w:bCs/>
          <w:i/>
          <w:iCs/>
          <w:szCs w:val="21"/>
          <w:u w:val="single"/>
        </w:rPr>
        <w:t>监狱企业</w:t>
      </w:r>
      <w:r>
        <w:rPr>
          <w:rFonts w:ascii="宋体" w:hAnsi="宋体"/>
          <w:szCs w:val="21"/>
        </w:rPr>
        <w:t>；</w:t>
      </w:r>
    </w:p>
    <w:p>
      <w:pPr>
        <w:ind w:firstLine="420" w:firstLineChars="200"/>
        <w:rPr>
          <w:rFonts w:ascii="宋体" w:hAnsi="宋体"/>
          <w:szCs w:val="21"/>
        </w:rPr>
      </w:pPr>
      <w:r>
        <w:rPr>
          <w:rFonts w:ascii="宋体" w:hAnsi="宋体"/>
          <w:szCs w:val="21"/>
        </w:rPr>
        <w:t>2.</w:t>
      </w:r>
      <w:r>
        <w:rPr>
          <w:rFonts w:ascii="宋体" w:hAnsi="宋体"/>
          <w:b/>
          <w:bCs/>
          <w:szCs w:val="21"/>
          <w:u w:val="single"/>
        </w:rPr>
        <w:t xml:space="preserve"> </w:t>
      </w:r>
      <w:r>
        <w:rPr>
          <w:rFonts w:ascii="宋体" w:hAnsi="宋体"/>
          <w:b/>
          <w:bCs/>
          <w:i/>
          <w:iCs/>
          <w:szCs w:val="21"/>
          <w:u w:val="single"/>
        </w:rPr>
        <w:t>（标的名称）</w:t>
      </w:r>
      <w:r>
        <w:rPr>
          <w:rFonts w:ascii="宋体" w:hAnsi="宋体"/>
          <w:i/>
          <w:iCs/>
          <w:szCs w:val="21"/>
        </w:rPr>
        <w:t xml:space="preserve"> </w:t>
      </w:r>
      <w:r>
        <w:rPr>
          <w:rFonts w:hint="eastAsia" w:ascii="宋体" w:hAnsi="宋体"/>
          <w:szCs w:val="21"/>
        </w:rPr>
        <w:t>，承接单位</w:t>
      </w:r>
      <w:r>
        <w:rPr>
          <w:rFonts w:ascii="宋体" w:hAnsi="宋体"/>
          <w:szCs w:val="21"/>
        </w:rPr>
        <w:t>为</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ascii="宋体" w:hAnsi="宋体"/>
          <w:szCs w:val="21"/>
        </w:rPr>
        <w:t>，属于</w:t>
      </w:r>
      <w:r>
        <w:rPr>
          <w:rFonts w:hint="eastAsia" w:ascii="宋体" w:hAnsi="宋体"/>
          <w:b/>
          <w:bCs/>
          <w:i/>
          <w:iCs/>
          <w:szCs w:val="21"/>
          <w:u w:val="single"/>
        </w:rPr>
        <w:t>监狱企业</w:t>
      </w:r>
      <w:r>
        <w:rPr>
          <w:rFonts w:hint="eastAsia" w:ascii="宋体" w:hAnsi="宋体"/>
          <w:szCs w:val="21"/>
        </w:rPr>
        <w:t>。</w:t>
      </w:r>
    </w:p>
    <w:p>
      <w:pPr>
        <w:ind w:firstLine="420" w:firstLineChars="200"/>
        <w:rPr>
          <w:rFonts w:ascii="宋体" w:hAnsi="宋体"/>
          <w:szCs w:val="21"/>
        </w:rPr>
      </w:pPr>
      <w:r>
        <w:rPr>
          <w:rFonts w:ascii="宋体" w:hAnsi="宋体"/>
          <w:szCs w:val="21"/>
        </w:rPr>
        <w:t xml:space="preserve">…… </w:t>
      </w:r>
    </w:p>
    <w:p>
      <w:pPr>
        <w:ind w:firstLine="420" w:firstLineChars="200"/>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pPr>
        <w:ind w:firstLine="420" w:firstLineChars="200"/>
        <w:rPr>
          <w:rFonts w:ascii="宋体" w:hAnsi="宋体"/>
          <w:szCs w:val="21"/>
        </w:rPr>
      </w:pPr>
      <w:r>
        <w:rPr>
          <w:rFonts w:hint="eastAsia" w:ascii="宋体" w:hAnsi="宋体"/>
          <w:szCs w:val="21"/>
        </w:rPr>
        <w:t>附：省级以上监狱管理局、戒毒管理局（含新疆生产建设兵团）出具的监狱企业证明文件。</w:t>
      </w:r>
    </w:p>
    <w:p>
      <w:pPr>
        <w:ind w:left="723" w:hanging="722" w:hangingChars="300"/>
        <w:rPr>
          <w:b/>
          <w:sz w:val="24"/>
        </w:rPr>
      </w:pPr>
    </w:p>
    <w:p>
      <w:pPr>
        <w:ind w:firstLine="480" w:firstLineChars="200"/>
      </w:pPr>
      <w:r>
        <w:rPr>
          <w:rFonts w:hint="eastAsia" w:ascii="黑体" w:hAnsi="宋体" w:eastAsia="黑体"/>
          <w:bCs/>
          <w:kern w:val="0"/>
          <w:sz w:val="24"/>
          <w:szCs w:val="32"/>
        </w:rPr>
        <w:t>（三）</w:t>
      </w:r>
      <w:bookmarkStart w:id="45" w:name="_Hlk235714562"/>
      <w:r>
        <w:rPr>
          <w:rFonts w:hint="eastAsia" w:ascii="黑体" w:hAnsi="宋体" w:eastAsia="黑体"/>
          <w:bCs/>
          <w:kern w:val="0"/>
          <w:sz w:val="24"/>
          <w:szCs w:val="32"/>
        </w:rPr>
        <w:t>本国产品声明函</w:t>
      </w:r>
      <w:bookmarkEnd w:id="45"/>
    </w:p>
    <w:p>
      <w:pPr>
        <w:pStyle w:val="192"/>
      </w:pPr>
    </w:p>
    <w:p>
      <w:pPr>
        <w:ind w:firstLine="420" w:firstLineChars="200"/>
        <w:rPr>
          <w:rFonts w:ascii="宋体" w:hAnsi="宋体"/>
          <w:color w:val="FF0000"/>
          <w:szCs w:val="21"/>
        </w:rPr>
      </w:pPr>
      <w:r>
        <w:rPr>
          <w:rFonts w:hint="eastAsia" w:ascii="宋体" w:hAnsi="宋体"/>
          <w:color w:val="FF0000"/>
          <w:szCs w:val="21"/>
        </w:rPr>
        <w:t>填写指引：</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该部分内容由供应商根据自身实际情况填写，不符合要求的供应商可以不填写或直接删除相应的声明函。供应商提供的声明函不属实的，属于提供虚假资料谋取中标，依照《中华人民共和国政府采购法》等国家有关规定追究相应责任。</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2.该部分内容填写需要参考的相关文件：</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(1)《国务院办公厅关于在政府采购中实施本国产品标准及相关政策的通知》（国办发〔2025〕34号）</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(2)《关于贯彻落实&lt;国务院办公厅关于在政府采购中实施本国产品标准及相关政策的通知&gt;的意见》（财库〔2025〕30号）</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3.请依照提供的格式和内容填写声明函，不要随意变更格式；声明函可以不盖章或签字。</w:t>
      </w:r>
    </w:p>
    <w:p>
      <w:pPr>
        <w:ind w:firstLine="420" w:firstLineChars="200"/>
        <w:rPr>
          <w:rFonts w:ascii="宋体" w:hAnsi="宋体"/>
          <w:color w:val="FF0000"/>
          <w:szCs w:val="21"/>
        </w:rPr>
      </w:pPr>
      <w:r>
        <w:rPr>
          <w:rFonts w:hint="eastAsia" w:ascii="宋体" w:hAnsi="宋体"/>
          <w:color w:val="FF0000"/>
          <w:szCs w:val="21"/>
        </w:rPr>
        <w:t>4.声明函具体填写要求：</w:t>
      </w:r>
    </w:p>
    <w:p>
      <w:pPr>
        <w:ind w:firstLine="420" w:firstLineChars="200"/>
        <w:rPr>
          <w:rFonts w:ascii="宋体" w:hAnsi="宋体"/>
          <w:color w:val="FF0000"/>
          <w:szCs w:val="21"/>
        </w:rPr>
      </w:pPr>
      <w:r>
        <w:rPr>
          <w:rFonts w:hint="eastAsia" w:ascii="宋体" w:hAnsi="宋体"/>
          <w:color w:val="FF0000"/>
          <w:szCs w:val="21"/>
        </w:rPr>
        <w:t>（1）产品如有型号，请在“产品名称”栏一并填写。</w:t>
      </w:r>
    </w:p>
    <w:p>
      <w:pPr>
        <w:ind w:firstLine="420" w:firstLineChars="200"/>
        <w:rPr>
          <w:rFonts w:ascii="宋体" w:hAnsi="宋体"/>
          <w:color w:val="FF0000"/>
          <w:szCs w:val="21"/>
        </w:rPr>
      </w:pPr>
    </w:p>
    <w:p>
      <w:pPr>
        <w:ind w:firstLine="420" w:firstLineChars="200"/>
        <w:rPr>
          <w:rFonts w:ascii="宋体" w:hAnsi="宋体"/>
          <w:color w:val="FF0000"/>
          <w:szCs w:val="21"/>
        </w:rPr>
      </w:pPr>
      <w:r>
        <w:rPr>
          <w:rFonts w:hint="eastAsia" w:ascii="宋体" w:hAnsi="宋体"/>
          <w:color w:val="FF0000"/>
          <w:szCs w:val="21"/>
        </w:rPr>
        <w:t>（2）生产厂名与厂址应与生产厂营业执照载明的相关信息保持一致。</w:t>
      </w:r>
    </w:p>
    <w:p>
      <w:pPr>
        <w:ind w:firstLine="420" w:firstLineChars="200"/>
        <w:rPr>
          <w:rFonts w:ascii="宋体" w:hAnsi="宋体"/>
          <w:color w:val="FF0000"/>
          <w:szCs w:val="21"/>
        </w:rPr>
      </w:pPr>
    </w:p>
    <w:p>
      <w:pPr>
        <w:ind w:firstLine="420" w:firstLineChars="200"/>
        <w:rPr>
          <w:rFonts w:ascii="宋体" w:hAnsi="宋体"/>
          <w:color w:val="FF0000"/>
          <w:szCs w:val="21"/>
        </w:rPr>
      </w:pPr>
      <w:r>
        <w:rPr>
          <w:rFonts w:hint="eastAsia" w:ascii="宋体" w:hAnsi="宋体"/>
          <w:color w:val="FF0000"/>
          <w:szCs w:val="21"/>
        </w:rPr>
        <w:t>（3）该产品的中国境内生产的组件成本占比相关要求实施前，“规定比例”栏可不填，下同。</w:t>
      </w:r>
    </w:p>
    <w:p>
      <w:pPr>
        <w:ind w:firstLine="420" w:firstLineChars="200"/>
        <w:rPr>
          <w:rFonts w:ascii="宋体" w:hAnsi="宋体"/>
          <w:color w:val="FF0000"/>
          <w:szCs w:val="21"/>
        </w:rPr>
      </w:pPr>
    </w:p>
    <w:p>
      <w:pPr>
        <w:ind w:firstLine="420" w:firstLineChars="200"/>
        <w:rPr>
          <w:rFonts w:ascii="宋体" w:hAnsi="宋体"/>
          <w:color w:val="FF0000"/>
          <w:szCs w:val="21"/>
        </w:rPr>
      </w:pPr>
      <w:r>
        <w:rPr>
          <w:rFonts w:hint="eastAsia" w:ascii="宋体" w:hAnsi="宋体"/>
          <w:color w:val="FF0000"/>
          <w:szCs w:val="21"/>
        </w:rPr>
        <w:t>（4）该产品的关键组件要求实施前，“关键组件”栏可不填，下同。</w:t>
      </w:r>
    </w:p>
    <w:p>
      <w:pPr>
        <w:ind w:firstLine="420" w:firstLineChars="200"/>
        <w:rPr>
          <w:rFonts w:ascii="宋体" w:hAnsi="宋体"/>
          <w:color w:val="FF0000"/>
          <w:szCs w:val="21"/>
        </w:rPr>
      </w:pPr>
    </w:p>
    <w:p>
      <w:pPr>
        <w:ind w:firstLine="420" w:firstLineChars="200"/>
        <w:rPr>
          <w:rFonts w:ascii="宋体" w:hAnsi="宋体"/>
          <w:color w:val="FF0000"/>
          <w:szCs w:val="21"/>
        </w:rPr>
      </w:pPr>
      <w:r>
        <w:rPr>
          <w:rFonts w:hint="eastAsia" w:ascii="宋体" w:hAnsi="宋体"/>
          <w:color w:val="FF0000"/>
          <w:szCs w:val="21"/>
        </w:rPr>
        <w:t>（5）该产品的关键工序要求实施前，“关键工序”栏可不填，下同。</w:t>
      </w:r>
    </w:p>
    <w:p>
      <w:pPr>
        <w:ind w:firstLine="420" w:firstLineChars="200"/>
        <w:rPr>
          <w:rFonts w:ascii="宋体" w:hAnsi="宋体"/>
          <w:color w:val="FF0000"/>
          <w:szCs w:val="21"/>
        </w:rPr>
      </w:pPr>
    </w:p>
    <w:p>
      <w:pPr>
        <w:ind w:firstLine="420" w:firstLineChars="200"/>
        <w:rPr>
          <w:color w:val="FF0000"/>
        </w:rPr>
      </w:pPr>
      <w:r>
        <w:rPr>
          <w:rFonts w:hint="eastAsia" w:ascii="宋体" w:hAnsi="宋体"/>
          <w:color w:val="FF0000"/>
          <w:szCs w:val="21"/>
        </w:rPr>
        <w:t>（6）</w:t>
      </w:r>
      <w:r>
        <w:rPr>
          <w:rFonts w:hint="eastAsia" w:ascii="宋体" w:hAnsi="宋体"/>
          <w:b/>
          <w:bCs/>
          <w:color w:val="FF0000"/>
          <w:szCs w:val="21"/>
        </w:rPr>
        <w:t>必须在“具体比例”栏填写提供所有符合本国产品标准的产品成本之和占提供的全部产品成本之和的比例。</w:t>
      </w:r>
      <w:r>
        <w:rPr>
          <w:rFonts w:hint="eastAsia" w:ascii="宋体" w:hAnsi="宋体"/>
          <w:color w:val="FF0000"/>
          <w:szCs w:val="21"/>
        </w:rPr>
        <w:t>根据《国务院办公厅关于在政府采购中实施本国产品标准及相关政策的通知》（国办发〔2025〕34号）的</w:t>
      </w:r>
      <w:r>
        <w:rPr>
          <w:rFonts w:hint="eastAsia"/>
          <w:color w:val="FF0000"/>
        </w:rPr>
        <w:t>规定，当采购项目或者采购包中含有多种产品，供应商为该采购项目或者采购包提供的符合本国产品标准的产品成本之和占该供应商提供的全部产品成本之和的比例达到</w:t>
      </w:r>
      <w:r>
        <w:rPr>
          <w:rFonts w:hint="eastAsia"/>
          <w:b/>
          <w:bCs/>
          <w:color w:val="FF0000"/>
        </w:rPr>
        <w:t>80%以上</w:t>
      </w:r>
      <w:r>
        <w:rPr>
          <w:rFonts w:hint="eastAsia"/>
          <w:color w:val="FF0000"/>
        </w:rPr>
        <w:t>时，依法对该供应商提供的全部产品给予20%价格评审优惠。</w:t>
      </w:r>
    </w:p>
    <w:p>
      <w:pPr>
        <w:pStyle w:val="192"/>
        <w:ind w:firstLine="420" w:firstLineChars="200"/>
        <w:rPr>
          <w:color w:val="000000" w:themeColor="text1"/>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5.</w:t>
      </w:r>
      <w:r>
        <w:rPr>
          <w:rFonts w:hint="eastAsia"/>
          <w:color w:val="000000" w:themeColor="text1"/>
          <w14:textFill>
            <w14:solidFill>
              <w14:schemeClr w14:val="tx1"/>
            </w14:solidFill>
          </w14:textFill>
        </w:rPr>
        <w:t>争议处理：</w:t>
      </w:r>
    </w:p>
    <w:p>
      <w:pPr>
        <w:pStyle w:val="192"/>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政府采购投诉处理、监督检查中，对产品或组件是否在中国境内生产存在争议的，按照以下原则处理：①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②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pPr>
        <w:pStyle w:val="192"/>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pPr>
        <w:pStyle w:val="192"/>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政府采购投诉处理、监督检查中，对特定产品的关键组件是否在中国境内生产存在争议的，按照《国务院办公厅关于在政府采购中实施本国产品标准及相关政策的通知》第五条第（一）项规定的原则处理；对特定产品的关键工序是否在中国境内完成存在争议的，相关供应商及制造商应当提供关键工序在中国境内完成的记录等材料予以证明。</w:t>
      </w:r>
    </w:p>
    <w:p>
      <w:pPr>
        <w:pStyle w:val="192"/>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pPr>
        <w:pStyle w:val="192"/>
        <w:ind w:firstLine="420" w:firstLineChars="200"/>
        <w:rPr>
          <w:color w:val="000000" w:themeColor="text1"/>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6.</w:t>
      </w:r>
      <w:r>
        <w:rPr>
          <w:rFonts w:hint="eastAsia"/>
          <w:color w:val="000000" w:themeColor="text1"/>
          <w14:textFill>
            <w14:solidFill>
              <w14:schemeClr w14:val="tx1"/>
            </w14:solidFill>
          </w14:textFill>
        </w:rPr>
        <w:t>评审委员会在评审中发现《关于符合本国产品标准的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规定要求的，供应商提供的相关产品视为不符合本国产品标准，不享受价格扣除，但不作投标无效处理。</w:t>
      </w:r>
    </w:p>
    <w:p>
      <w:pPr>
        <w:pStyle w:val="192"/>
      </w:pPr>
    </w:p>
    <w:p>
      <w:pPr>
        <w:pStyle w:val="192"/>
        <w:jc w:val="center"/>
        <w:rPr>
          <w:rFonts w:ascii="Times New Roman" w:hAnsi="Times New Roman"/>
          <w:b/>
          <w:sz w:val="24"/>
          <w:szCs w:val="24"/>
        </w:rPr>
      </w:pPr>
      <w:r>
        <w:rPr>
          <w:rFonts w:hint="eastAsia" w:ascii="Times New Roman" w:hAnsi="Times New Roman"/>
          <w:b/>
          <w:sz w:val="24"/>
          <w:szCs w:val="24"/>
        </w:rPr>
        <w:t>关于符合本国产品标准的声明函</w:t>
      </w:r>
    </w:p>
    <w:p>
      <w:pPr>
        <w:pStyle w:val="192"/>
      </w:pPr>
    </w:p>
    <w:p>
      <w:pPr>
        <w:pStyle w:val="37"/>
        <w:widowControl/>
        <w:shd w:val="clear" w:color="auto" w:fill="FFFFFF"/>
        <w:ind w:firstLine="420" w:firstLineChars="200"/>
        <w:jc w:val="left"/>
        <w:rPr>
          <w:rFonts w:ascii="宋体" w:hAnsi="宋体" w:cs="宋体"/>
          <w:color w:val="000000"/>
          <w:sz w:val="21"/>
          <w:szCs w:val="21"/>
          <w:shd w:val="clear" w:color="auto" w:fill="FFFFFF"/>
        </w:rPr>
      </w:pPr>
      <w:r>
        <w:rPr>
          <w:rFonts w:hint="eastAsia" w:ascii="宋体" w:hAnsi="宋体" w:cs="宋体"/>
          <w:color w:val="000000"/>
          <w:sz w:val="21"/>
          <w:szCs w:val="21"/>
          <w:shd w:val="clear" w:color="auto" w:fill="FFFFFF"/>
        </w:rPr>
        <w:t>本公司（单位）郑重声明，根据《国务院办公厅关于在政府采购中实施本国产品标准及相关政策的通知》（国办发〔</w:t>
      </w:r>
      <w:r>
        <w:rPr>
          <w:rFonts w:ascii="Calibri" w:hAnsi="Calibri" w:cs="Calibri"/>
          <w:color w:val="000000"/>
          <w:sz w:val="21"/>
          <w:szCs w:val="21"/>
          <w:shd w:val="clear" w:color="auto" w:fill="FFFFFF"/>
        </w:rPr>
        <w:t>2025</w:t>
      </w:r>
      <w:r>
        <w:rPr>
          <w:rFonts w:hint="eastAsia" w:ascii="宋体" w:hAnsi="宋体" w:cs="宋体"/>
          <w:color w:val="000000"/>
          <w:sz w:val="21"/>
          <w:szCs w:val="21"/>
          <w:shd w:val="clear" w:color="auto" w:fill="FFFFFF"/>
        </w:rPr>
        <w:t>〕</w:t>
      </w:r>
      <w:r>
        <w:rPr>
          <w:rFonts w:ascii="Calibri" w:hAnsi="Calibri" w:cs="Calibri"/>
          <w:color w:val="000000"/>
          <w:sz w:val="21"/>
          <w:szCs w:val="21"/>
          <w:shd w:val="clear" w:color="auto" w:fill="FFFFFF"/>
        </w:rPr>
        <w:t>34</w:t>
      </w:r>
      <w:r>
        <w:rPr>
          <w:rFonts w:hint="eastAsia" w:ascii="宋体" w:hAnsi="宋体" w:cs="宋体"/>
          <w:color w:val="000000"/>
          <w:sz w:val="21"/>
          <w:szCs w:val="21"/>
          <w:shd w:val="clear" w:color="auto" w:fill="FFFFFF"/>
        </w:rPr>
        <w:t>号）的规定，本公司（单位）提供的以下产品属于本国产品。具体情况如下：</w:t>
      </w:r>
    </w:p>
    <w:p>
      <w:pPr>
        <w:pStyle w:val="37"/>
        <w:widowControl/>
        <w:shd w:val="clear" w:color="auto" w:fill="FFFFFF"/>
        <w:ind w:firstLine="420" w:firstLineChars="200"/>
        <w:jc w:val="left"/>
        <w:rPr>
          <w:rFonts w:ascii="宋体" w:hAnsi="宋体" w:cs="宋体"/>
          <w:color w:val="000000"/>
          <w:sz w:val="21"/>
          <w:szCs w:val="21"/>
        </w:rPr>
      </w:pPr>
      <w:r>
        <w:rPr>
          <w:rFonts w:ascii="Calibri" w:hAnsi="Calibri" w:cs="Calibri"/>
          <w:color w:val="000000"/>
          <w:sz w:val="21"/>
          <w:szCs w:val="21"/>
          <w:shd w:val="clear" w:color="auto" w:fill="FFFFFF"/>
        </w:rPr>
        <w:t>1.</w:t>
      </w:r>
      <w:r>
        <w:rPr>
          <w:rFonts w:hint="eastAsia" w:ascii="宋体" w:hAnsi="宋体"/>
          <w:b/>
          <w:bCs/>
          <w:i/>
          <w:iCs/>
          <w:sz w:val="21"/>
          <w:szCs w:val="21"/>
          <w:u w:val="single"/>
        </w:rPr>
        <w:t>（产品名称</w:t>
      </w:r>
      <w:r>
        <w:rPr>
          <w:rFonts w:ascii="宋体" w:hAnsi="宋体"/>
          <w:b/>
          <w:bCs/>
          <w:i/>
          <w:iCs/>
          <w:sz w:val="21"/>
          <w:szCs w:val="21"/>
          <w:u w:val="single"/>
        </w:rPr>
        <w:t>1</w:t>
      </w:r>
      <w:r>
        <w:rPr>
          <w:rFonts w:hint="eastAsia" w:ascii="宋体" w:hAnsi="宋体"/>
          <w:b/>
          <w:bCs/>
          <w:i/>
          <w:iCs/>
          <w:sz w:val="21"/>
          <w:szCs w:val="21"/>
          <w:u w:val="single"/>
        </w:rPr>
        <w:t>）</w:t>
      </w:r>
      <w:r>
        <w:rPr>
          <w:rFonts w:ascii="Calibri" w:hAnsi="Calibri" w:cs="Calibri"/>
          <w:color w:val="FF0000"/>
          <w:sz w:val="21"/>
          <w:szCs w:val="21"/>
          <w:shd w:val="clear" w:color="auto" w:fill="FFFFFF"/>
        </w:rPr>
        <w:t>1</w:t>
      </w:r>
      <w:r>
        <w:rPr>
          <w:rFonts w:hint="eastAsia" w:ascii="宋体" w:hAnsi="宋体" w:cs="宋体"/>
          <w:color w:val="000000"/>
          <w:sz w:val="21"/>
          <w:szCs w:val="21"/>
          <w:shd w:val="clear" w:color="auto" w:fill="FFFFFF"/>
        </w:rPr>
        <w:t>，生产厂为</w:t>
      </w:r>
      <w:r>
        <w:rPr>
          <w:rFonts w:hint="eastAsia" w:ascii="宋体" w:hAnsi="宋体"/>
          <w:b/>
          <w:bCs/>
          <w:i/>
          <w:iCs/>
          <w:sz w:val="21"/>
          <w:szCs w:val="21"/>
          <w:u w:val="single"/>
        </w:rPr>
        <w:t>（厂名）</w:t>
      </w:r>
      <w:r>
        <w:rPr>
          <w:rFonts w:ascii="Calibri" w:hAnsi="Calibri" w:cs="Calibri"/>
          <w:color w:val="FF0000"/>
          <w:sz w:val="21"/>
          <w:szCs w:val="21"/>
          <w:shd w:val="clear" w:color="auto" w:fill="FFFFFF"/>
        </w:rPr>
        <w:t>2</w:t>
      </w:r>
      <w:r>
        <w:rPr>
          <w:rFonts w:hint="eastAsia" w:ascii="宋体" w:hAnsi="宋体" w:cs="宋体"/>
          <w:color w:val="000000"/>
          <w:sz w:val="21"/>
          <w:szCs w:val="21"/>
          <w:shd w:val="clear" w:color="auto" w:fill="FFFFFF"/>
        </w:rPr>
        <w:t>，厂址为</w:t>
      </w:r>
      <w:r>
        <w:rPr>
          <w:rFonts w:hint="eastAsia" w:ascii="宋体" w:hAnsi="宋体"/>
          <w:b/>
          <w:bCs/>
          <w:i/>
          <w:iCs/>
          <w:sz w:val="21"/>
          <w:szCs w:val="21"/>
          <w:u w:val="single"/>
        </w:rPr>
        <w:t>（生产厂址）</w:t>
      </w:r>
      <w:r>
        <w:rPr>
          <w:rFonts w:hint="eastAsia" w:ascii="Calibri" w:hAnsi="Calibri" w:cs="Calibri"/>
          <w:color w:val="000000"/>
          <w:sz w:val="21"/>
          <w:szCs w:val="21"/>
          <w:shd w:val="clear" w:color="auto" w:fill="FFFFFF"/>
        </w:rPr>
        <w:t>。</w:t>
      </w:r>
      <w:r>
        <w:rPr>
          <w:rFonts w:hint="eastAsia" w:ascii="宋体" w:hAnsi="宋体"/>
          <w:b/>
          <w:bCs/>
          <w:i/>
          <w:iCs/>
          <w:sz w:val="21"/>
          <w:szCs w:val="21"/>
          <w:u w:val="single"/>
        </w:rPr>
        <w:t>（产品名称</w:t>
      </w:r>
      <w:r>
        <w:rPr>
          <w:rFonts w:ascii="宋体" w:hAnsi="宋体"/>
          <w:b/>
          <w:bCs/>
          <w:i/>
          <w:iCs/>
          <w:sz w:val="21"/>
          <w:szCs w:val="21"/>
          <w:u w:val="single"/>
        </w:rPr>
        <w:t>1</w:t>
      </w:r>
      <w:r>
        <w:rPr>
          <w:rFonts w:hint="eastAsia" w:ascii="宋体" w:hAnsi="宋体"/>
          <w:b/>
          <w:bCs/>
          <w:i/>
          <w:iCs/>
          <w:sz w:val="21"/>
          <w:szCs w:val="21"/>
          <w:u w:val="single"/>
        </w:rPr>
        <w:t>）</w:t>
      </w:r>
      <w:r>
        <w:rPr>
          <w:rFonts w:hint="eastAsia" w:ascii="宋体" w:hAnsi="宋体" w:cs="宋体"/>
          <w:color w:val="000000"/>
          <w:sz w:val="21"/>
          <w:szCs w:val="21"/>
          <w:shd w:val="clear" w:color="auto" w:fill="FFFFFF"/>
        </w:rPr>
        <w:t>的中国境内生产的组件成本占比≥</w:t>
      </w:r>
      <w:r>
        <w:rPr>
          <w:rFonts w:hint="eastAsia" w:ascii="宋体" w:hAnsi="宋体"/>
          <w:b/>
          <w:bCs/>
          <w:i/>
          <w:iCs/>
          <w:sz w:val="21"/>
          <w:szCs w:val="21"/>
          <w:u w:val="single"/>
        </w:rPr>
        <w:t>（规定比例）</w:t>
      </w:r>
      <w:r>
        <w:rPr>
          <w:rFonts w:ascii="Calibri" w:hAnsi="Calibri" w:cs="Calibri"/>
          <w:color w:val="FF0000"/>
          <w:sz w:val="21"/>
          <w:szCs w:val="21"/>
          <w:shd w:val="clear" w:color="auto" w:fill="FFFFFF"/>
        </w:rPr>
        <w:t>3</w:t>
      </w:r>
      <w:r>
        <w:rPr>
          <w:rFonts w:hint="eastAsia" w:ascii="宋体" w:hAnsi="宋体" w:cs="宋体"/>
          <w:color w:val="000000"/>
          <w:sz w:val="21"/>
          <w:szCs w:val="21"/>
          <w:shd w:val="clear" w:color="auto" w:fill="FFFFFF"/>
        </w:rPr>
        <w:t>。</w:t>
      </w:r>
      <w:r>
        <w:rPr>
          <w:rFonts w:hint="eastAsia" w:ascii="宋体" w:hAnsi="宋体"/>
          <w:b/>
          <w:bCs/>
          <w:i/>
          <w:iCs/>
          <w:sz w:val="21"/>
          <w:szCs w:val="21"/>
          <w:u w:val="single"/>
        </w:rPr>
        <w:t>（产品名称</w:t>
      </w:r>
      <w:r>
        <w:rPr>
          <w:rFonts w:ascii="宋体" w:hAnsi="宋体"/>
          <w:b/>
          <w:bCs/>
          <w:i/>
          <w:iCs/>
          <w:sz w:val="21"/>
          <w:szCs w:val="21"/>
          <w:u w:val="single"/>
        </w:rPr>
        <w:t>1</w:t>
      </w:r>
      <w:r>
        <w:rPr>
          <w:rFonts w:hint="eastAsia" w:ascii="宋体" w:hAnsi="宋体"/>
          <w:b/>
          <w:bCs/>
          <w:i/>
          <w:iCs/>
          <w:sz w:val="21"/>
          <w:szCs w:val="21"/>
          <w:u w:val="single"/>
        </w:rPr>
        <w:t>）</w:t>
      </w:r>
      <w:r>
        <w:rPr>
          <w:rFonts w:hint="eastAsia" w:ascii="宋体" w:hAnsi="宋体" w:cs="宋体"/>
          <w:color w:val="000000"/>
          <w:sz w:val="21"/>
          <w:szCs w:val="21"/>
          <w:shd w:val="clear" w:color="auto" w:fill="FFFFFF"/>
        </w:rPr>
        <w:t>的</w:t>
      </w:r>
      <w:r>
        <w:rPr>
          <w:rFonts w:hint="eastAsia" w:ascii="宋体" w:hAnsi="宋体"/>
          <w:b/>
          <w:bCs/>
          <w:i/>
          <w:iCs/>
          <w:sz w:val="21"/>
          <w:szCs w:val="21"/>
          <w:u w:val="single"/>
        </w:rPr>
        <w:t>（关键组件）</w:t>
      </w:r>
      <w:r>
        <w:rPr>
          <w:rFonts w:ascii="Calibri" w:hAnsi="Calibri" w:cs="Calibri"/>
          <w:color w:val="FF0000"/>
          <w:sz w:val="21"/>
          <w:szCs w:val="21"/>
          <w:shd w:val="clear" w:color="auto" w:fill="FFFFFF"/>
        </w:rPr>
        <w:t>4</w:t>
      </w:r>
      <w:r>
        <w:rPr>
          <w:rFonts w:hint="eastAsia" w:ascii="宋体" w:hAnsi="宋体" w:cs="宋体"/>
          <w:color w:val="000000"/>
          <w:sz w:val="21"/>
          <w:szCs w:val="21"/>
          <w:shd w:val="clear" w:color="auto" w:fill="FFFFFF"/>
        </w:rPr>
        <w:t>在中国境内生产。</w:t>
      </w:r>
      <w:r>
        <w:rPr>
          <w:rFonts w:hint="eastAsia" w:ascii="宋体" w:hAnsi="宋体"/>
          <w:b/>
          <w:bCs/>
          <w:i/>
          <w:iCs/>
          <w:sz w:val="21"/>
          <w:szCs w:val="21"/>
          <w:u w:val="single"/>
        </w:rPr>
        <w:t>（产品名称</w:t>
      </w:r>
      <w:r>
        <w:rPr>
          <w:rFonts w:ascii="宋体" w:hAnsi="宋体"/>
          <w:b/>
          <w:bCs/>
          <w:i/>
          <w:iCs/>
          <w:sz w:val="21"/>
          <w:szCs w:val="21"/>
          <w:u w:val="single"/>
        </w:rPr>
        <w:t>1</w:t>
      </w:r>
      <w:r>
        <w:rPr>
          <w:rFonts w:hint="eastAsia" w:ascii="宋体" w:hAnsi="宋体"/>
          <w:b/>
          <w:bCs/>
          <w:i/>
          <w:iCs/>
          <w:sz w:val="21"/>
          <w:szCs w:val="21"/>
          <w:u w:val="single"/>
        </w:rPr>
        <w:t>）</w:t>
      </w:r>
      <w:r>
        <w:rPr>
          <w:rFonts w:hint="eastAsia" w:ascii="宋体" w:hAnsi="宋体" w:cs="宋体"/>
          <w:color w:val="000000"/>
          <w:sz w:val="21"/>
          <w:szCs w:val="21"/>
          <w:shd w:val="clear" w:color="auto" w:fill="FFFFFF"/>
        </w:rPr>
        <w:t>的</w:t>
      </w:r>
      <w:r>
        <w:rPr>
          <w:rFonts w:hint="eastAsia" w:ascii="宋体" w:hAnsi="宋体"/>
          <w:b/>
          <w:bCs/>
          <w:i/>
          <w:iCs/>
          <w:sz w:val="21"/>
          <w:szCs w:val="21"/>
          <w:u w:val="single"/>
        </w:rPr>
        <w:t>（关键工序）</w:t>
      </w:r>
      <w:r>
        <w:rPr>
          <w:rFonts w:ascii="Calibri" w:hAnsi="Calibri" w:cs="Calibri"/>
          <w:color w:val="FF0000"/>
          <w:sz w:val="21"/>
          <w:szCs w:val="21"/>
          <w:shd w:val="clear" w:color="auto" w:fill="FFFFFF"/>
        </w:rPr>
        <w:t>5</w:t>
      </w:r>
      <w:r>
        <w:rPr>
          <w:rFonts w:hint="eastAsia" w:ascii="宋体" w:hAnsi="宋体" w:cs="宋体"/>
          <w:color w:val="000000"/>
          <w:sz w:val="21"/>
          <w:szCs w:val="21"/>
          <w:shd w:val="clear" w:color="auto" w:fill="FFFFFF"/>
        </w:rPr>
        <w:t>在中国境内完成。</w:t>
      </w:r>
    </w:p>
    <w:p>
      <w:pPr>
        <w:pStyle w:val="37"/>
        <w:widowControl/>
        <w:shd w:val="clear" w:color="auto" w:fill="FFFFFF"/>
        <w:ind w:firstLine="420" w:firstLineChars="200"/>
        <w:jc w:val="left"/>
        <w:rPr>
          <w:rFonts w:ascii="宋体" w:hAnsi="宋体" w:cs="宋体"/>
          <w:color w:val="000000"/>
          <w:sz w:val="21"/>
          <w:szCs w:val="21"/>
        </w:rPr>
      </w:pPr>
      <w:r>
        <w:rPr>
          <w:rFonts w:hint="eastAsia" w:ascii="Calibri" w:hAnsi="Calibri" w:cs="Calibri"/>
          <w:color w:val="000000"/>
          <w:sz w:val="21"/>
          <w:szCs w:val="21"/>
          <w:shd w:val="clear" w:color="auto" w:fill="FFFFFF"/>
        </w:rPr>
        <w:t>2</w:t>
      </w:r>
      <w:r>
        <w:rPr>
          <w:rFonts w:ascii="Calibri" w:hAnsi="Calibri" w:cs="Calibri"/>
          <w:color w:val="000000"/>
          <w:sz w:val="21"/>
          <w:szCs w:val="21"/>
          <w:shd w:val="clear" w:color="auto" w:fill="FFFFFF"/>
        </w:rPr>
        <w:t>.</w:t>
      </w:r>
      <w:r>
        <w:rPr>
          <w:rFonts w:hint="eastAsia" w:ascii="宋体" w:hAnsi="宋体"/>
          <w:b/>
          <w:bCs/>
          <w:i/>
          <w:iCs/>
          <w:sz w:val="21"/>
          <w:szCs w:val="21"/>
          <w:u w:val="single"/>
        </w:rPr>
        <w:t>（产品名称2）</w:t>
      </w:r>
      <w:r>
        <w:rPr>
          <w:rFonts w:hint="eastAsia" w:ascii="宋体" w:hAnsi="宋体" w:cs="宋体"/>
          <w:color w:val="000000"/>
          <w:sz w:val="21"/>
          <w:szCs w:val="21"/>
          <w:shd w:val="clear" w:color="auto" w:fill="FFFFFF"/>
        </w:rPr>
        <w:t>，生产厂为</w:t>
      </w:r>
      <w:r>
        <w:rPr>
          <w:rFonts w:hint="eastAsia" w:ascii="宋体" w:hAnsi="宋体"/>
          <w:b/>
          <w:bCs/>
          <w:i/>
          <w:iCs/>
          <w:sz w:val="21"/>
          <w:szCs w:val="21"/>
          <w:u w:val="single"/>
        </w:rPr>
        <w:t>（厂名）</w:t>
      </w:r>
      <w:r>
        <w:rPr>
          <w:rFonts w:hint="eastAsia" w:ascii="宋体" w:hAnsi="宋体" w:cs="宋体"/>
          <w:color w:val="000000"/>
          <w:sz w:val="21"/>
          <w:szCs w:val="21"/>
          <w:shd w:val="clear" w:color="auto" w:fill="FFFFFF"/>
        </w:rPr>
        <w:t>，厂址为</w:t>
      </w:r>
      <w:r>
        <w:rPr>
          <w:rFonts w:hint="eastAsia" w:ascii="宋体" w:hAnsi="宋体"/>
          <w:b/>
          <w:bCs/>
          <w:i/>
          <w:iCs/>
          <w:sz w:val="21"/>
          <w:szCs w:val="21"/>
          <w:u w:val="single"/>
        </w:rPr>
        <w:t>（生产厂址）</w:t>
      </w:r>
      <w:r>
        <w:rPr>
          <w:rFonts w:hint="eastAsia" w:ascii="宋体" w:hAnsi="宋体" w:cs="宋体"/>
          <w:color w:val="000000"/>
          <w:sz w:val="21"/>
          <w:szCs w:val="21"/>
          <w:shd w:val="clear" w:color="auto" w:fill="FFFFFF"/>
        </w:rPr>
        <w:t>。</w:t>
      </w:r>
      <w:r>
        <w:rPr>
          <w:rFonts w:hint="eastAsia" w:ascii="宋体" w:hAnsi="宋体"/>
          <w:b/>
          <w:bCs/>
          <w:i/>
          <w:iCs/>
          <w:sz w:val="21"/>
          <w:szCs w:val="21"/>
          <w:u w:val="single"/>
        </w:rPr>
        <w:t>（产品名称2）</w:t>
      </w:r>
      <w:r>
        <w:rPr>
          <w:rFonts w:hint="eastAsia" w:ascii="宋体" w:hAnsi="宋体" w:cs="宋体"/>
          <w:color w:val="000000"/>
          <w:sz w:val="21"/>
          <w:szCs w:val="21"/>
          <w:shd w:val="clear" w:color="auto" w:fill="FFFFFF"/>
        </w:rPr>
        <w:t>的中国境内生产的组件成本占比≥</w:t>
      </w:r>
      <w:r>
        <w:rPr>
          <w:rFonts w:hint="eastAsia" w:ascii="宋体" w:hAnsi="宋体"/>
          <w:b/>
          <w:bCs/>
          <w:i/>
          <w:iCs/>
          <w:sz w:val="21"/>
          <w:szCs w:val="21"/>
          <w:u w:val="single"/>
        </w:rPr>
        <w:t>（规定比例）</w:t>
      </w:r>
      <w:r>
        <w:rPr>
          <w:rFonts w:hint="eastAsia" w:ascii="宋体" w:hAnsi="宋体" w:cs="宋体"/>
          <w:color w:val="000000"/>
          <w:sz w:val="21"/>
          <w:szCs w:val="21"/>
          <w:shd w:val="clear" w:color="auto" w:fill="FFFFFF"/>
        </w:rPr>
        <w:t>。</w:t>
      </w:r>
      <w:r>
        <w:rPr>
          <w:rFonts w:hint="eastAsia" w:ascii="宋体" w:hAnsi="宋体"/>
          <w:b/>
          <w:bCs/>
          <w:i/>
          <w:iCs/>
          <w:sz w:val="21"/>
          <w:szCs w:val="21"/>
          <w:u w:val="single"/>
        </w:rPr>
        <w:t>（产品名称2）</w:t>
      </w:r>
      <w:r>
        <w:rPr>
          <w:rFonts w:hint="eastAsia" w:ascii="宋体" w:hAnsi="宋体" w:cs="宋体"/>
          <w:color w:val="000000"/>
          <w:sz w:val="21"/>
          <w:szCs w:val="21"/>
          <w:shd w:val="clear" w:color="auto" w:fill="FFFFFF"/>
        </w:rPr>
        <w:t>的</w:t>
      </w:r>
      <w:r>
        <w:rPr>
          <w:rFonts w:hint="eastAsia" w:ascii="宋体" w:hAnsi="宋体"/>
          <w:b/>
          <w:bCs/>
          <w:i/>
          <w:iCs/>
          <w:sz w:val="21"/>
          <w:szCs w:val="21"/>
          <w:u w:val="single"/>
        </w:rPr>
        <w:t>（关键组件）</w:t>
      </w:r>
      <w:r>
        <w:rPr>
          <w:rFonts w:hint="eastAsia" w:ascii="宋体" w:hAnsi="宋体" w:cs="宋体"/>
          <w:color w:val="000000"/>
          <w:sz w:val="21"/>
          <w:szCs w:val="21"/>
          <w:shd w:val="clear" w:color="auto" w:fill="FFFFFF"/>
        </w:rPr>
        <w:t>在中国境内生产。</w:t>
      </w:r>
      <w:r>
        <w:rPr>
          <w:rFonts w:hint="eastAsia" w:ascii="宋体" w:hAnsi="宋体"/>
          <w:b/>
          <w:bCs/>
          <w:i/>
          <w:iCs/>
          <w:sz w:val="21"/>
          <w:szCs w:val="21"/>
          <w:u w:val="single"/>
        </w:rPr>
        <w:t>（产品名称2）</w:t>
      </w:r>
      <w:r>
        <w:rPr>
          <w:rFonts w:hint="eastAsia" w:ascii="宋体" w:hAnsi="宋体" w:cs="宋体"/>
          <w:color w:val="000000"/>
          <w:sz w:val="21"/>
          <w:szCs w:val="21"/>
          <w:shd w:val="clear" w:color="auto" w:fill="FFFFFF"/>
        </w:rPr>
        <w:t>的</w:t>
      </w:r>
      <w:r>
        <w:rPr>
          <w:rFonts w:hint="eastAsia" w:ascii="宋体" w:hAnsi="宋体"/>
          <w:b/>
          <w:bCs/>
          <w:i/>
          <w:iCs/>
          <w:sz w:val="21"/>
          <w:szCs w:val="21"/>
          <w:u w:val="single"/>
        </w:rPr>
        <w:t>（关键工序）</w:t>
      </w:r>
      <w:r>
        <w:rPr>
          <w:rFonts w:hint="eastAsia" w:ascii="宋体" w:hAnsi="宋体" w:cs="宋体"/>
          <w:color w:val="000000"/>
          <w:sz w:val="21"/>
          <w:szCs w:val="21"/>
          <w:shd w:val="clear" w:color="auto" w:fill="FFFFFF"/>
        </w:rPr>
        <w:t>在中国境内完成。</w:t>
      </w:r>
    </w:p>
    <w:p>
      <w:pPr>
        <w:pStyle w:val="37"/>
        <w:widowControl/>
        <w:shd w:val="clear" w:color="auto" w:fill="FFFFFF"/>
        <w:ind w:firstLine="420" w:firstLineChars="200"/>
        <w:jc w:val="left"/>
        <w:rPr>
          <w:rFonts w:ascii="宋体" w:hAnsi="宋体" w:cs="宋体"/>
          <w:color w:val="000000"/>
          <w:sz w:val="21"/>
          <w:szCs w:val="21"/>
          <w:shd w:val="clear" w:color="auto" w:fill="FFFFFF"/>
        </w:rPr>
      </w:pPr>
      <w:r>
        <w:rPr>
          <w:rFonts w:hint="eastAsia" w:ascii="宋体" w:hAnsi="宋体" w:cs="宋体"/>
          <w:color w:val="000000"/>
          <w:sz w:val="21"/>
          <w:szCs w:val="21"/>
          <w:shd w:val="clear" w:color="auto" w:fill="FFFFFF"/>
        </w:rPr>
        <w:t>……</w:t>
      </w:r>
    </w:p>
    <w:p>
      <w:pPr>
        <w:pStyle w:val="37"/>
        <w:widowControl/>
        <w:shd w:val="clear" w:color="auto" w:fill="FFFFFF"/>
        <w:ind w:firstLine="421" w:firstLineChars="200"/>
        <w:jc w:val="left"/>
        <w:rPr>
          <w:rFonts w:ascii="宋体" w:hAnsi="宋体" w:cs="宋体"/>
          <w:color w:val="000000" w:themeColor="text1"/>
          <w:sz w:val="21"/>
          <w:szCs w:val="21"/>
          <w:shd w:val="clear" w:color="auto" w:fill="FFFFFF"/>
          <w14:textFill>
            <w14:solidFill>
              <w14:schemeClr w14:val="tx1"/>
            </w14:solidFill>
          </w14:textFill>
        </w:rPr>
      </w:pPr>
      <w:r>
        <w:rPr>
          <w:rFonts w:hint="eastAsia" w:ascii="宋体" w:hAnsi="宋体" w:cs="宋体"/>
          <w:b/>
          <w:bCs/>
          <w:color w:val="000000" w:themeColor="text1"/>
          <w:sz w:val="21"/>
          <w:szCs w:val="21"/>
          <w:shd w:val="clear" w:color="auto" w:fill="FFFFFF"/>
          <w14:textFill>
            <w14:solidFill>
              <w14:schemeClr w14:val="tx1"/>
            </w14:solidFill>
          </w14:textFill>
        </w:rPr>
        <w:t>本公司（单位）提供上述符合本国产品标准的产品成本之和占本公司（单位）提供的全部产品成本之和的比例达到</w:t>
      </w:r>
      <w:r>
        <w:rPr>
          <w:rFonts w:hint="eastAsia" w:ascii="宋体" w:hAnsi="宋体"/>
          <w:b/>
          <w:bCs/>
          <w:i/>
          <w:iCs/>
          <w:color w:val="000000" w:themeColor="text1"/>
          <w:sz w:val="21"/>
          <w:szCs w:val="21"/>
          <w:u w:val="single"/>
          <w14:textFill>
            <w14:solidFill>
              <w14:schemeClr w14:val="tx1"/>
            </w14:solidFill>
          </w14:textFill>
        </w:rPr>
        <w:t>（具体比例）</w:t>
      </w:r>
      <w:r>
        <w:rPr>
          <w:rFonts w:hint="eastAsia" w:ascii="宋体" w:hAnsi="宋体" w:cs="宋体"/>
          <w:b/>
          <w:bCs/>
          <w:color w:val="FF0000"/>
          <w:sz w:val="21"/>
          <w:szCs w:val="21"/>
          <w:shd w:val="clear" w:color="auto" w:fill="FFFFFF"/>
        </w:rPr>
        <w:t>6</w:t>
      </w:r>
      <w:r>
        <w:rPr>
          <w:rFonts w:hint="eastAsia" w:ascii="宋体" w:hAnsi="宋体" w:cs="宋体"/>
          <w:b/>
          <w:bCs/>
          <w:color w:val="000000" w:themeColor="text1"/>
          <w:sz w:val="21"/>
          <w:szCs w:val="21"/>
          <w:shd w:val="clear" w:color="auto" w:fill="FFFFFF"/>
          <w14:textFill>
            <w14:solidFill>
              <w14:schemeClr w14:val="tx1"/>
            </w14:solidFill>
          </w14:textFill>
        </w:rPr>
        <w:t>。</w:t>
      </w:r>
    </w:p>
    <w:p>
      <w:pPr>
        <w:pStyle w:val="37"/>
        <w:widowControl/>
        <w:shd w:val="clear" w:color="auto" w:fill="FFFFFF"/>
        <w:ind w:firstLine="420" w:firstLineChars="200"/>
        <w:jc w:val="left"/>
        <w:rPr>
          <w:rFonts w:ascii="宋体" w:hAnsi="宋体" w:cs="宋体"/>
          <w:color w:val="000000"/>
          <w:sz w:val="21"/>
          <w:szCs w:val="21"/>
        </w:rPr>
      </w:pPr>
      <w:r>
        <w:rPr>
          <w:rFonts w:hint="eastAsia" w:ascii="宋体" w:hAnsi="宋体" w:cs="宋体"/>
          <w:color w:val="000000"/>
          <w:sz w:val="21"/>
          <w:szCs w:val="21"/>
          <w:shd w:val="clear" w:color="auto" w:fill="FFFFFF"/>
        </w:rPr>
        <w:t>本公司（单位）对上述声明内容的真实性负责。如有虚假，愿承担相应法律责任。</w:t>
      </w:r>
    </w:p>
    <w:p>
      <w:pPr>
        <w:pStyle w:val="37"/>
        <w:widowControl/>
        <w:shd w:val="clear" w:color="auto" w:fill="FFFFFF"/>
        <w:ind w:right="840" w:rightChars="400"/>
        <w:jc w:val="right"/>
        <w:rPr>
          <w:rFonts w:ascii="宋体" w:hAnsi="宋体" w:cs="宋体"/>
          <w:color w:val="000000"/>
          <w:sz w:val="21"/>
          <w:szCs w:val="21"/>
          <w:shd w:val="clear" w:color="auto" w:fill="FFFFFF"/>
        </w:rPr>
      </w:pPr>
    </w:p>
    <w:p>
      <w:pPr>
        <w:pStyle w:val="37"/>
        <w:widowControl/>
        <w:shd w:val="clear" w:color="auto" w:fill="FFFFFF"/>
        <w:ind w:right="840" w:rightChars="400"/>
        <w:jc w:val="right"/>
        <w:rPr>
          <w:rFonts w:ascii="宋体" w:hAnsi="宋体" w:cs="宋体"/>
          <w:color w:val="000000"/>
          <w:sz w:val="21"/>
          <w:szCs w:val="21"/>
        </w:rPr>
      </w:pPr>
      <w:r>
        <w:rPr>
          <w:rFonts w:hint="eastAsia" w:ascii="宋体" w:hAnsi="宋体" w:cs="宋体"/>
          <w:color w:val="000000"/>
          <w:sz w:val="21"/>
          <w:szCs w:val="21"/>
          <w:shd w:val="clear" w:color="auto" w:fill="FFFFFF"/>
        </w:rPr>
        <w:t>公司（单位）名称：</w:t>
      </w:r>
    </w:p>
    <w:p>
      <w:pPr>
        <w:pStyle w:val="37"/>
        <w:widowControl/>
        <w:shd w:val="clear" w:color="auto" w:fill="FFFFFF"/>
        <w:ind w:right="840" w:rightChars="400"/>
        <w:jc w:val="right"/>
        <w:rPr>
          <w:rFonts w:ascii="宋体" w:hAnsi="宋体" w:cs="宋体"/>
          <w:color w:val="000000"/>
          <w:sz w:val="21"/>
          <w:szCs w:val="21"/>
        </w:rPr>
      </w:pPr>
      <w:r>
        <w:rPr>
          <w:rFonts w:hint="eastAsia" w:ascii="宋体" w:hAnsi="宋体" w:cs="宋体"/>
          <w:color w:val="000000"/>
          <w:sz w:val="21"/>
          <w:szCs w:val="21"/>
          <w:shd w:val="clear" w:color="auto" w:fill="FFFFFF"/>
        </w:rPr>
        <w:t>日期：    年  月  日</w:t>
      </w:r>
    </w:p>
    <w:p>
      <w:pPr>
        <w:ind w:left="723" w:hanging="722" w:hangingChars="300"/>
        <w:rPr>
          <w:b/>
          <w:sz w:val="24"/>
        </w:rPr>
      </w:pPr>
    </w:p>
    <w:p/>
    <w:p>
      <w:pPr>
        <w:pStyle w:val="5"/>
        <w:jc w:val="center"/>
        <w:rPr>
          <w:rFonts w:hint="eastAsia" w:ascii="黑体" w:eastAsia="黑体"/>
          <w:b w:val="0"/>
          <w:sz w:val="24"/>
        </w:rPr>
      </w:pPr>
      <w:r>
        <w:rPr>
          <w:rFonts w:hint="eastAsia" w:ascii="黑体" w:eastAsia="黑体"/>
          <w:b w:val="0"/>
          <w:sz w:val="24"/>
        </w:rPr>
        <w:t>四、体系认证情况</w:t>
      </w:r>
    </w:p>
    <w:p>
      <w:pPr>
        <w:pStyle w:val="5"/>
        <w:jc w:val="center"/>
        <w:rPr>
          <w:rFonts w:hint="eastAsia" w:ascii="黑体" w:eastAsia="黑体"/>
          <w:b w:val="0"/>
          <w:sz w:val="24"/>
        </w:rPr>
      </w:pPr>
    </w:p>
    <w:p>
      <w:pPr>
        <w:pStyle w:val="5"/>
        <w:jc w:val="center"/>
        <w:rPr>
          <w:rFonts w:hint="eastAsia" w:ascii="黑体" w:eastAsia="黑体"/>
          <w:b w:val="0"/>
          <w:sz w:val="24"/>
        </w:rPr>
      </w:pPr>
      <w:r>
        <w:rPr>
          <w:rFonts w:hint="eastAsia" w:ascii="黑体" w:eastAsia="黑体"/>
          <w:b w:val="0"/>
          <w:sz w:val="24"/>
          <w:lang w:val="en-US" w:eastAsia="zh-CN"/>
        </w:rPr>
        <w:t>五、</w:t>
      </w:r>
      <w:r>
        <w:rPr>
          <w:rFonts w:hint="eastAsia" w:ascii="黑体" w:eastAsia="黑体"/>
          <w:b w:val="0"/>
          <w:sz w:val="24"/>
        </w:rPr>
        <w:t>投标人自主知识产权产品（创新、设计）情况</w:t>
      </w:r>
    </w:p>
    <w:p>
      <w:pPr>
        <w:pStyle w:val="5"/>
        <w:jc w:val="center"/>
        <w:rPr>
          <w:rFonts w:hint="eastAsia" w:ascii="黑体" w:eastAsia="黑体"/>
          <w:b w:val="0"/>
          <w:sz w:val="24"/>
        </w:rPr>
      </w:pPr>
    </w:p>
    <w:p>
      <w:pPr>
        <w:pStyle w:val="5"/>
        <w:jc w:val="center"/>
        <w:rPr>
          <w:rFonts w:ascii="黑体" w:eastAsia="黑体"/>
          <w:b w:val="0"/>
          <w:sz w:val="24"/>
        </w:rPr>
      </w:pPr>
      <w:r>
        <w:rPr>
          <w:rFonts w:hint="eastAsia" w:ascii="黑体" w:eastAsia="黑体"/>
          <w:b w:val="0"/>
          <w:sz w:val="24"/>
          <w:lang w:val="en-US" w:eastAsia="zh-CN"/>
        </w:rPr>
        <w:t>六、</w:t>
      </w:r>
      <w:r>
        <w:rPr>
          <w:rFonts w:hint="eastAsia" w:ascii="黑体" w:eastAsia="黑体"/>
          <w:b w:val="0"/>
          <w:sz w:val="24"/>
        </w:rPr>
        <w:t>本地化服务能力</w:t>
      </w:r>
    </w:p>
    <w:p>
      <w:pPr>
        <w:pStyle w:val="2"/>
      </w:pPr>
    </w:p>
    <w:p>
      <w:pPr>
        <w:ind w:firstLine="1445" w:firstLineChars="600"/>
        <w:rPr>
          <w:b/>
          <w:color w:val="FF0000"/>
          <w:sz w:val="24"/>
        </w:rPr>
      </w:pPr>
      <w:r>
        <w:rPr>
          <w:rFonts w:hint="eastAsia"/>
          <w:b/>
          <w:color w:val="FF0000"/>
          <w:sz w:val="24"/>
        </w:rPr>
        <w:t>（信息公开部分的内容到此为止！以下为信息不公开部分。）</w:t>
      </w:r>
    </w:p>
    <w:p>
      <w:pPr>
        <w:jc w:val="center"/>
        <w:rPr>
          <w:b/>
          <w:sz w:val="32"/>
          <w:szCs w:val="32"/>
        </w:rPr>
      </w:pPr>
    </w:p>
    <w:p>
      <w:pPr>
        <w:rPr>
          <w:rFonts w:ascii="仿宋_GB2312" w:eastAsia="仿宋_GB2312"/>
          <w:b/>
          <w:sz w:val="30"/>
          <w:szCs w:val="30"/>
        </w:rPr>
      </w:pPr>
      <w:r>
        <w:rPr>
          <w:rFonts w:hint="eastAsia" w:ascii="仿宋_GB2312" w:eastAsia="仿宋_GB2312"/>
          <w:b/>
          <w:sz w:val="30"/>
          <w:szCs w:val="30"/>
        </w:rPr>
        <w:br w:type="page"/>
      </w:r>
    </w:p>
    <w:p>
      <w:pPr>
        <w:outlineLvl w:val="1"/>
        <w:rPr>
          <w:rFonts w:ascii="宋体" w:hAnsi="宋体"/>
          <w:b/>
          <w:color w:val="FF0000"/>
          <w:sz w:val="28"/>
          <w:szCs w:val="28"/>
        </w:rPr>
      </w:pPr>
      <w:r>
        <w:rPr>
          <w:rFonts w:hint="eastAsia" w:ascii="宋体" w:hAnsi="宋体"/>
          <w:b/>
          <w:color w:val="FF0000"/>
          <w:sz w:val="28"/>
          <w:szCs w:val="28"/>
        </w:rPr>
        <w:t>投标文件附件（信息不公开部分）</w:t>
      </w:r>
    </w:p>
    <w:p>
      <w:pPr>
        <w:pStyle w:val="192"/>
        <w:rPr>
          <w:rFonts w:ascii="宋体" w:hAnsi="宋体"/>
          <w:b/>
          <w:color w:val="FF0000"/>
          <w:sz w:val="28"/>
          <w:szCs w:val="28"/>
        </w:rPr>
      </w:pPr>
    </w:p>
    <w:p>
      <w:pPr>
        <w:pStyle w:val="5"/>
        <w:jc w:val="center"/>
        <w:rPr>
          <w:rFonts w:ascii="黑体" w:eastAsia="黑体"/>
          <w:b w:val="0"/>
          <w:sz w:val="24"/>
        </w:rPr>
      </w:pPr>
      <w:r>
        <w:rPr>
          <w:rFonts w:hint="eastAsia" w:ascii="黑体" w:eastAsia="黑体"/>
          <w:b w:val="0"/>
          <w:sz w:val="24"/>
        </w:rPr>
        <w:t>一、供应商基本情况表</w:t>
      </w:r>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5"/>
        <w:gridCol w:w="1530"/>
        <w:gridCol w:w="904"/>
        <w:gridCol w:w="752"/>
        <w:gridCol w:w="1146"/>
        <w:gridCol w:w="1429"/>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vAlign w:val="center"/>
          </w:tcPr>
          <w:p>
            <w:pPr>
              <w:rPr>
                <w:rFonts w:ascii="宋体" w:hAnsi="宋体" w:cs="宋体"/>
                <w:szCs w:val="21"/>
              </w:rPr>
            </w:pPr>
            <w:r>
              <w:rPr>
                <w:rFonts w:hint="eastAsia" w:ascii="宋体" w:hAnsi="宋体" w:cs="宋体"/>
                <w:szCs w:val="21"/>
              </w:rPr>
              <w:t>投标（响应）供应商</w:t>
            </w:r>
          </w:p>
        </w:tc>
        <w:tc>
          <w:tcPr>
            <w:tcW w:w="1427" w:type="pct"/>
            <w:gridSpan w:val="2"/>
            <w:vAlign w:val="center"/>
          </w:tcPr>
          <w:p>
            <w:pPr>
              <w:jc w:val="center"/>
              <w:rPr>
                <w:rFonts w:ascii="宋体" w:hAnsi="宋体" w:cs="宋体"/>
                <w:szCs w:val="21"/>
              </w:rPr>
            </w:pPr>
          </w:p>
        </w:tc>
        <w:tc>
          <w:tcPr>
            <w:tcW w:w="1113" w:type="pct"/>
            <w:gridSpan w:val="2"/>
            <w:vAlign w:val="center"/>
          </w:tcPr>
          <w:p>
            <w:pPr>
              <w:jc w:val="center"/>
              <w:rPr>
                <w:rFonts w:ascii="宋体" w:hAnsi="宋体" w:cs="宋体"/>
                <w:szCs w:val="21"/>
              </w:rPr>
            </w:pPr>
            <w:r>
              <w:rPr>
                <w:rFonts w:hint="eastAsia" w:ascii="宋体" w:hAnsi="宋体" w:cs="宋体"/>
                <w:szCs w:val="21"/>
              </w:rPr>
              <w:t>项目名称及编号</w:t>
            </w:r>
          </w:p>
        </w:tc>
        <w:tc>
          <w:tcPr>
            <w:tcW w:w="1669" w:type="pct"/>
            <w:gridSpan w:val="2"/>
            <w:vAlign w:val="center"/>
          </w:tcPr>
          <w:p>
            <w:pPr>
              <w:jc w:val="center"/>
              <w:rPr>
                <w:rFonts w:ascii="宋体" w:hAnsi="宋体" w:cs="宋体"/>
                <w:szCs w:val="21"/>
              </w:rPr>
            </w:pPr>
            <w:r>
              <w:rPr>
                <w:rFonts w:hint="eastAsia" w:ascii="宋体" w:hAnsi="宋体" w:cs="宋体"/>
                <w:szCs w:val="21"/>
              </w:rPr>
              <w:t>盐田区沙头角、海山片区公共绿地（含栈道、绿道）综合管理服务项目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jc w:val="center"/>
              <w:rPr>
                <w:rFonts w:ascii="宋体" w:hAnsi="宋体" w:cs="宋体"/>
                <w:szCs w:val="21"/>
              </w:rPr>
            </w:pPr>
            <w:r>
              <w:rPr>
                <w:rFonts w:hint="eastAsia" w:ascii="宋体" w:hAnsi="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snapToGrid w:val="0"/>
              <w:jc w:val="center"/>
              <w:rPr>
                <w:rFonts w:ascii="宋体" w:hAnsi="宋体" w:cs="宋体"/>
                <w:szCs w:val="21"/>
              </w:rPr>
            </w:pPr>
            <w:r>
              <w:rPr>
                <w:rFonts w:hint="eastAsia" w:ascii="宋体" w:hAnsi="宋体" w:cs="宋体"/>
                <w:szCs w:val="21"/>
              </w:rPr>
              <w:t>序号</w:t>
            </w:r>
          </w:p>
        </w:tc>
        <w:tc>
          <w:tcPr>
            <w:tcW w:w="1275"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职务</w:t>
            </w:r>
          </w:p>
        </w:tc>
        <w:tc>
          <w:tcPr>
            <w:tcW w:w="529" w:type="pct"/>
            <w:tcBorders>
              <w:bottom w:val="single" w:color="auto" w:sz="4" w:space="0"/>
            </w:tcBorders>
            <w:vAlign w:val="center"/>
          </w:tcPr>
          <w:p>
            <w:pPr>
              <w:jc w:val="center"/>
              <w:rPr>
                <w:rFonts w:ascii="宋体" w:hAnsi="宋体" w:cs="宋体"/>
                <w:szCs w:val="21"/>
              </w:rPr>
            </w:pPr>
            <w:r>
              <w:rPr>
                <w:rFonts w:hint="eastAsia" w:ascii="宋体" w:hAnsi="宋体" w:cs="宋体"/>
                <w:szCs w:val="21"/>
              </w:rPr>
              <w:t>姓名</w:t>
            </w:r>
          </w:p>
        </w:tc>
        <w:tc>
          <w:tcPr>
            <w:tcW w:w="1113"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身份证号码</w:t>
            </w:r>
          </w:p>
        </w:tc>
        <w:tc>
          <w:tcPr>
            <w:tcW w:w="838" w:type="pct"/>
            <w:tcBorders>
              <w:bottom w:val="single" w:color="auto" w:sz="4" w:space="0"/>
            </w:tcBorders>
            <w:vAlign w:val="center"/>
          </w:tcPr>
          <w:p>
            <w:pPr>
              <w:snapToGrid w:val="0"/>
              <w:jc w:val="center"/>
              <w:rPr>
                <w:rFonts w:ascii="宋体" w:hAnsi="宋体" w:cs="宋体"/>
                <w:szCs w:val="21"/>
              </w:rPr>
            </w:pPr>
            <w:r>
              <w:rPr>
                <w:rFonts w:hint="eastAsia" w:ascii="宋体" w:hAnsi="宋体" w:cs="宋体"/>
                <w:szCs w:val="21"/>
              </w:rPr>
              <w:t>劳动合同</w:t>
            </w:r>
          </w:p>
          <w:p>
            <w:pPr>
              <w:snapToGrid w:val="0"/>
              <w:jc w:val="center"/>
              <w:rPr>
                <w:rFonts w:ascii="宋体" w:hAnsi="宋体" w:cs="宋体"/>
                <w:szCs w:val="21"/>
              </w:rPr>
            </w:pPr>
            <w:r>
              <w:rPr>
                <w:rFonts w:hint="eastAsia" w:ascii="宋体" w:hAnsi="宋体" w:cs="宋体"/>
                <w:szCs w:val="21"/>
              </w:rPr>
              <w:t>关系单位</w:t>
            </w:r>
          </w:p>
        </w:tc>
        <w:tc>
          <w:tcPr>
            <w:tcW w:w="830" w:type="pct"/>
            <w:tcBorders>
              <w:bottom w:val="single" w:color="auto" w:sz="4" w:space="0"/>
            </w:tcBorders>
            <w:vAlign w:val="center"/>
          </w:tcPr>
          <w:p>
            <w:pPr>
              <w:snapToGrid w:val="0"/>
              <w:jc w:val="center"/>
              <w:rPr>
                <w:rFonts w:ascii="宋体" w:hAnsi="宋体" w:cs="宋体"/>
                <w:szCs w:val="21"/>
              </w:rPr>
            </w:pPr>
            <w:r>
              <w:rPr>
                <w:rFonts w:hint="eastAsia" w:ascii="宋体" w:hAnsi="宋体" w:cs="宋体"/>
                <w:szCs w:val="21"/>
              </w:rPr>
              <w:t>缴纳社会</w:t>
            </w:r>
          </w:p>
          <w:p>
            <w:pPr>
              <w:snapToGrid w:val="0"/>
              <w:jc w:val="center"/>
              <w:rPr>
                <w:rFonts w:ascii="宋体" w:hAnsi="宋体" w:cs="宋体"/>
                <w:szCs w:val="21"/>
              </w:rPr>
            </w:pPr>
            <w:r>
              <w:rPr>
                <w:rFonts w:hint="eastAsia" w:ascii="宋体" w:hAnsi="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vAlign w:val="center"/>
          </w:tcPr>
          <w:p>
            <w:pPr>
              <w:jc w:val="center"/>
              <w:rPr>
                <w:rFonts w:ascii="宋体" w:hAnsi="宋体" w:cs="宋体"/>
                <w:szCs w:val="21"/>
              </w:rPr>
            </w:pPr>
            <w:r>
              <w:rPr>
                <w:rFonts w:hint="eastAsia" w:ascii="宋体" w:hAnsi="宋体" w:cs="宋体"/>
                <w:szCs w:val="21"/>
                <w:lang w:bidi="ar"/>
              </w:rPr>
              <w:t>3</w:t>
            </w:r>
          </w:p>
        </w:tc>
        <w:tc>
          <w:tcPr>
            <w:tcW w:w="1275" w:type="pct"/>
            <w:gridSpan w:val="2"/>
            <w:tcBorders>
              <w:top w:val="single" w:color="auto" w:sz="4" w:space="0"/>
            </w:tcBorders>
            <w:vAlign w:val="center"/>
          </w:tcPr>
          <w:p>
            <w:pPr>
              <w:jc w:val="center"/>
              <w:rPr>
                <w:rFonts w:ascii="宋体" w:hAnsi="宋体" w:cs="宋体"/>
                <w:szCs w:val="21"/>
              </w:rPr>
            </w:pPr>
            <w:r>
              <w:rPr>
                <w:rFonts w:hint="eastAsia" w:ascii="宋体" w:hAnsi="宋体" w:cs="宋体"/>
                <w:szCs w:val="21"/>
              </w:rPr>
              <w:t>项目负责人</w:t>
            </w:r>
          </w:p>
        </w:tc>
        <w:tc>
          <w:tcPr>
            <w:tcW w:w="529" w:type="pct"/>
            <w:tcBorders>
              <w:top w:val="single" w:color="auto" w:sz="4" w:space="0"/>
            </w:tcBorders>
            <w:vAlign w:val="center"/>
          </w:tcPr>
          <w:p>
            <w:pPr>
              <w:jc w:val="center"/>
              <w:rPr>
                <w:rFonts w:ascii="宋体" w:hAnsi="宋体" w:cs="宋体"/>
                <w:szCs w:val="21"/>
              </w:rPr>
            </w:pPr>
          </w:p>
        </w:tc>
        <w:tc>
          <w:tcPr>
            <w:tcW w:w="1113" w:type="pct"/>
            <w:gridSpan w:val="2"/>
            <w:tcBorders>
              <w:top w:val="single" w:color="auto" w:sz="4" w:space="0"/>
            </w:tcBorders>
            <w:vAlign w:val="center"/>
          </w:tcPr>
          <w:p>
            <w:pPr>
              <w:jc w:val="center"/>
              <w:rPr>
                <w:rFonts w:ascii="宋体" w:hAnsi="宋体" w:cs="宋体"/>
                <w:szCs w:val="21"/>
              </w:rPr>
            </w:pPr>
          </w:p>
        </w:tc>
        <w:tc>
          <w:tcPr>
            <w:tcW w:w="838" w:type="pct"/>
            <w:tcBorders>
              <w:top w:val="single" w:color="auto" w:sz="4" w:space="0"/>
            </w:tcBorders>
            <w:vAlign w:val="center"/>
          </w:tcPr>
          <w:p>
            <w:pPr>
              <w:jc w:val="center"/>
              <w:rPr>
                <w:rFonts w:ascii="宋体" w:hAnsi="宋体" w:cs="宋体"/>
                <w:szCs w:val="21"/>
              </w:rPr>
            </w:pPr>
          </w:p>
        </w:tc>
        <w:tc>
          <w:tcPr>
            <w:tcW w:w="830" w:type="pct"/>
            <w:tcBorders>
              <w:top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pPr>
              <w:jc w:val="center"/>
              <w:rPr>
                <w:rFonts w:ascii="宋体" w:hAnsi="宋体" w:cs="宋体"/>
                <w:szCs w:val="21"/>
              </w:rPr>
            </w:pPr>
            <w:r>
              <w:rPr>
                <w:rFonts w:hint="eastAsia" w:ascii="宋体" w:hAnsi="宋体" w:cs="宋体"/>
                <w:szCs w:val="21"/>
                <w:lang w:bidi="ar"/>
              </w:rPr>
              <w:t>4</w:t>
            </w:r>
          </w:p>
        </w:tc>
        <w:tc>
          <w:tcPr>
            <w:tcW w:w="1275" w:type="pct"/>
            <w:gridSpan w:val="2"/>
            <w:vAlign w:val="center"/>
          </w:tcPr>
          <w:p>
            <w:pPr>
              <w:jc w:val="center"/>
              <w:rPr>
                <w:rFonts w:ascii="宋体" w:hAnsi="宋体" w:cs="宋体"/>
                <w:szCs w:val="21"/>
              </w:rPr>
            </w:pPr>
            <w:r>
              <w:rPr>
                <w:rFonts w:hint="eastAsia" w:ascii="宋体" w:hAnsi="宋体" w:cs="宋体"/>
                <w:szCs w:val="21"/>
              </w:rPr>
              <w:t>主要技术人员</w:t>
            </w:r>
          </w:p>
        </w:tc>
        <w:tc>
          <w:tcPr>
            <w:tcW w:w="529" w:type="pct"/>
            <w:vAlign w:val="center"/>
          </w:tcPr>
          <w:p>
            <w:pPr>
              <w:jc w:val="center"/>
              <w:rPr>
                <w:rFonts w:ascii="宋体" w:hAnsi="宋体" w:cs="宋体"/>
                <w:szCs w:val="21"/>
              </w:rPr>
            </w:pPr>
          </w:p>
        </w:tc>
        <w:tc>
          <w:tcPr>
            <w:tcW w:w="1113" w:type="pct"/>
            <w:gridSpan w:val="2"/>
            <w:vAlign w:val="center"/>
          </w:tcPr>
          <w:p>
            <w:pPr>
              <w:jc w:val="center"/>
              <w:rPr>
                <w:rFonts w:ascii="宋体" w:hAnsi="宋体" w:cs="宋体"/>
                <w:szCs w:val="21"/>
              </w:rPr>
            </w:pPr>
          </w:p>
        </w:tc>
        <w:tc>
          <w:tcPr>
            <w:tcW w:w="838" w:type="pct"/>
            <w:vAlign w:val="center"/>
          </w:tcPr>
          <w:p>
            <w:pPr>
              <w:jc w:val="center"/>
              <w:rPr>
                <w:rFonts w:ascii="宋体" w:hAnsi="宋体" w:cs="宋体"/>
                <w:szCs w:val="21"/>
              </w:rPr>
            </w:pPr>
          </w:p>
        </w:tc>
        <w:tc>
          <w:tcPr>
            <w:tcW w:w="830"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 w:type="pct"/>
            <w:vAlign w:val="center"/>
          </w:tcPr>
          <w:p>
            <w:pPr>
              <w:jc w:val="center"/>
              <w:rPr>
                <w:rFonts w:ascii="宋体" w:hAnsi="宋体" w:cs="宋体"/>
                <w:szCs w:val="21"/>
              </w:rPr>
            </w:pPr>
            <w:r>
              <w:rPr>
                <w:rFonts w:hint="eastAsia" w:ascii="宋体" w:hAnsi="宋体" w:cs="宋体"/>
                <w:szCs w:val="21"/>
                <w:lang w:bidi="ar"/>
              </w:rPr>
              <w:t>5</w:t>
            </w:r>
          </w:p>
        </w:tc>
        <w:tc>
          <w:tcPr>
            <w:tcW w:w="1275" w:type="pct"/>
            <w:gridSpan w:val="2"/>
            <w:vAlign w:val="center"/>
          </w:tcPr>
          <w:p>
            <w:pPr>
              <w:snapToGrid w:val="0"/>
              <w:jc w:val="center"/>
              <w:rPr>
                <w:rFonts w:ascii="宋体" w:hAnsi="宋体" w:cs="宋体"/>
                <w:szCs w:val="21"/>
              </w:rPr>
            </w:pPr>
            <w:r>
              <w:rPr>
                <w:rFonts w:hint="eastAsia" w:ascii="宋体" w:hAnsi="宋体" w:cs="宋体"/>
                <w:szCs w:val="21"/>
              </w:rPr>
              <w:t>投标文件编制人员</w:t>
            </w:r>
          </w:p>
        </w:tc>
        <w:tc>
          <w:tcPr>
            <w:tcW w:w="529" w:type="pct"/>
            <w:vAlign w:val="center"/>
          </w:tcPr>
          <w:p>
            <w:pPr>
              <w:jc w:val="center"/>
              <w:rPr>
                <w:rFonts w:ascii="宋体" w:hAnsi="宋体" w:cs="宋体"/>
                <w:szCs w:val="21"/>
              </w:rPr>
            </w:pPr>
          </w:p>
        </w:tc>
        <w:tc>
          <w:tcPr>
            <w:tcW w:w="1113" w:type="pct"/>
            <w:gridSpan w:val="2"/>
            <w:vAlign w:val="center"/>
          </w:tcPr>
          <w:p>
            <w:pPr>
              <w:jc w:val="center"/>
              <w:rPr>
                <w:rFonts w:ascii="宋体" w:hAnsi="宋体" w:cs="宋体"/>
                <w:szCs w:val="21"/>
              </w:rPr>
            </w:pPr>
          </w:p>
        </w:tc>
        <w:tc>
          <w:tcPr>
            <w:tcW w:w="838" w:type="pct"/>
            <w:vAlign w:val="center"/>
          </w:tcPr>
          <w:p>
            <w:pPr>
              <w:jc w:val="center"/>
              <w:rPr>
                <w:rFonts w:ascii="宋体" w:hAnsi="宋体" w:cs="宋体"/>
                <w:szCs w:val="21"/>
              </w:rPr>
            </w:pPr>
          </w:p>
        </w:tc>
        <w:tc>
          <w:tcPr>
            <w:tcW w:w="830"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rPr>
                <w:rFonts w:ascii="宋体" w:hAnsi="宋体" w:cs="宋体"/>
                <w:szCs w:val="21"/>
              </w:rPr>
            </w:pPr>
            <w:r>
              <w:rPr>
                <w:rFonts w:hint="eastAsia" w:ascii="宋体" w:hAnsi="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pPr>
              <w:jc w:val="center"/>
              <w:rPr>
                <w:rFonts w:ascii="宋体" w:hAnsi="宋体" w:cs="宋体"/>
                <w:b/>
                <w:bCs/>
                <w:szCs w:val="21"/>
              </w:rPr>
            </w:pPr>
            <w:r>
              <w:rPr>
                <w:rFonts w:hint="eastAsia" w:ascii="宋体" w:hAnsi="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jc w:val="center"/>
              <w:rPr>
                <w:rFonts w:ascii="宋体" w:hAnsi="宋体" w:cs="宋体"/>
                <w:szCs w:val="21"/>
                <w:lang w:bidi="ar"/>
              </w:rPr>
            </w:pPr>
            <w:r>
              <w:rPr>
                <w:rFonts w:hint="eastAsia" w:ascii="宋体" w:hAnsi="宋体" w:cs="宋体"/>
                <w:szCs w:val="21"/>
                <w:lang w:bidi="ar"/>
              </w:rPr>
              <w:t>序号</w:t>
            </w:r>
          </w:p>
        </w:tc>
        <w:tc>
          <w:tcPr>
            <w:tcW w:w="1275"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关联关系类型</w:t>
            </w:r>
          </w:p>
        </w:tc>
        <w:tc>
          <w:tcPr>
            <w:tcW w:w="971"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关联主体名称</w:t>
            </w:r>
          </w:p>
        </w:tc>
        <w:tc>
          <w:tcPr>
            <w:tcW w:w="2340" w:type="pct"/>
            <w:gridSpan w:val="3"/>
            <w:tcBorders>
              <w:bottom w:val="single" w:color="auto" w:sz="4" w:space="0"/>
            </w:tcBorders>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lang w:bidi="ar"/>
              </w:rPr>
            </w:pPr>
            <w:r>
              <w:rPr>
                <w:rFonts w:hint="eastAsia" w:ascii="宋体" w:hAnsi="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lang w:bidi="ar"/>
              </w:rPr>
            </w:pPr>
            <w:r>
              <w:rPr>
                <w:rFonts w:hint="eastAsia" w:ascii="宋体" w:hAnsi="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b/>
                <w:bCs/>
                <w:szCs w:val="21"/>
              </w:rPr>
              <w:t>说明：同一关联关系类型有多个主体的，应分行填写。</w:t>
            </w:r>
          </w:p>
        </w:tc>
      </w:tr>
    </w:tbl>
    <w:p>
      <w:pPr>
        <w:pStyle w:val="192"/>
        <w:rPr>
          <w:rFonts w:ascii="宋体" w:hAnsi="宋体"/>
          <w:b/>
          <w:color w:val="FF0000"/>
          <w:sz w:val="28"/>
          <w:szCs w:val="28"/>
        </w:rPr>
      </w:pPr>
    </w:p>
    <w:p>
      <w:pPr>
        <w:pStyle w:val="192"/>
        <w:rPr>
          <w:rFonts w:ascii="宋体" w:hAnsi="宋体"/>
          <w:b/>
          <w:color w:val="FF0000"/>
          <w:sz w:val="28"/>
          <w:szCs w:val="28"/>
        </w:rPr>
      </w:pPr>
      <w:r>
        <w:rPr>
          <w:rFonts w:hint="eastAsia" w:ascii="黑体" w:hAnsi="黑体" w:eastAsia="黑体" w:cs="黑体"/>
          <w:b/>
          <w:bCs/>
          <w:color w:val="FF0000"/>
          <w:sz w:val="24"/>
          <w:szCs w:val="24"/>
        </w:rPr>
        <w:t>温馨提示：</w:t>
      </w:r>
      <w:r>
        <w:rPr>
          <w:rFonts w:hint="eastAsia" w:ascii="Times New Roman" w:hAnsi="Times New Roman"/>
          <w:color w:val="FF0000"/>
          <w:szCs w:val="21"/>
        </w:rPr>
        <w:t>为避免出现《深圳经济特区政府采购条例实施细则》第七十七条第一款第（三）项所列情形（项目负责人或者主要技术人员不是本单位人员的），请投标供应商核实贵单本项目负责人（如有）、主要技术人员（如有）等是否在贵单位缴纳社会保险。</w:t>
      </w:r>
    </w:p>
    <w:p>
      <w:pPr>
        <w:pStyle w:val="192"/>
        <w:rPr>
          <w:rFonts w:ascii="宋体" w:hAnsi="宋体"/>
          <w:b/>
          <w:color w:val="FF0000"/>
          <w:sz w:val="28"/>
          <w:szCs w:val="28"/>
        </w:rPr>
      </w:pPr>
    </w:p>
    <w:p>
      <w:pPr>
        <w:pStyle w:val="5"/>
        <w:jc w:val="center"/>
        <w:rPr>
          <w:rFonts w:ascii="黑体" w:eastAsia="黑体"/>
          <w:b w:val="0"/>
          <w:sz w:val="24"/>
        </w:rPr>
      </w:pPr>
      <w:r>
        <w:rPr>
          <w:rFonts w:hint="eastAsia" w:ascii="黑体" w:eastAsia="黑体"/>
          <w:b w:val="0"/>
          <w:sz w:val="24"/>
        </w:rPr>
        <w:t>二、</w:t>
      </w:r>
      <w:bookmarkStart w:id="46" w:name="_Hlk72092499"/>
      <w:r>
        <w:rPr>
          <w:rFonts w:hint="eastAsia" w:ascii="黑体" w:eastAsia="黑体"/>
          <w:b w:val="0"/>
          <w:sz w:val="24"/>
        </w:rPr>
        <w:t>法定代表人（负责人）证明书</w:t>
      </w:r>
      <w:bookmarkEnd w:id="46"/>
    </w:p>
    <w:p>
      <w:pPr>
        <w:rPr>
          <w:sz w:val="24"/>
        </w:rPr>
      </w:pPr>
    </w:p>
    <w:p>
      <w:pPr>
        <w:spacing w:line="360" w:lineRule="auto"/>
        <w:ind w:firstLine="420" w:firstLineChars="200"/>
        <w:rPr>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特此证明。</w:t>
      </w:r>
    </w:p>
    <w:p>
      <w:pPr>
        <w:spacing w:line="360" w:lineRule="auto"/>
        <w:ind w:firstLine="420" w:firstLineChars="200"/>
        <w:rPr>
          <w:szCs w:val="21"/>
        </w:rPr>
      </w:pPr>
      <w:r>
        <w:rPr>
          <w:rFonts w:hint="eastAsia"/>
          <w:szCs w:val="21"/>
        </w:rPr>
        <w:t>说明：1、法定代表人为投标人（企业事业单位、国家机关、社会团体）的主要行政负责人。</w:t>
      </w:r>
    </w:p>
    <w:p>
      <w:pPr>
        <w:numPr>
          <w:ilvl w:val="0"/>
          <w:numId w:val="109"/>
        </w:numPr>
        <w:spacing w:line="360" w:lineRule="auto"/>
        <w:ind w:firstLine="420" w:firstLineChars="200"/>
        <w:rPr>
          <w:szCs w:val="21"/>
        </w:rPr>
      </w:pPr>
      <w:r>
        <w:rPr>
          <w:rFonts w:hint="eastAsia"/>
          <w:szCs w:val="21"/>
          <w:lang w:eastAsia="zh-Hans"/>
        </w:rPr>
        <w:t>本证明书</w:t>
      </w:r>
      <w:r>
        <w:rPr>
          <w:rFonts w:hint="eastAsia"/>
          <w:szCs w:val="21"/>
        </w:rPr>
        <w:t>需提</w:t>
      </w:r>
      <w:r>
        <w:rPr>
          <w:rFonts w:hint="eastAsia"/>
          <w:szCs w:val="21"/>
          <w:lang w:eastAsia="zh-Hans"/>
        </w:rPr>
        <w:t>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pPr>
        <w:numPr>
          <w:ilvl w:val="0"/>
          <w:numId w:val="109"/>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pPr>
        <w:numPr>
          <w:ilvl w:val="0"/>
          <w:numId w:val="109"/>
        </w:numPr>
        <w:spacing w:line="360" w:lineRule="auto"/>
        <w:ind w:firstLine="420" w:firstLineChars="200"/>
        <w:rPr>
          <w:szCs w:val="21"/>
        </w:rPr>
      </w:pPr>
      <w:r>
        <w:rPr>
          <w:rFonts w:hint="eastAsia"/>
          <w:szCs w:val="21"/>
        </w:rPr>
        <w:t>内容必须填写真实、清楚，涂改无效，不得转让、买卖。</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2"/>
            </w:pPr>
          </w:p>
          <w:p>
            <w:pPr>
              <w:pStyle w:val="3"/>
            </w:pPr>
          </w:p>
          <w:p>
            <w:pPr>
              <w:pStyle w:val="3"/>
            </w:pPr>
          </w:p>
          <w:p>
            <w:pPr>
              <w:pStyle w:val="3"/>
            </w:pPr>
          </w:p>
        </w:tc>
        <w:tc>
          <w:tcPr>
            <w:tcW w:w="4265" w:type="dxa"/>
          </w:tcPr>
          <w:p>
            <w:pPr>
              <w:jc w:val="center"/>
            </w:pPr>
            <w:r>
              <w:rPr>
                <w:rFonts w:hint="eastAsia"/>
              </w:rPr>
              <w:t>证件扫描件反面</w:t>
            </w:r>
          </w:p>
          <w:p>
            <w:pPr>
              <w:pStyle w:val="2"/>
              <w:jc w:val="center"/>
            </w:pPr>
          </w:p>
          <w:p>
            <w:pPr>
              <w:pStyle w:val="3"/>
              <w:jc w:val="center"/>
            </w:pPr>
          </w:p>
        </w:tc>
      </w:tr>
    </w:tbl>
    <w:p>
      <w:pPr>
        <w:pStyle w:val="192"/>
        <w:rPr>
          <w:rFonts w:ascii="黑体" w:hAnsi="黑体" w:eastAsia="黑体" w:cs="黑体"/>
          <w:b/>
          <w:bCs/>
          <w:sz w:val="24"/>
          <w:szCs w:val="24"/>
        </w:rPr>
      </w:pPr>
    </w:p>
    <w:p>
      <w:pPr>
        <w:pStyle w:val="192"/>
        <w:rPr>
          <w:sz w:val="24"/>
        </w:r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szCs w:val="21"/>
        </w:rPr>
        <w:t>为避免出现《深圳经济特区政府采购条例实施细则》第七十五条第二项所列情形（不同投标供应商的法定代表人、主要经营负责人、项目投标授权代表人、项目负责人、主要技术人员为同一人、属同一单位或者在同一单位缴纳社会保险），请投标供应商核实贵单位法定代表人、本项目投标授权代表人、项目负责人（如有）、主要技术人员（如有）等是否在贵单位缴纳社会保险。</w:t>
      </w:r>
    </w:p>
    <w:p>
      <w:pPr>
        <w:rPr>
          <w:sz w:val="24"/>
        </w:rPr>
      </w:pPr>
    </w:p>
    <w:p>
      <w:pPr>
        <w:pStyle w:val="5"/>
        <w:spacing w:before="120" w:after="120"/>
        <w:jc w:val="center"/>
        <w:rPr>
          <w:rFonts w:ascii="黑体" w:eastAsia="黑体"/>
          <w:b w:val="0"/>
          <w:sz w:val="24"/>
        </w:rPr>
      </w:pPr>
      <w:r>
        <w:rPr>
          <w:rFonts w:hint="eastAsia" w:ascii="黑体" w:eastAsia="黑体"/>
          <w:b w:val="0"/>
          <w:sz w:val="24"/>
        </w:rPr>
        <w:t>三、投标文件签署授权委托书</w:t>
      </w: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szCs w:val="21"/>
        </w:rPr>
      </w:pPr>
      <w:r>
        <w:rPr>
          <w:rFonts w:hint="eastAsia"/>
          <w:szCs w:val="21"/>
        </w:rPr>
        <w:t>代理人无转委托权，特此委托。</w:t>
      </w:r>
    </w:p>
    <w:p>
      <w:pPr>
        <w:spacing w:line="360" w:lineRule="auto"/>
        <w:ind w:firstLine="420" w:firstLineChars="200"/>
        <w:rPr>
          <w:szCs w:val="21"/>
        </w:rPr>
      </w:pPr>
    </w:p>
    <w:p>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Pr>
        <w:spacing w:line="360" w:lineRule="auto"/>
        <w:ind w:firstLine="421"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2"/>
            </w:pPr>
          </w:p>
          <w:p>
            <w:pPr>
              <w:pStyle w:val="3"/>
            </w:pPr>
          </w:p>
          <w:p>
            <w:pPr>
              <w:pStyle w:val="3"/>
            </w:pPr>
          </w:p>
          <w:p>
            <w:pPr>
              <w:pStyle w:val="3"/>
            </w:pPr>
          </w:p>
        </w:tc>
        <w:tc>
          <w:tcPr>
            <w:tcW w:w="4265" w:type="dxa"/>
          </w:tcPr>
          <w:p>
            <w:pPr>
              <w:jc w:val="center"/>
            </w:pPr>
            <w:r>
              <w:rPr>
                <w:rFonts w:hint="eastAsia"/>
              </w:rPr>
              <w:t>证件扫描件反面</w:t>
            </w:r>
          </w:p>
          <w:p>
            <w:pPr>
              <w:pStyle w:val="2"/>
              <w:jc w:val="center"/>
            </w:pPr>
          </w:p>
          <w:p>
            <w:pPr>
              <w:pStyle w:val="3"/>
              <w:jc w:val="center"/>
            </w:pPr>
          </w:p>
        </w:tc>
      </w:tr>
    </w:tbl>
    <w:p>
      <w:pPr>
        <w:pStyle w:val="192"/>
        <w:rPr>
          <w:rFonts w:ascii="黑体" w:hAnsi="黑体" w:eastAsia="黑体" w:cs="黑体"/>
          <w:b/>
          <w:bCs/>
          <w:sz w:val="24"/>
          <w:szCs w:val="24"/>
        </w:rPr>
      </w:pPr>
    </w:p>
    <w:p>
      <w:pPr>
        <w:pStyle w:val="192"/>
        <w:rPr>
          <w:sz w:val="24"/>
        </w:r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szCs w:val="21"/>
        </w:rPr>
        <w:t>为避免出现《深圳经济特区政府采购条例实施细则》第七十五条第二项所列情形（不同投标供应商的法定代表人、主要经营负责人、项目投标授权代表人、项目负责人、主要技术人员为同一人、属同一单位或者在同一单位缴纳社会保险），请投标供应商核实贵单位法定代表人、本项目投标授权代表人、项目负责人（如有）、主要技术人员（如有）等是否在贵单位缴纳社会保险。</w:t>
      </w:r>
    </w:p>
    <w:p/>
    <w:p>
      <w:pPr>
        <w:pStyle w:val="5"/>
        <w:numPr>
          <w:ilvl w:val="0"/>
          <w:numId w:val="110"/>
        </w:numPr>
        <w:jc w:val="center"/>
      </w:pPr>
      <w:r>
        <w:rPr>
          <w:rFonts w:hint="eastAsia" w:ascii="黑体" w:eastAsia="黑体"/>
          <w:b w:val="0"/>
          <w:sz w:val="24"/>
          <w:szCs w:val="24"/>
        </w:rPr>
        <w:t>项目详细报价</w:t>
      </w:r>
    </w:p>
    <w:p>
      <w:pPr>
        <w:tabs>
          <w:tab w:val="left" w:pos="720"/>
        </w:tabs>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（一）项目详细报价总表</w:t>
      </w:r>
    </w:p>
    <w:tbl>
      <w:tblPr>
        <w:tblStyle w:val="42"/>
        <w:tblW w:w="928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980"/>
        <w:gridCol w:w="1800"/>
        <w:gridCol w:w="252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2988" w:type="dxa"/>
            <w:tcBorders>
              <w:top w:val="double" w:color="auto" w:sz="4" w:space="0"/>
              <w:bottom w:val="single" w:color="auto" w:sz="4" w:space="0"/>
            </w:tcBorders>
            <w:vAlign w:val="center"/>
          </w:tcPr>
          <w:p>
            <w:pPr>
              <w:rPr>
                <w:rFonts w:asciiTheme="minorEastAsia" w:hAnsiTheme="minorEastAsia" w:eastAsiaTheme="minorEastAsia"/>
                <w:snapToGrid w:val="0"/>
                <w:color w:val="auto"/>
                <w:kern w:val="0"/>
                <w:highlight w:val="none"/>
              </w:rPr>
            </w:pPr>
            <w:r>
              <w:rPr>
                <w:rFonts w:hint="eastAsia" w:asciiTheme="minorEastAsia" w:hAnsiTheme="minorEastAsia" w:eastAsiaTheme="minorEastAsia"/>
                <w:snapToGrid w:val="0"/>
                <w:color w:val="auto"/>
                <w:kern w:val="0"/>
                <w:highlight w:val="none"/>
              </w:rPr>
              <w:t>项目名称</w:t>
            </w:r>
          </w:p>
        </w:tc>
        <w:tc>
          <w:tcPr>
            <w:tcW w:w="1980" w:type="dxa"/>
            <w:tcBorders>
              <w:top w:val="double" w:color="auto" w:sz="4" w:space="0"/>
              <w:bottom w:val="single" w:color="auto" w:sz="4" w:space="0"/>
            </w:tcBorders>
            <w:vAlign w:val="center"/>
          </w:tcPr>
          <w:p>
            <w:pPr>
              <w:rPr>
                <w:rFonts w:asciiTheme="minorEastAsia" w:hAnsiTheme="minorEastAsia" w:eastAsiaTheme="minorEastAsia"/>
                <w:snapToGrid w:val="0"/>
                <w:color w:val="auto"/>
                <w:kern w:val="0"/>
                <w:highlight w:val="none"/>
              </w:rPr>
            </w:pPr>
            <w:r>
              <w:rPr>
                <w:rFonts w:hint="eastAsia" w:asciiTheme="minorEastAsia" w:hAnsiTheme="minorEastAsia" w:eastAsiaTheme="minorEastAsia"/>
                <w:snapToGrid w:val="0"/>
                <w:color w:val="auto"/>
                <w:kern w:val="0"/>
                <w:highlight w:val="none"/>
              </w:rPr>
              <w:t>投标总价</w:t>
            </w:r>
          </w:p>
        </w:tc>
        <w:tc>
          <w:tcPr>
            <w:tcW w:w="1800" w:type="dxa"/>
            <w:tcBorders>
              <w:top w:val="double" w:color="auto" w:sz="4" w:space="0"/>
              <w:bottom w:val="single" w:color="auto" w:sz="4" w:space="0"/>
            </w:tcBorders>
            <w:vAlign w:val="center"/>
          </w:tcPr>
          <w:p>
            <w:pPr>
              <w:rPr>
                <w:rFonts w:asciiTheme="minorEastAsia" w:hAnsiTheme="minorEastAsia" w:eastAsiaTheme="minorEastAsia"/>
                <w:snapToGrid w:val="0"/>
                <w:color w:val="auto"/>
                <w:kern w:val="0"/>
                <w:highlight w:val="none"/>
              </w:rPr>
            </w:pPr>
            <w:r>
              <w:rPr>
                <w:rFonts w:hint="eastAsia" w:asciiTheme="minorEastAsia" w:hAnsiTheme="minorEastAsia" w:eastAsiaTheme="minorEastAsia"/>
                <w:snapToGrid w:val="0"/>
                <w:color w:val="auto"/>
                <w:kern w:val="0"/>
                <w:highlight w:val="none"/>
              </w:rPr>
              <w:t>投标单价（如有）</w:t>
            </w:r>
          </w:p>
        </w:tc>
        <w:tc>
          <w:tcPr>
            <w:tcW w:w="2520" w:type="dxa"/>
            <w:tcBorders>
              <w:top w:val="double" w:color="auto" w:sz="4" w:space="0"/>
              <w:bottom w:val="single" w:color="auto" w:sz="4" w:space="0"/>
            </w:tcBorders>
            <w:vAlign w:val="center"/>
          </w:tcPr>
          <w:p>
            <w:pPr>
              <w:rPr>
                <w:rFonts w:asciiTheme="minorEastAsia" w:hAnsiTheme="minorEastAsia" w:eastAsiaTheme="minorEastAsia"/>
                <w:snapToGrid w:val="0"/>
                <w:color w:val="auto"/>
                <w:kern w:val="0"/>
                <w:highlight w:val="none"/>
              </w:rPr>
            </w:pPr>
            <w:r>
              <w:rPr>
                <w:rFonts w:hint="eastAsia" w:asciiTheme="minorEastAsia" w:hAnsiTheme="minorEastAsia" w:eastAsiaTheme="minorEastAsia"/>
                <w:snapToGrid w:val="0"/>
                <w:color w:val="auto"/>
                <w:kern w:val="0"/>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2988" w:type="dxa"/>
            <w:tcBorders>
              <w:top w:val="single" w:color="auto" w:sz="4" w:space="0"/>
            </w:tcBorders>
            <w:vAlign w:val="center"/>
          </w:tcPr>
          <w:p>
            <w:pPr>
              <w:rPr>
                <w:rFonts w:asciiTheme="minorEastAsia" w:hAnsiTheme="minorEastAsia" w:eastAsiaTheme="minorEastAsia"/>
                <w:snapToGrid w:val="0"/>
                <w:color w:val="auto"/>
                <w:kern w:val="0"/>
                <w:highlight w:val="none"/>
                <w:u w:val="single"/>
              </w:rPr>
            </w:pPr>
          </w:p>
        </w:tc>
        <w:tc>
          <w:tcPr>
            <w:tcW w:w="1980" w:type="dxa"/>
            <w:tcBorders>
              <w:top w:val="single" w:color="auto" w:sz="4" w:space="0"/>
            </w:tcBorders>
            <w:vAlign w:val="center"/>
          </w:tcPr>
          <w:p>
            <w:pPr>
              <w:rPr>
                <w:rFonts w:asciiTheme="minorEastAsia" w:hAnsiTheme="minorEastAsia" w:eastAsiaTheme="minorEastAsia"/>
                <w:snapToGrid w:val="0"/>
                <w:color w:val="auto"/>
                <w:kern w:val="0"/>
                <w:highlight w:val="none"/>
              </w:rPr>
            </w:pPr>
          </w:p>
        </w:tc>
        <w:tc>
          <w:tcPr>
            <w:tcW w:w="1800" w:type="dxa"/>
            <w:tcBorders>
              <w:top w:val="single" w:color="auto" w:sz="4" w:space="0"/>
            </w:tcBorders>
            <w:vAlign w:val="center"/>
          </w:tcPr>
          <w:p>
            <w:pPr>
              <w:rPr>
                <w:rFonts w:asciiTheme="minorEastAsia" w:hAnsiTheme="minorEastAsia" w:eastAsiaTheme="minorEastAsia"/>
                <w:snapToGrid w:val="0"/>
                <w:color w:val="auto"/>
                <w:kern w:val="0"/>
                <w:highlight w:val="none"/>
              </w:rPr>
            </w:pPr>
          </w:p>
        </w:tc>
        <w:tc>
          <w:tcPr>
            <w:tcW w:w="2520" w:type="dxa"/>
            <w:tcBorders>
              <w:top w:val="single" w:color="auto" w:sz="4" w:space="0"/>
            </w:tcBorders>
            <w:vAlign w:val="center"/>
          </w:tcPr>
          <w:p>
            <w:pPr>
              <w:rPr>
                <w:rFonts w:asciiTheme="minorEastAsia" w:hAnsiTheme="minorEastAsia" w:eastAsiaTheme="minorEastAsia"/>
                <w:snapToGrid w:val="0"/>
                <w:color w:val="auto"/>
                <w:kern w:val="0"/>
                <w:highlight w:val="none"/>
              </w:rPr>
            </w:pPr>
          </w:p>
        </w:tc>
      </w:tr>
    </w:tbl>
    <w:p>
      <w:pPr>
        <w:rPr>
          <w:rFonts w:asciiTheme="minorEastAsia" w:hAnsiTheme="minorEastAsia" w:eastAsiaTheme="minorEastAsia"/>
          <w:snapToGrid w:val="0"/>
          <w:color w:val="auto"/>
          <w:kern w:val="0"/>
          <w:szCs w:val="21"/>
          <w:highlight w:val="none"/>
        </w:rPr>
      </w:pPr>
      <w:r>
        <w:rPr>
          <w:rFonts w:hint="eastAsia" w:asciiTheme="minorEastAsia" w:hAnsiTheme="minorEastAsia" w:eastAsiaTheme="minorEastAsia"/>
          <w:b/>
          <w:snapToGrid w:val="0"/>
          <w:color w:val="auto"/>
          <w:kern w:val="0"/>
          <w:highlight w:val="none"/>
        </w:rPr>
        <w:t xml:space="preserve">注：  </w:t>
      </w:r>
      <w:r>
        <w:rPr>
          <w:rFonts w:hint="eastAsia" w:asciiTheme="minorEastAsia" w:hAnsiTheme="minorEastAsia" w:eastAsiaTheme="minorEastAsia"/>
          <w:snapToGrid w:val="0"/>
          <w:color w:val="auto"/>
          <w:kern w:val="0"/>
          <w:highlight w:val="none"/>
        </w:rPr>
        <w:t>（</w:t>
      </w:r>
      <w:r>
        <w:rPr>
          <w:rFonts w:hint="eastAsia" w:asciiTheme="minorEastAsia" w:hAnsiTheme="minorEastAsia" w:eastAsiaTheme="minorEastAsia"/>
          <w:snapToGrid w:val="0"/>
          <w:color w:val="auto"/>
          <w:kern w:val="0"/>
          <w:szCs w:val="21"/>
          <w:highlight w:val="none"/>
        </w:rPr>
        <w:t>1）价格应按“招标文件”中规定的货币单位填写。</w:t>
      </w:r>
    </w:p>
    <w:p>
      <w:pPr>
        <w:rPr>
          <w:rFonts w:asciiTheme="minorEastAsia" w:hAnsiTheme="minorEastAsia" w:eastAsiaTheme="minorEastAsia"/>
          <w:snapToGrid w:val="0"/>
          <w:color w:val="auto"/>
          <w:kern w:val="0"/>
          <w:szCs w:val="21"/>
          <w:highlight w:val="none"/>
        </w:rPr>
      </w:pPr>
      <w:r>
        <w:rPr>
          <w:rFonts w:hint="eastAsia" w:asciiTheme="minorEastAsia" w:hAnsiTheme="minorEastAsia" w:eastAsiaTheme="minorEastAsia"/>
          <w:snapToGrid w:val="0"/>
          <w:color w:val="auto"/>
          <w:kern w:val="0"/>
          <w:szCs w:val="21"/>
          <w:highlight w:val="none"/>
        </w:rPr>
        <w:t xml:space="preserve">      （2）投标人如果需要对报价或其它内容加以说明，可在备注栏填写。</w:t>
      </w:r>
    </w:p>
    <w:p>
      <w:pPr>
        <w:tabs>
          <w:tab w:val="left" w:pos="315"/>
          <w:tab w:val="left" w:pos="420"/>
          <w:tab w:val="left" w:pos="540"/>
          <w:tab w:val="left" w:pos="1440"/>
          <w:tab w:val="left" w:pos="1620"/>
        </w:tabs>
        <w:ind w:firstLine="613" w:firstLineChars="292"/>
        <w:rPr>
          <w:rFonts w:cs="宋体" w:asciiTheme="minorEastAsia" w:hAnsiTheme="minorEastAsia" w:eastAsiaTheme="minorEastAsia"/>
          <w:b/>
          <w:color w:val="auto"/>
          <w:kern w:val="0"/>
          <w:szCs w:val="21"/>
          <w:highlight w:val="none"/>
        </w:rPr>
      </w:pPr>
      <w:r>
        <w:rPr>
          <w:rFonts w:hint="eastAsia" w:cs="Arial" w:asciiTheme="minorEastAsia" w:hAnsiTheme="minorEastAsia" w:eastAsiaTheme="minorEastAsia"/>
          <w:color w:val="auto"/>
          <w:szCs w:val="21"/>
          <w:highlight w:val="none"/>
        </w:rPr>
        <w:t>（3）投标报价以人民币报价。总价内包含相关的费用有：</w:t>
      </w:r>
      <w:r>
        <w:rPr>
          <w:rFonts w:hint="eastAsia" w:asciiTheme="minorEastAsia" w:hAnsiTheme="minorEastAsia" w:eastAsiaTheme="minorEastAsia"/>
          <w:color w:val="auto"/>
          <w:szCs w:val="21"/>
          <w:highlight w:val="none"/>
        </w:rPr>
        <w:t>人员费用、所需的设备和仪器费用、耗材费用、管理费用、利润以及项目管理过程中的所有由投标人承担的费用和</w:t>
      </w:r>
      <w:r>
        <w:rPr>
          <w:rFonts w:hint="eastAsia" w:cs="Arial" w:asciiTheme="minorEastAsia" w:hAnsiTheme="minorEastAsia" w:eastAsiaTheme="minorEastAsia"/>
          <w:color w:val="auto"/>
          <w:szCs w:val="21"/>
          <w:highlight w:val="none"/>
        </w:rPr>
        <w:t>国家规定的各项税费以及投标费用。</w:t>
      </w:r>
      <w:r>
        <w:rPr>
          <w:rFonts w:hint="eastAsia" w:cs="宋体" w:asciiTheme="minorEastAsia" w:hAnsiTheme="minorEastAsia" w:eastAsiaTheme="minorEastAsia"/>
          <w:b/>
          <w:color w:val="auto"/>
          <w:kern w:val="0"/>
          <w:szCs w:val="21"/>
          <w:highlight w:val="none"/>
        </w:rPr>
        <w:t xml:space="preserve">  </w:t>
      </w:r>
    </w:p>
    <w:p>
      <w:pPr>
        <w:tabs>
          <w:tab w:val="left" w:pos="315"/>
          <w:tab w:val="left" w:pos="420"/>
          <w:tab w:val="left" w:pos="540"/>
          <w:tab w:val="left" w:pos="1440"/>
          <w:tab w:val="left" w:pos="1620"/>
        </w:tabs>
        <w:ind w:firstLine="615" w:firstLineChars="292"/>
        <w:rPr>
          <w:rFonts w:hint="eastAsia" w:cs="宋体" w:asciiTheme="minorEastAsia" w:hAnsiTheme="minorEastAsia" w:eastAsiaTheme="minorEastAsia"/>
          <w:b/>
          <w:color w:val="auto"/>
          <w:kern w:val="0"/>
          <w:szCs w:val="21"/>
          <w:highlight w:val="none"/>
        </w:rPr>
      </w:pPr>
      <w:r>
        <w:rPr>
          <w:rFonts w:hint="eastAsia" w:cs="宋体" w:asciiTheme="minorEastAsia" w:hAnsiTheme="minorEastAsia" w:eastAsiaTheme="minorEastAsia"/>
          <w:b/>
          <w:color w:val="auto"/>
          <w:kern w:val="0"/>
          <w:szCs w:val="21"/>
          <w:highlight w:val="none"/>
        </w:rPr>
        <w:t>（4）若评审委员会成员对是否须由投标人作出报价合理性说明，以及书面说明是否采纳等判断不一致的，按照“少数服从多数”的原则确定评审委员会的意见。</w:t>
      </w:r>
    </w:p>
    <w:p>
      <w:pPr>
        <w:pStyle w:val="2"/>
        <w:ind w:firstLine="2891" w:firstLineChars="1200"/>
        <w:rPr>
          <w:rFonts w:hint="eastAsia"/>
        </w:rPr>
      </w:pPr>
      <w:r>
        <w:rPr>
          <w:rFonts w:hint="eastAsia" w:ascii="宋体" w:hAnsi="宋体" w:cs="宋体"/>
          <w:color w:val="auto"/>
          <w:sz w:val="24"/>
          <w:highlight w:val="none"/>
          <w:lang w:eastAsia="zh-CN"/>
        </w:rPr>
        <w:t>（二）</w:t>
      </w:r>
      <w:r>
        <w:rPr>
          <w:rFonts w:hint="eastAsia" w:ascii="宋体" w:hAnsi="宋体" w:cs="宋体"/>
          <w:color w:val="auto"/>
          <w:sz w:val="24"/>
          <w:highlight w:val="none"/>
        </w:rPr>
        <w:t>管养</w:t>
      </w:r>
      <w:r>
        <w:rPr>
          <w:rFonts w:hint="eastAsia" w:ascii="宋体" w:hAnsi="宋体" w:cs="宋体"/>
          <w:color w:val="auto"/>
          <w:sz w:val="24"/>
          <w:highlight w:val="none"/>
          <w:lang w:eastAsia="zh-CN"/>
        </w:rPr>
        <w:t>内容</w:t>
      </w:r>
      <w:r>
        <w:rPr>
          <w:rFonts w:hint="eastAsia" w:ascii="宋体" w:hAnsi="宋体" w:cs="宋体"/>
          <w:color w:val="auto"/>
          <w:sz w:val="24"/>
          <w:highlight w:val="none"/>
        </w:rPr>
        <w:t>分级及报价</w:t>
      </w:r>
    </w:p>
    <w:tbl>
      <w:tblPr>
        <w:tblStyle w:val="42"/>
        <w:tblW w:w="4858" w:type="pct"/>
        <w:tblInd w:w="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61"/>
        <w:gridCol w:w="1843"/>
        <w:gridCol w:w="1694"/>
        <w:gridCol w:w="1348"/>
        <w:gridCol w:w="1026"/>
        <w:gridCol w:w="1298"/>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4" w:hRule="atLeast"/>
        </w:trPr>
        <w:tc>
          <w:tcPr>
            <w:tcW w:w="1752" w:type="pct"/>
            <w:gridSpan w:val="2"/>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项目名称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数量</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单位</w:t>
            </w:r>
          </w:p>
        </w:tc>
        <w:tc>
          <w:tcPr>
            <w:tcW w:w="619" w:type="pct"/>
            <w:shd w:val="clear" w:color="auto" w:fill="auto"/>
            <w:noWrap/>
            <w:vAlign w:val="center"/>
          </w:tcPr>
          <w:p>
            <w:pPr>
              <w:keepNext w:val="0"/>
              <w:keepLines w:val="0"/>
              <w:widowControl/>
              <w:suppressLineNumbers w:val="0"/>
              <w:tabs>
                <w:tab w:val="left" w:pos="275"/>
              </w:tabs>
              <w:spacing w:line="240" w:lineRule="auto"/>
              <w:jc w:val="left"/>
              <w:textAlignment w:val="cente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ab/>
            </w: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单价</w:t>
            </w:r>
          </w:p>
        </w:tc>
        <w:tc>
          <w:tcPr>
            <w:tcW w:w="793" w:type="pct"/>
            <w:gridSpan w:val="2"/>
            <w:shd w:val="clear" w:color="auto" w:fill="auto"/>
            <w:noWrap/>
            <w:vAlign w:val="center"/>
          </w:tcPr>
          <w:p>
            <w:pPr>
              <w:keepNext w:val="0"/>
              <w:keepLines w:val="0"/>
              <w:widowControl/>
              <w:suppressLineNumbers w:val="0"/>
              <w:tabs>
                <w:tab w:val="left" w:pos="275"/>
              </w:tabs>
              <w:spacing w:line="240" w:lineRule="auto"/>
              <w:jc w:val="center"/>
              <w:textAlignment w:val="cente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0" w:type="pct"/>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道路绿地</w:t>
            </w: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特级绿地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93" w:type="pct"/>
            <w:gridSpan w:val="2"/>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一级绿地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21079.23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93" w:type="pct"/>
            <w:gridSpan w:val="2"/>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二级绿地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46695.54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93" w:type="pct"/>
            <w:gridSpan w:val="2"/>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三级绿地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16100.56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93" w:type="pct"/>
            <w:gridSpan w:val="2"/>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相邻林地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2"/>
                <w:szCs w:val="22"/>
                <w:u w:val="none"/>
                <w:lang w:val="en-US" w:eastAsia="zh-CN" w:bidi="ar"/>
              </w:rPr>
              <w:t>13703.69</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93" w:type="pct"/>
            <w:gridSpan w:val="2"/>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悬挂绿化</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3562.37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93" w:type="pct"/>
            <w:gridSpan w:val="2"/>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一级行道树</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1393.00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株</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93" w:type="pct"/>
            <w:gridSpan w:val="2"/>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二级行道树</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4013.00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株</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61"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石材路面（花岗岩,大理石）</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24825.34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公园绿地</w:t>
            </w: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特级绿地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94624.24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一级绿地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86876.15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二级绿地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30040.80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三级绿地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16675.07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一级林地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594"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社区公园（一级）</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26362.93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594"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社区公园（二级）</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悬挂绿化</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1911.62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电梯</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部</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一体互动屏</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5.00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栈道管理</w:t>
            </w: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道路保洁</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悬挂绿化</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213.46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相邻林地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61"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石材路面（花岗岩,大理石）</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1651.67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道路标线</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661.79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61"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砼边坡(锚杆,挡土墙)</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1798.60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木栈道</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9383.45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金属栈道</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262.80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金属栏杆</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3346.20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砼栏杆</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56.85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仿木栏杆</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标识系统</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30.60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边沟</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2978.75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单杆灯</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226.00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地灯</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408.00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61"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风雨亭（10-50平方米）</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6.00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61"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风雨亭（50平方米以上）</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直饮水机</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1.00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智慧座椅</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2.00 </w:t>
            </w:r>
          </w:p>
        </w:tc>
        <w:tc>
          <w:tcPr>
            <w:tcW w:w="81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c>
          <w:tcPr>
            <w:tcW w:w="619"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36"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游乐及康体设施</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401.53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594" w:hRule="atLeast"/>
        </w:trPr>
        <w:tc>
          <w:tcPr>
            <w:tcW w:w="640" w:type="pct"/>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绿道管护</w:t>
            </w: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道路绿地（三级）</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89046.75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道路相邻林地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75925.02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61"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绿道绿化（三级管护）</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78125.12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路面保洁</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128230.44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绿道相邻林地</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122642.19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绿化保洁</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7880.14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平方米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路灯</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141.00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盏</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一级维护</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19933.51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二级维护</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15672.91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三级维护</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13837.54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安保</w:t>
            </w: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保安</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68.00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人</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35"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救生员</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4.00 </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人</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61" w:hRule="atLeast"/>
        </w:trPr>
        <w:tc>
          <w:tcPr>
            <w:tcW w:w="640" w:type="pct"/>
            <w:vMerge w:val="restar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公厕保洁</w:t>
            </w: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一级保洁（10蹲位以上）</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61"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一级保洁（10蹲位以下）</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71" w:hRule="atLeast"/>
        </w:trPr>
        <w:tc>
          <w:tcPr>
            <w:tcW w:w="640" w:type="pct"/>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highlight w:val="none"/>
                <w:u w:val="none"/>
              </w:rPr>
            </w:pPr>
          </w:p>
        </w:tc>
        <w:tc>
          <w:tcPr>
            <w:tcW w:w="1111" w:type="pct"/>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二级保洁（10蹲位以下）</w:t>
            </w:r>
          </w:p>
        </w:tc>
        <w:tc>
          <w:tcPr>
            <w:tcW w:w="1022"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81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w:t>
            </w:r>
          </w:p>
        </w:tc>
        <w:tc>
          <w:tcPr>
            <w:tcW w:w="619"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783" w:type="pct"/>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671" w:hRule="atLeast"/>
        </w:trPr>
        <w:tc>
          <w:tcPr>
            <w:tcW w:w="3587" w:type="pct"/>
            <w:gridSpan w:val="4"/>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投标总价</w:t>
            </w:r>
          </w:p>
        </w:tc>
        <w:tc>
          <w:tcPr>
            <w:tcW w:w="1402" w:type="pct"/>
            <w:gridSpan w:val="2"/>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bl>
    <w:p>
      <w:pPr>
        <w:pStyle w:val="2"/>
        <w:rPr>
          <w:rFonts w:hint="eastAsia" w:ascii="宋体" w:hAnsi="宋体" w:cs="宋体"/>
          <w:color w:val="auto"/>
          <w:sz w:val="24"/>
          <w:highlight w:val="none"/>
        </w:rPr>
      </w:pPr>
      <w:r>
        <w:rPr>
          <w:rFonts w:hint="eastAsia" w:ascii="宋体" w:hAnsi="宋体" w:cs="宋体"/>
          <w:color w:val="auto"/>
          <w:sz w:val="24"/>
          <w:highlight w:val="none"/>
        </w:rPr>
        <w:t>各级别绿地分项报价上限价详见项目需求书“</w:t>
      </w:r>
      <w:r>
        <w:rPr>
          <w:rFonts w:hint="eastAsia" w:ascii="宋体" w:hAnsi="宋体" w:cs="宋体"/>
          <w:color w:val="auto"/>
          <w:sz w:val="24"/>
          <w:highlight w:val="none"/>
          <w:lang w:eastAsia="zh-CN"/>
        </w:rPr>
        <w:t>九</w:t>
      </w:r>
      <w:r>
        <w:rPr>
          <w:rFonts w:hint="eastAsia" w:ascii="宋体" w:hAnsi="宋体" w:cs="宋体"/>
          <w:color w:val="auto"/>
          <w:sz w:val="24"/>
          <w:highlight w:val="none"/>
        </w:rPr>
        <w:t>、投标报价”</w:t>
      </w:r>
    </w:p>
    <w:p/>
    <w:p/>
    <w:p>
      <w:pPr>
        <w:tabs>
          <w:tab w:val="left" w:pos="720"/>
        </w:tabs>
        <w:ind w:firstLine="3132" w:firstLineChars="1300"/>
        <w:rPr>
          <w:b/>
          <w:sz w:val="24"/>
        </w:rPr>
      </w:pPr>
      <w:commentRangeStart w:id="10"/>
      <w:bookmarkStart w:id="47" w:name="_Hlk235714583"/>
      <w:r>
        <w:rPr>
          <w:rFonts w:hint="eastAsia"/>
          <w:b/>
          <w:sz w:val="24"/>
        </w:rPr>
        <w:t>（</w:t>
      </w:r>
      <w:r>
        <w:rPr>
          <w:rFonts w:hint="eastAsia"/>
          <w:b/>
          <w:sz w:val="24"/>
          <w:lang w:eastAsia="zh-CN"/>
        </w:rPr>
        <w:t>三</w:t>
      </w:r>
      <w:r>
        <w:rPr>
          <w:rFonts w:hint="eastAsia"/>
          <w:b/>
          <w:sz w:val="24"/>
        </w:rPr>
        <w:t>）分项报价表</w:t>
      </w:r>
      <w:commentRangeEnd w:id="10"/>
      <w:r>
        <w:commentReference w:id="10"/>
      </w:r>
    </w:p>
    <w:bookmarkEnd w:id="47"/>
    <w:tbl>
      <w:tblPr>
        <w:tblStyle w:val="42"/>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54"/>
        <w:gridCol w:w="928"/>
        <w:gridCol w:w="532"/>
        <w:gridCol w:w="583"/>
        <w:gridCol w:w="494"/>
        <w:gridCol w:w="736"/>
        <w:gridCol w:w="368"/>
        <w:gridCol w:w="273"/>
        <w:gridCol w:w="818"/>
        <w:gridCol w:w="832"/>
        <w:gridCol w:w="941"/>
        <w:gridCol w:w="1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9239" w:type="dxa"/>
            <w:gridSpan w:val="13"/>
            <w:tcBorders>
              <w:top w:val="single" w:color="auto" w:sz="4" w:space="0"/>
              <w:left w:val="single" w:color="auto" w:sz="4" w:space="0"/>
              <w:right w:val="single" w:color="auto" w:sz="4" w:space="0"/>
            </w:tcBorders>
            <w:vAlign w:val="center"/>
          </w:tcPr>
          <w:p>
            <w:pPr>
              <w:jc w:val="left"/>
              <w:rPr>
                <w:b/>
                <w:bCs/>
                <w:color w:val="auto"/>
                <w:szCs w:val="21"/>
                <w:highlight w:val="none"/>
              </w:rPr>
            </w:pPr>
            <w:r>
              <w:rPr>
                <w:rFonts w:hint="eastAsia" w:ascii="宋体" w:hAnsi="宋体"/>
                <w:b/>
                <w:bCs/>
                <w:color w:val="auto"/>
                <w:szCs w:val="21"/>
                <w:highlight w:val="none"/>
              </w:rPr>
              <w:t>一、人工费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95" w:type="dxa"/>
            <w:gridSpan w:val="2"/>
            <w:tcBorders>
              <w:top w:val="single" w:color="auto" w:sz="4" w:space="0"/>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1460" w:type="dxa"/>
            <w:gridSpan w:val="2"/>
            <w:tcBorders>
              <w:top w:val="single" w:color="auto" w:sz="4" w:space="0"/>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岗位</w:t>
            </w:r>
          </w:p>
        </w:tc>
        <w:tc>
          <w:tcPr>
            <w:tcW w:w="107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人均每月实发工资（元/人·月）</w:t>
            </w:r>
          </w:p>
        </w:tc>
        <w:tc>
          <w:tcPr>
            <w:tcW w:w="110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人均每月</w:t>
            </w:r>
            <w:r>
              <w:rPr>
                <w:rFonts w:hint="eastAsia" w:ascii="宋体" w:hAnsi="宋体" w:cs="宋体"/>
                <w:b/>
                <w:color w:val="auto"/>
                <w:szCs w:val="21"/>
                <w:highlight w:val="none"/>
              </w:rPr>
              <w:t>社保公积金（元</w:t>
            </w:r>
            <w:r>
              <w:rPr>
                <w:rFonts w:hint="eastAsia" w:ascii="宋体" w:hAnsi="宋体"/>
                <w:b/>
                <w:bCs/>
                <w:color w:val="auto"/>
                <w:szCs w:val="21"/>
                <w:highlight w:val="none"/>
              </w:rPr>
              <w:t>/人·月</w:t>
            </w:r>
            <w:r>
              <w:rPr>
                <w:rFonts w:hint="eastAsia" w:ascii="宋体" w:hAnsi="宋体" w:cs="宋体"/>
                <w:b/>
                <w:color w:val="auto"/>
                <w:szCs w:val="21"/>
                <w:highlight w:val="none"/>
              </w:rPr>
              <w:t>）</w:t>
            </w:r>
          </w:p>
        </w:tc>
        <w:tc>
          <w:tcPr>
            <w:tcW w:w="10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auto"/>
                <w:szCs w:val="21"/>
                <w:highlight w:val="none"/>
              </w:rPr>
            </w:pPr>
            <w:r>
              <w:rPr>
                <w:rFonts w:hint="eastAsia" w:ascii="宋体" w:hAnsi="宋体" w:cs="宋体"/>
                <w:b/>
                <w:color w:val="auto"/>
                <w:szCs w:val="21"/>
                <w:highlight w:val="none"/>
              </w:rPr>
              <w:t>人均月</w:t>
            </w:r>
          </w:p>
          <w:p>
            <w:pPr>
              <w:jc w:val="center"/>
              <w:rPr>
                <w:rFonts w:ascii="宋体" w:hAnsi="宋体"/>
                <w:b/>
                <w:bCs/>
                <w:color w:val="auto"/>
                <w:szCs w:val="21"/>
                <w:highlight w:val="none"/>
              </w:rPr>
            </w:pPr>
            <w:r>
              <w:rPr>
                <w:rFonts w:hint="eastAsia" w:ascii="宋体" w:hAnsi="宋体" w:cs="宋体"/>
                <w:b/>
                <w:color w:val="auto"/>
                <w:szCs w:val="21"/>
                <w:highlight w:val="none"/>
              </w:rPr>
              <w:t>人工</w:t>
            </w:r>
            <w:r>
              <w:rPr>
                <w:rFonts w:hint="eastAsia" w:ascii="宋体" w:hAnsi="宋体" w:cs="宋体"/>
                <w:b/>
                <w:color w:val="auto"/>
                <w:szCs w:val="21"/>
                <w:highlight w:val="none"/>
                <w:lang w:val="en-US" w:eastAsia="zh-CN"/>
              </w:rPr>
              <w:t>总费用</w:t>
            </w:r>
            <w:r>
              <w:rPr>
                <w:rFonts w:ascii="宋体" w:hAnsi="宋体" w:cs="宋体"/>
                <w:b/>
                <w:color w:val="auto"/>
                <w:szCs w:val="21"/>
                <w:highlight w:val="none"/>
              </w:rPr>
              <w:t>((</w:t>
            </w:r>
            <w:r>
              <w:rPr>
                <w:rFonts w:hint="eastAsia" w:ascii="宋体" w:hAnsi="宋体" w:cs="宋体"/>
                <w:b/>
                <w:color w:val="auto"/>
                <w:szCs w:val="21"/>
                <w:highlight w:val="none"/>
              </w:rPr>
              <w:t>元</w:t>
            </w:r>
            <w:r>
              <w:rPr>
                <w:rFonts w:hint="eastAsia" w:ascii="宋体" w:hAnsi="宋体"/>
                <w:b/>
                <w:bCs/>
                <w:color w:val="auto"/>
                <w:szCs w:val="21"/>
                <w:highlight w:val="none"/>
              </w:rPr>
              <w:t>/人·月</w:t>
            </w:r>
            <w:r>
              <w:rPr>
                <w:rFonts w:ascii="宋体" w:hAnsi="宋体" w:cs="宋体"/>
                <w:b/>
                <w:color w:val="auto"/>
                <w:szCs w:val="21"/>
                <w:highlight w:val="none"/>
              </w:rPr>
              <w:t>)</w:t>
            </w:r>
          </w:p>
        </w:tc>
        <w:tc>
          <w:tcPr>
            <w:tcW w:w="8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auto"/>
                <w:szCs w:val="21"/>
                <w:highlight w:val="none"/>
              </w:rPr>
            </w:pPr>
            <w:r>
              <w:rPr>
                <w:rFonts w:hint="eastAsia"/>
                <w:b/>
                <w:color w:val="auto"/>
                <w:szCs w:val="21"/>
                <w:highlight w:val="none"/>
                <w:lang w:val="en-US" w:eastAsia="zh-CN"/>
              </w:rPr>
              <w:t>人数</w:t>
            </w:r>
          </w:p>
        </w:tc>
        <w:tc>
          <w:tcPr>
            <w:tcW w:w="941" w:type="dxa"/>
            <w:tcBorders>
              <w:top w:val="single" w:color="auto" w:sz="4" w:space="0"/>
              <w:left w:val="single" w:color="auto" w:sz="4" w:space="0"/>
              <w:bottom w:val="single" w:color="auto" w:sz="4" w:space="0"/>
              <w:right w:val="single" w:color="auto" w:sz="4" w:space="0"/>
            </w:tcBorders>
            <w:vAlign w:val="center"/>
          </w:tcPr>
          <w:p>
            <w:pPr>
              <w:jc w:val="center"/>
              <w:rPr>
                <w:b/>
                <w:color w:val="auto"/>
                <w:szCs w:val="21"/>
                <w:highlight w:val="none"/>
              </w:rPr>
            </w:pPr>
            <w:r>
              <w:rPr>
                <w:rFonts w:hint="eastAsia"/>
                <w:b/>
                <w:color w:val="auto"/>
                <w:szCs w:val="21"/>
                <w:highlight w:val="none"/>
              </w:rPr>
              <w:t>年人工费（元/年）</w:t>
            </w:r>
          </w:p>
        </w:tc>
        <w:tc>
          <w:tcPr>
            <w:tcW w:w="1939" w:type="dxa"/>
            <w:tcBorders>
              <w:top w:val="single" w:color="auto" w:sz="4" w:space="0"/>
              <w:left w:val="single" w:color="auto" w:sz="4" w:space="0"/>
              <w:bottom w:val="single" w:color="auto" w:sz="4" w:space="0"/>
              <w:right w:val="single" w:color="auto" w:sz="4" w:space="0"/>
            </w:tcBorders>
            <w:vAlign w:val="center"/>
          </w:tcPr>
          <w:p>
            <w:pPr>
              <w:jc w:val="center"/>
              <w:rPr>
                <w:b/>
                <w:color w:val="auto"/>
                <w:szCs w:val="21"/>
                <w:highlight w:val="none"/>
              </w:rPr>
            </w:pPr>
            <w:r>
              <w:rPr>
                <w:rFonts w:hint="eastAsia"/>
                <w:b/>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（一）</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项目负责人</w:t>
            </w:r>
          </w:p>
        </w:tc>
        <w:tc>
          <w:tcPr>
            <w:tcW w:w="1077" w:type="dxa"/>
            <w:gridSpan w:val="2"/>
            <w:tcBorders>
              <w:top w:val="single" w:color="auto" w:sz="4" w:space="0"/>
              <w:left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top w:val="single" w:color="auto" w:sz="4" w:space="0"/>
              <w:left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top w:val="single" w:color="auto" w:sz="4" w:space="0"/>
              <w:left w:val="single" w:color="auto" w:sz="4" w:space="0"/>
              <w:right w:val="single" w:color="auto" w:sz="4" w:space="0"/>
            </w:tcBorders>
            <w:vAlign w:val="center"/>
          </w:tcPr>
          <w:p>
            <w:pPr>
              <w:rPr>
                <w:rFonts w:ascii="宋体" w:hAnsi="宋体"/>
                <w:color w:val="auto"/>
                <w:szCs w:val="21"/>
                <w:highlight w:val="none"/>
              </w:rPr>
            </w:pPr>
          </w:p>
        </w:tc>
        <w:tc>
          <w:tcPr>
            <w:tcW w:w="832" w:type="dxa"/>
            <w:tcBorders>
              <w:top w:val="single" w:color="auto" w:sz="4" w:space="0"/>
              <w:left w:val="single" w:color="auto" w:sz="4" w:space="0"/>
              <w:right w:val="single" w:color="auto" w:sz="4" w:space="0"/>
            </w:tcBorders>
            <w:vAlign w:val="center"/>
          </w:tcPr>
          <w:p>
            <w:pPr>
              <w:rPr>
                <w:rFonts w:ascii="宋体" w:hAnsi="宋体"/>
                <w:color w:val="auto"/>
                <w:szCs w:val="21"/>
                <w:highlight w:val="none"/>
              </w:rPr>
            </w:pPr>
          </w:p>
        </w:tc>
        <w:tc>
          <w:tcPr>
            <w:tcW w:w="941" w:type="dxa"/>
            <w:tcBorders>
              <w:top w:val="single" w:color="auto" w:sz="4" w:space="0"/>
              <w:left w:val="single" w:color="auto" w:sz="4" w:space="0"/>
              <w:right w:val="single" w:color="auto" w:sz="4" w:space="0"/>
            </w:tcBorders>
            <w:vAlign w:val="center"/>
          </w:tcPr>
          <w:p>
            <w:pPr>
              <w:rPr>
                <w:rFonts w:ascii="宋体" w:hAnsi="宋体"/>
                <w:color w:val="auto"/>
                <w:szCs w:val="21"/>
                <w:highlight w:val="none"/>
              </w:rPr>
            </w:pPr>
          </w:p>
        </w:tc>
        <w:tc>
          <w:tcPr>
            <w:tcW w:w="1939" w:type="dxa"/>
            <w:tcBorders>
              <w:top w:val="single" w:color="auto" w:sz="4" w:space="0"/>
              <w:left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（二）</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现场主管</w:t>
            </w:r>
          </w:p>
        </w:tc>
        <w:tc>
          <w:tcPr>
            <w:tcW w:w="1077"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w:t>
            </w:r>
            <w:r>
              <w:rPr>
                <w:rFonts w:hint="eastAsia"/>
                <w:color w:val="auto"/>
                <w:szCs w:val="21"/>
                <w:highlight w:val="none"/>
                <w:lang w:val="en-US" w:eastAsia="zh-CN"/>
              </w:rPr>
              <w:t>4</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（三）</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园林绿化技术人员</w:t>
            </w:r>
          </w:p>
        </w:tc>
        <w:tc>
          <w:tcPr>
            <w:tcW w:w="1077"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w:t>
            </w:r>
            <w:r>
              <w:rPr>
                <w:rFonts w:hint="eastAsia"/>
                <w:color w:val="auto"/>
                <w:szCs w:val="21"/>
                <w:highlight w:val="none"/>
                <w:lang w:val="en-US" w:eastAsia="zh-CN"/>
              </w:rPr>
              <w:t>4</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（四）</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资料员</w:t>
            </w:r>
          </w:p>
        </w:tc>
        <w:tc>
          <w:tcPr>
            <w:tcW w:w="1077"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（五）</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水电工</w:t>
            </w:r>
          </w:p>
        </w:tc>
        <w:tc>
          <w:tcPr>
            <w:tcW w:w="1077"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（六）</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设施维修技术人员</w:t>
            </w:r>
          </w:p>
        </w:tc>
        <w:tc>
          <w:tcPr>
            <w:tcW w:w="1077"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w:t>
            </w:r>
            <w:r>
              <w:rPr>
                <w:rFonts w:hint="eastAsia"/>
                <w:color w:val="auto"/>
                <w:szCs w:val="21"/>
                <w:highlight w:val="none"/>
                <w:lang w:val="en-US" w:eastAsia="zh-CN"/>
              </w:rPr>
              <w:t>2</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（七）</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安全管理员</w:t>
            </w:r>
          </w:p>
        </w:tc>
        <w:tc>
          <w:tcPr>
            <w:tcW w:w="1077"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w:t>
            </w:r>
            <w:r>
              <w:rPr>
                <w:rFonts w:hint="eastAsia"/>
                <w:color w:val="auto"/>
                <w:szCs w:val="21"/>
                <w:highlight w:val="none"/>
                <w:lang w:val="en-US" w:eastAsia="zh-CN"/>
              </w:rPr>
              <w:t>4</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95" w:type="dxa"/>
            <w:gridSpan w:val="2"/>
            <w:tcBorders>
              <w:left w:val="single" w:color="auto" w:sz="4" w:space="0"/>
              <w:right w:val="single" w:color="auto" w:sz="4" w:space="0"/>
            </w:tcBorders>
            <w:vAlign w:val="center"/>
          </w:tcPr>
          <w:p>
            <w:pPr>
              <w:widowControl/>
              <w:jc w:val="left"/>
              <w:textAlignment w:val="center"/>
              <w:rPr>
                <w:rFonts w:ascii="宋体" w:hAnsi="宋体"/>
                <w:color w:val="auto"/>
                <w:szCs w:val="21"/>
                <w:highlight w:val="none"/>
              </w:rPr>
            </w:pPr>
            <w:r>
              <w:rPr>
                <w:rFonts w:hint="eastAsia" w:ascii="宋体" w:hAnsi="宋体"/>
                <w:color w:val="auto"/>
                <w:szCs w:val="21"/>
                <w:highlight w:val="none"/>
              </w:rPr>
              <w:t>（八）</w:t>
            </w:r>
          </w:p>
        </w:tc>
        <w:tc>
          <w:tcPr>
            <w:tcW w:w="1460" w:type="dxa"/>
            <w:gridSpan w:val="2"/>
            <w:tcBorders>
              <w:left w:val="single" w:color="auto" w:sz="4" w:space="0"/>
              <w:right w:val="single" w:color="auto" w:sz="4" w:space="0"/>
            </w:tcBorders>
            <w:vAlign w:val="center"/>
          </w:tcPr>
          <w:p>
            <w:pPr>
              <w:widowControl/>
              <w:jc w:val="left"/>
              <w:textAlignment w:val="center"/>
              <w:rPr>
                <w:rFonts w:ascii="宋体" w:hAnsi="宋体"/>
                <w:color w:val="auto"/>
                <w:szCs w:val="21"/>
                <w:highlight w:val="none"/>
              </w:rPr>
            </w:pPr>
            <w:r>
              <w:rPr>
                <w:rFonts w:hint="eastAsia" w:ascii="宋体" w:hAnsi="宋体" w:cs="宋体"/>
                <w:color w:val="auto"/>
                <w:kern w:val="0"/>
                <w:sz w:val="20"/>
                <w:szCs w:val="20"/>
                <w:highlight w:val="none"/>
              </w:rPr>
              <w:t>管养人员（绿化</w:t>
            </w:r>
            <w:r>
              <w:rPr>
                <w:rFonts w:ascii="宋体" w:hAnsi="宋体" w:cs="宋体"/>
                <w:color w:val="auto"/>
                <w:kern w:val="0"/>
                <w:sz w:val="20"/>
                <w:szCs w:val="20"/>
                <w:highlight w:val="none"/>
              </w:rPr>
              <w:t>+保洁）</w:t>
            </w:r>
          </w:p>
        </w:tc>
        <w:tc>
          <w:tcPr>
            <w:tcW w:w="1077"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w:t>
            </w:r>
            <w:r>
              <w:rPr>
                <w:rFonts w:hint="eastAsia"/>
                <w:color w:val="auto"/>
                <w:szCs w:val="21"/>
                <w:highlight w:val="none"/>
                <w:lang w:val="en-US" w:eastAsia="zh-CN"/>
              </w:rPr>
              <w:t>128</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95" w:type="dxa"/>
            <w:gridSpan w:val="2"/>
            <w:tcBorders>
              <w:left w:val="single" w:color="auto" w:sz="4" w:space="0"/>
              <w:bottom w:val="single" w:color="auto" w:sz="4" w:space="0"/>
              <w:right w:val="single" w:color="auto" w:sz="4" w:space="0"/>
            </w:tcBorders>
            <w:vAlign w:val="center"/>
          </w:tcPr>
          <w:p>
            <w:pPr>
              <w:widowControl/>
              <w:jc w:val="left"/>
              <w:textAlignment w:val="center"/>
              <w:rPr>
                <w:rFonts w:ascii="宋体" w:hAnsi="宋体"/>
                <w:color w:val="auto"/>
                <w:szCs w:val="21"/>
                <w:highlight w:val="none"/>
              </w:rPr>
            </w:pPr>
            <w:r>
              <w:rPr>
                <w:rFonts w:hint="eastAsia" w:ascii="宋体" w:hAnsi="宋体"/>
                <w:color w:val="auto"/>
                <w:szCs w:val="21"/>
                <w:highlight w:val="none"/>
              </w:rPr>
              <w:t>（九）</w:t>
            </w:r>
          </w:p>
        </w:tc>
        <w:tc>
          <w:tcPr>
            <w:tcW w:w="1460" w:type="dxa"/>
            <w:gridSpan w:val="2"/>
            <w:tcBorders>
              <w:left w:val="single" w:color="auto" w:sz="4" w:space="0"/>
              <w:bottom w:val="single" w:color="auto" w:sz="4" w:space="0"/>
              <w:right w:val="single" w:color="auto" w:sz="4" w:space="0"/>
            </w:tcBorders>
            <w:vAlign w:val="center"/>
          </w:tcPr>
          <w:p>
            <w:pPr>
              <w:widowControl/>
              <w:jc w:val="left"/>
              <w:textAlignment w:val="center"/>
              <w:rPr>
                <w:rFonts w:ascii="宋体" w:hAnsi="宋体"/>
                <w:color w:val="auto"/>
                <w:szCs w:val="21"/>
                <w:highlight w:val="none"/>
              </w:rPr>
            </w:pPr>
            <w:r>
              <w:rPr>
                <w:rFonts w:hint="eastAsia" w:ascii="宋体" w:hAnsi="宋体" w:cs="宋体"/>
                <w:color w:val="auto"/>
                <w:kern w:val="0"/>
                <w:sz w:val="20"/>
                <w:szCs w:val="20"/>
                <w:highlight w:val="none"/>
              </w:rPr>
              <w:t>安保人员</w:t>
            </w:r>
          </w:p>
        </w:tc>
        <w:tc>
          <w:tcPr>
            <w:tcW w:w="1077"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bottom w:val="single" w:color="auto" w:sz="4" w:space="0"/>
              <w:right w:val="single" w:color="auto" w:sz="4" w:space="0"/>
            </w:tcBorders>
            <w:vAlign w:val="center"/>
          </w:tcPr>
          <w:p>
            <w:r>
              <w:rPr>
                <w:rFonts w:hint="eastAsia"/>
                <w:color w:val="auto"/>
                <w:szCs w:val="21"/>
                <w:highlight w:val="none"/>
              </w:rPr>
              <w:t>不得少于最低配员要求</w:t>
            </w:r>
            <w:r>
              <w:rPr>
                <w:rFonts w:hint="eastAsia"/>
                <w:color w:val="auto"/>
                <w:szCs w:val="21"/>
                <w:highlight w:val="none"/>
                <w:lang w:val="en-US" w:eastAsia="zh-CN"/>
              </w:rPr>
              <w:t>68</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95" w:type="dxa"/>
            <w:gridSpan w:val="2"/>
            <w:tcBorders>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（十）</w:t>
            </w:r>
          </w:p>
        </w:tc>
        <w:tc>
          <w:tcPr>
            <w:tcW w:w="1460" w:type="dxa"/>
            <w:gridSpan w:val="2"/>
            <w:tcBorders>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eastAsia="zh-CN"/>
              </w:rPr>
              <w:t>救生员</w:t>
            </w:r>
          </w:p>
        </w:tc>
        <w:tc>
          <w:tcPr>
            <w:tcW w:w="1077"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bottom w:val="single" w:color="auto" w:sz="4" w:space="0"/>
              <w:right w:val="single" w:color="auto" w:sz="4" w:space="0"/>
            </w:tcBorders>
            <w:vAlign w:val="center"/>
          </w:tcPr>
          <w:p>
            <w:pPr>
              <w:pStyle w:val="2"/>
              <w:rPr>
                <w:rFonts w:hint="eastAsia" w:eastAsia="宋体"/>
                <w:lang w:eastAsia="zh-CN"/>
              </w:rPr>
            </w:pPr>
            <w:r>
              <w:rPr>
                <w:rFonts w:hint="eastAsia" w:ascii="Times New Roman" w:hAnsi="Times New Roman" w:eastAsia="宋体" w:cs="Times New Roman"/>
                <w:b w:val="0"/>
                <w:bCs w:val="0"/>
                <w:color w:val="auto"/>
                <w:sz w:val="21"/>
                <w:szCs w:val="21"/>
                <w:highlight w:val="none"/>
              </w:rPr>
              <w:t>不得少于最低配员要求</w:t>
            </w:r>
            <w:r>
              <w:rPr>
                <w:rFonts w:hint="eastAsia" w:ascii="Times New Roman" w:hAnsi="Times New Roman" w:eastAsia="宋体" w:cs="Times New Roman"/>
                <w:b w:val="0"/>
                <w:bCs w:val="0"/>
                <w:color w:val="auto"/>
                <w:sz w:val="21"/>
                <w:szCs w:val="21"/>
                <w:highlight w:val="none"/>
                <w:lang w:val="en-US" w:eastAsia="zh-CN"/>
              </w:rPr>
              <w:t>4</w:t>
            </w:r>
            <w:r>
              <w:rPr>
                <w:rFonts w:hint="eastAsia" w:ascii="Times New Roman" w:hAnsi="Times New Roman" w:eastAsia="宋体" w:cs="Times New Roman"/>
                <w:b w:val="0"/>
                <w:bCs w:val="0"/>
                <w:color w:val="auto"/>
                <w:sz w:val="21"/>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9239" w:type="dxa"/>
            <w:gridSpan w:val="13"/>
            <w:tcBorders>
              <w:left w:val="single" w:color="auto" w:sz="4" w:space="0"/>
              <w:bottom w:val="single" w:color="auto" w:sz="4" w:space="0"/>
              <w:right w:val="single" w:color="auto" w:sz="4" w:space="0"/>
            </w:tcBorders>
            <w:vAlign w:val="center"/>
          </w:tcPr>
          <w:p>
            <w:pPr>
              <w:rPr>
                <w:color w:val="auto"/>
                <w:szCs w:val="21"/>
                <w:highlight w:val="none"/>
              </w:rPr>
            </w:pPr>
            <w:r>
              <w:rPr>
                <w:rFonts w:hint="eastAsia"/>
                <w:color w:val="auto"/>
                <w:szCs w:val="21"/>
                <w:highlight w:val="none"/>
              </w:rPr>
              <w:t>注：</w:t>
            </w:r>
          </w:p>
          <w:p>
            <w:pPr>
              <w:numPr>
                <w:ilvl w:val="0"/>
                <w:numId w:val="111"/>
              </w:numPr>
              <w:rPr>
                <w:rFonts w:ascii="宋体" w:hAnsi="宋体"/>
                <w:color w:val="auto"/>
                <w:szCs w:val="21"/>
                <w:highlight w:val="none"/>
              </w:rPr>
            </w:pPr>
            <w:r>
              <w:rPr>
                <w:rFonts w:hint="eastAsia" w:ascii="宋体" w:hAnsi="宋体"/>
                <w:b/>
                <w:bCs/>
                <w:color w:val="auto"/>
                <w:szCs w:val="21"/>
                <w:highlight w:val="none"/>
              </w:rPr>
              <w:t>人员正常工作时间工资（基本工资）</w:t>
            </w:r>
            <w:r>
              <w:rPr>
                <w:rFonts w:hint="eastAsia" w:ascii="宋体" w:hAnsi="宋体"/>
                <w:color w:val="auto"/>
                <w:szCs w:val="21"/>
                <w:highlight w:val="none"/>
              </w:rPr>
              <w:t>不得低于深圳最低工资标准（正常工作时间为21.75天/月）。</w:t>
            </w:r>
          </w:p>
          <w:p>
            <w:pPr>
              <w:numPr>
                <w:ilvl w:val="0"/>
                <w:numId w:val="111"/>
              </w:numPr>
              <w:rPr>
                <w:rFonts w:ascii="宋体" w:hAnsi="宋体"/>
                <w:color w:val="auto"/>
                <w:szCs w:val="21"/>
                <w:highlight w:val="none"/>
              </w:rPr>
            </w:pPr>
            <w:r>
              <w:rPr>
                <w:rFonts w:hint="eastAsia" w:ascii="宋体" w:hAnsi="宋体"/>
                <w:b/>
                <w:bCs/>
                <w:color w:val="auto"/>
                <w:szCs w:val="21"/>
                <w:highlight w:val="none"/>
              </w:rPr>
              <w:t>社保</w:t>
            </w:r>
            <w:r>
              <w:rPr>
                <w:rFonts w:hint="eastAsia" w:ascii="宋体" w:hAnsi="宋体"/>
                <w:color w:val="auto"/>
                <w:szCs w:val="21"/>
                <w:highlight w:val="none"/>
              </w:rPr>
              <w:t>包括但不限于人员养老保险、医疗保险等，本项报价必须不低于人员正常工作时间工资（基本工资）的15%。</w:t>
            </w:r>
          </w:p>
          <w:p>
            <w:pPr>
              <w:numPr>
                <w:ilvl w:val="0"/>
                <w:numId w:val="111"/>
              </w:numPr>
              <w:rPr>
                <w:rFonts w:ascii="宋体" w:hAnsi="宋体"/>
                <w:color w:val="auto"/>
                <w:szCs w:val="21"/>
                <w:highlight w:val="none"/>
              </w:rPr>
            </w:pPr>
            <w:r>
              <w:rPr>
                <w:rFonts w:hint="eastAsia" w:ascii="宋体" w:hAnsi="宋体"/>
                <w:b/>
                <w:bCs/>
                <w:color w:val="auto"/>
                <w:szCs w:val="21"/>
                <w:highlight w:val="none"/>
              </w:rPr>
              <w:t>津贴补助</w:t>
            </w:r>
            <w:r>
              <w:rPr>
                <w:rFonts w:hint="eastAsia" w:ascii="宋体" w:hAnsi="宋体"/>
                <w:color w:val="auto"/>
                <w:szCs w:val="21"/>
                <w:highlight w:val="none"/>
              </w:rPr>
              <w:t>为高温津贴，高温津贴为一线作业人员6-10月高温期按300元/（人·月）标准发放。</w:t>
            </w:r>
          </w:p>
          <w:p>
            <w:pPr>
              <w:numPr>
                <w:ilvl w:val="0"/>
                <w:numId w:val="111"/>
              </w:numPr>
              <w:rPr>
                <w:rFonts w:ascii="宋体" w:hAnsi="宋体"/>
                <w:color w:val="auto"/>
                <w:szCs w:val="21"/>
                <w:highlight w:val="none"/>
              </w:rPr>
            </w:pPr>
            <w:r>
              <w:rPr>
                <w:rFonts w:hint="eastAsia" w:ascii="宋体" w:hAnsi="宋体"/>
                <w:b/>
                <w:bCs/>
                <w:color w:val="auto"/>
                <w:szCs w:val="21"/>
                <w:highlight w:val="none"/>
              </w:rPr>
              <w:t>住房公积金</w:t>
            </w:r>
            <w:r>
              <w:rPr>
                <w:rFonts w:hint="eastAsia" w:ascii="宋体" w:hAnsi="宋体"/>
                <w:color w:val="auto"/>
                <w:szCs w:val="21"/>
                <w:highlight w:val="none"/>
              </w:rPr>
              <w:t>必须不低于人员正常工作时间工资（基本工资）总额的5%。</w:t>
            </w:r>
          </w:p>
          <w:p>
            <w:pPr>
              <w:numPr>
                <w:ilvl w:val="0"/>
                <w:numId w:val="111"/>
              </w:numPr>
              <w:rPr>
                <w:rFonts w:ascii="宋体" w:hAnsi="宋体"/>
                <w:color w:val="auto"/>
                <w:szCs w:val="21"/>
                <w:highlight w:val="none"/>
              </w:rPr>
            </w:pPr>
            <w:r>
              <w:rPr>
                <w:rFonts w:hint="eastAsia" w:ascii="宋体" w:hAnsi="宋体"/>
                <w:color w:val="auto"/>
                <w:szCs w:val="21"/>
                <w:highlight w:val="none"/>
              </w:rPr>
              <w:t>加班工资按《</w:t>
            </w:r>
            <w:r>
              <w:rPr>
                <w:color w:val="auto"/>
                <w:highlight w:val="none"/>
              </w:rPr>
              <w:fldChar w:fldCharType="begin"/>
            </w:r>
            <w:r>
              <w:rPr>
                <w:color w:val="auto"/>
                <w:highlight w:val="none"/>
              </w:rPr>
              <w:instrText xml:space="preserve"> HYPERLINK "https://www.gov.cn/banshi/2005-05/25/content_905.htm" \t "https://cn.bing.com/_blank" </w:instrText>
            </w:r>
            <w:r>
              <w:rPr>
                <w:color w:val="auto"/>
                <w:highlight w:val="none"/>
              </w:rPr>
              <w:fldChar w:fldCharType="separate"/>
            </w:r>
            <w:r>
              <w:rPr>
                <w:rFonts w:hint="eastAsia" w:ascii="宋体" w:hAnsi="宋体"/>
                <w:color w:val="auto"/>
                <w:szCs w:val="21"/>
                <w:highlight w:val="none"/>
              </w:rPr>
              <w:t>中华人民共和国劳动法</w:t>
            </w:r>
            <w:r>
              <w:rPr>
                <w:rFonts w:hint="eastAsia" w:ascii="宋体" w:hAnsi="宋体"/>
                <w:color w:val="auto"/>
                <w:szCs w:val="21"/>
                <w:highlight w:val="none"/>
              </w:rPr>
              <w:fldChar w:fldCharType="end"/>
            </w:r>
            <w:r>
              <w:rPr>
                <w:rFonts w:hint="eastAsia" w:ascii="宋体" w:hAnsi="宋体"/>
                <w:color w:val="auto"/>
                <w:szCs w:val="21"/>
                <w:highlight w:val="none"/>
              </w:rPr>
              <w:t>》第四十四条的规定：在标准工作日内</w:t>
            </w:r>
            <w:r>
              <w:rPr>
                <w:color w:val="auto"/>
                <w:highlight w:val="none"/>
              </w:rPr>
              <w:fldChar w:fldCharType="begin"/>
            </w:r>
            <w:r>
              <w:rPr>
                <w:color w:val="auto"/>
                <w:highlight w:val="none"/>
              </w:rPr>
              <w:instrText xml:space="preserve"> HYPERLINK "https://baike.baidu.com/item/%E5%BB%B6%E9%95%BF%E5%B7%A5%E4%BD%9C%E6%97%B6%E9%97%B4?fromModule=lemma_inlink" \t "https://baike.baidu.com/item/_blank" </w:instrText>
            </w:r>
            <w:r>
              <w:rPr>
                <w:color w:val="auto"/>
                <w:highlight w:val="none"/>
              </w:rPr>
              <w:fldChar w:fldCharType="separate"/>
            </w:r>
            <w:r>
              <w:rPr>
                <w:rFonts w:ascii="宋体" w:hAnsi="宋体"/>
                <w:color w:val="auto"/>
                <w:szCs w:val="21"/>
                <w:highlight w:val="none"/>
              </w:rPr>
              <w:t>延长工作时间</w:t>
            </w:r>
            <w:r>
              <w:rPr>
                <w:rFonts w:ascii="宋体" w:hAnsi="宋体"/>
                <w:color w:val="auto"/>
                <w:szCs w:val="21"/>
                <w:highlight w:val="none"/>
              </w:rPr>
              <w:fldChar w:fldCharType="end"/>
            </w:r>
            <w:r>
              <w:rPr>
                <w:rFonts w:ascii="宋体" w:hAnsi="宋体"/>
                <w:color w:val="auto"/>
                <w:szCs w:val="21"/>
                <w:highlight w:val="none"/>
              </w:rPr>
              <w:t>的，支付不低于工资的150%的工资报酬；休息日工作又不能安排补休的，支付不低于工资的200%的工资报酬；法定休假日工作的，支付不低于</w:t>
            </w:r>
            <w:r>
              <w:rPr>
                <w:rFonts w:hint="eastAsia" w:ascii="宋体" w:hAnsi="宋体"/>
                <w:color w:val="auto"/>
                <w:szCs w:val="21"/>
                <w:highlight w:val="none"/>
              </w:rPr>
              <w:t>300%</w:t>
            </w:r>
            <w:r>
              <w:rPr>
                <w:rFonts w:ascii="宋体" w:hAnsi="宋体"/>
                <w:color w:val="auto"/>
                <w:szCs w:val="21"/>
                <w:highlight w:val="none"/>
              </w:rPr>
              <w:t>的工资报酬。</w:t>
            </w:r>
          </w:p>
          <w:p>
            <w:pPr>
              <w:numPr>
                <w:ilvl w:val="0"/>
                <w:numId w:val="111"/>
              </w:numPr>
              <w:rPr>
                <w:rFonts w:ascii="宋体" w:hAnsi="宋体"/>
                <w:color w:val="auto"/>
                <w:szCs w:val="21"/>
                <w:highlight w:val="none"/>
              </w:rPr>
            </w:pPr>
            <w:r>
              <w:rPr>
                <w:rFonts w:hint="eastAsia" w:ascii="宋体" w:hAnsi="宋体"/>
                <w:color w:val="auto"/>
                <w:szCs w:val="21"/>
                <w:highlight w:val="none"/>
              </w:rPr>
              <w:t>每人月实发工资</w:t>
            </w:r>
            <w:r>
              <w:rPr>
                <w:rFonts w:ascii="宋体" w:hAnsi="宋体"/>
                <w:color w:val="auto"/>
                <w:szCs w:val="21"/>
                <w:highlight w:val="none"/>
              </w:rPr>
              <w:t>含基本工资、加班工资、津贴</w:t>
            </w:r>
            <w:r>
              <w:rPr>
                <w:rFonts w:hint="eastAsia" w:ascii="宋体" w:hAnsi="宋体"/>
                <w:color w:val="auto"/>
                <w:szCs w:val="21"/>
                <w:highlight w:val="none"/>
              </w:rPr>
              <w:t>补助；人均月人工总费用为人员正常工作时间工资、社保、津贴补助、住房公积金、加班工资的总和。</w:t>
            </w:r>
          </w:p>
          <w:p>
            <w:pPr>
              <w:numPr>
                <w:ilvl w:val="0"/>
                <w:numId w:val="111"/>
              </w:numPr>
              <w:rPr>
                <w:color w:val="auto"/>
                <w:szCs w:val="21"/>
                <w:highlight w:val="none"/>
              </w:rPr>
            </w:pPr>
            <w:r>
              <w:rPr>
                <w:rFonts w:hint="eastAsia" w:ascii="宋体" w:hAnsi="宋体"/>
                <w:color w:val="auto"/>
                <w:szCs w:val="21"/>
                <w:highlight w:val="none"/>
              </w:rPr>
              <w:t>以上各岗位人员数量应与投标方投标响应数量一致，且成本应一一列明，否则将导致投标无效。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小计：一、人工成本</w:t>
            </w:r>
            <w:r>
              <w:rPr>
                <w:rFonts w:hint="eastAsia"/>
                <w:b/>
                <w:color w:val="auto"/>
                <w:szCs w:val="21"/>
                <w:highlight w:val="none"/>
              </w:rPr>
              <w:t>：            元</w:t>
            </w:r>
          </w:p>
        </w:tc>
        <w:tc>
          <w:tcPr>
            <w:tcW w:w="2880" w:type="dxa"/>
            <w:gridSpan w:val="2"/>
            <w:tcBorders>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占年投标总价的（   %）</w:t>
            </w:r>
          </w:p>
          <w:p>
            <w:pPr>
              <w:rPr>
                <w:rFonts w:hint="eastAsia" w:eastAsia="宋体"/>
                <w:color w:val="auto"/>
                <w:szCs w:val="21"/>
                <w:highlight w:val="none"/>
                <w:lang w:eastAsia="zh-CN"/>
              </w:rPr>
            </w:pPr>
            <w:r>
              <w:rPr>
                <w:rFonts w:hint="eastAsia" w:ascii="宋体" w:hAnsi="宋体"/>
                <w:color w:val="auto"/>
                <w:szCs w:val="21"/>
                <w:highlight w:val="none"/>
              </w:rPr>
              <w:t>人工成本为表格中列明的</w:t>
            </w:r>
            <w:r>
              <w:rPr>
                <w:rFonts w:hint="eastAsia" w:ascii="宋体" w:hAnsi="宋体"/>
                <w:color w:val="auto"/>
                <w:szCs w:val="21"/>
                <w:highlight w:val="none"/>
                <w:lang w:eastAsia="zh-CN"/>
              </w:rPr>
              <w:t>十</w:t>
            </w:r>
            <w:r>
              <w:rPr>
                <w:rFonts w:ascii="宋体" w:hAnsi="宋体"/>
                <w:color w:val="auto"/>
                <w:szCs w:val="21"/>
                <w:highlight w:val="none"/>
              </w:rPr>
              <w:t>类人员的</w:t>
            </w:r>
            <w:r>
              <w:rPr>
                <w:rFonts w:hint="eastAsia" w:ascii="宋体" w:hAnsi="宋体"/>
                <w:color w:val="auto"/>
                <w:szCs w:val="21"/>
                <w:highlight w:val="none"/>
              </w:rPr>
              <w:t>“</w:t>
            </w:r>
            <w:r>
              <w:rPr>
                <w:rFonts w:ascii="宋体" w:hAnsi="宋体"/>
                <w:color w:val="auto"/>
                <w:szCs w:val="21"/>
                <w:highlight w:val="none"/>
              </w:rPr>
              <w:t>年</w:t>
            </w:r>
            <w:r>
              <w:rPr>
                <w:rFonts w:hint="eastAsia" w:ascii="宋体" w:hAnsi="宋体"/>
                <w:color w:val="auto"/>
                <w:szCs w:val="21"/>
                <w:highlight w:val="none"/>
                <w:lang w:eastAsia="zh-CN"/>
              </w:rPr>
              <w:t>人工费</w:t>
            </w:r>
            <w:r>
              <w:rPr>
                <w:rFonts w:hint="eastAsia" w:ascii="宋体" w:hAnsi="宋体"/>
                <w:color w:val="auto"/>
                <w:szCs w:val="21"/>
                <w:highlight w:val="none"/>
              </w:rPr>
              <w:t>”总</w:t>
            </w:r>
            <w:r>
              <w:rPr>
                <w:rFonts w:ascii="宋体" w:hAnsi="宋体"/>
                <w:color w:val="auto"/>
                <w:szCs w:val="21"/>
                <w:highlight w:val="none"/>
              </w:rPr>
              <w:t>和</w:t>
            </w:r>
            <w:r>
              <w:rPr>
                <w:rFonts w:hint="eastAsia" w:ascii="宋体" w:hAnsi="宋体"/>
                <w:color w:val="auto"/>
                <w:szCs w:val="21"/>
                <w:highlight w:val="none"/>
              </w:rPr>
              <w:t>，占</w:t>
            </w:r>
            <w:r>
              <w:rPr>
                <w:rFonts w:hint="eastAsia" w:ascii="宋体" w:hAnsi="宋体"/>
                <w:bCs/>
                <w:color w:val="auto"/>
                <w:szCs w:val="21"/>
                <w:highlight w:val="none"/>
              </w:rPr>
              <w:t>比应</w:t>
            </w:r>
            <w:r>
              <w:rPr>
                <w:rFonts w:hint="eastAsia" w:ascii="宋体" w:hAnsi="宋体"/>
                <w:bCs/>
                <w:color w:val="auto"/>
                <w:szCs w:val="21"/>
                <w:highlight w:val="none"/>
                <w:lang w:val="en-US" w:eastAsia="zh-CN"/>
              </w:rPr>
              <w:t>不得低于预算金额</w:t>
            </w:r>
            <w:r>
              <w:rPr>
                <w:rFonts w:hint="eastAsia" w:ascii="宋体" w:hAnsi="宋体"/>
                <w:bCs/>
                <w:color w:val="auto"/>
                <w:szCs w:val="21"/>
                <w:highlight w:val="none"/>
              </w:rPr>
              <w:t>的6</w:t>
            </w:r>
            <w:r>
              <w:rPr>
                <w:rFonts w:hint="eastAsia" w:ascii="宋体" w:hAnsi="宋体"/>
                <w:bCs/>
                <w:color w:val="auto"/>
                <w:szCs w:val="21"/>
                <w:highlight w:val="none"/>
                <w:lang w:val="en-US" w:eastAsia="zh-CN"/>
              </w:rPr>
              <w:t>5</w:t>
            </w:r>
            <w:r>
              <w:rPr>
                <w:rFonts w:hint="eastAsia" w:ascii="宋体" w:hAnsi="宋体"/>
                <w:bCs/>
                <w:color w:val="auto"/>
                <w:szCs w:val="21"/>
                <w:highlight w:val="none"/>
              </w:rPr>
              <w:t>%</w:t>
            </w:r>
            <w:r>
              <w:rPr>
                <w:rFonts w:hint="eastAsia"/>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Ansi="宋体" w:cs="宋体"/>
                <w:b/>
                <w:color w:val="auto"/>
                <w:szCs w:val="21"/>
                <w:highlight w:val="none"/>
              </w:rPr>
            </w:pPr>
            <w:r>
              <w:rPr>
                <w:rFonts w:hint="eastAsia" w:hAnsi="宋体" w:cs="宋体"/>
                <w:b/>
                <w:color w:val="auto"/>
                <w:szCs w:val="21"/>
                <w:highlight w:val="none"/>
              </w:rPr>
              <w:t>二、</w:t>
            </w:r>
            <w:r>
              <w:rPr>
                <w:rFonts w:hint="eastAsia" w:ascii="宋体" w:hAnsi="宋体"/>
                <w:b/>
                <w:color w:val="auto"/>
                <w:szCs w:val="21"/>
                <w:highlight w:val="none"/>
              </w:rPr>
              <w:t>机械材料费</w:t>
            </w:r>
          </w:p>
        </w:tc>
        <w:tc>
          <w:tcPr>
            <w:tcW w:w="2880"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Ansi="宋体" w:cs="宋体"/>
                <w:b/>
                <w:color w:val="auto"/>
                <w:szCs w:val="21"/>
                <w:highlight w:val="none"/>
              </w:rPr>
            </w:pPr>
            <w:r>
              <w:rPr>
                <w:rFonts w:hint="eastAsia" w:hAnsi="宋体" w:cs="宋体"/>
                <w:b/>
                <w:color w:val="auto"/>
                <w:szCs w:val="21"/>
                <w:highlight w:val="none"/>
              </w:rPr>
              <w:t>（一）机械设备费</w:t>
            </w:r>
          </w:p>
        </w:tc>
        <w:tc>
          <w:tcPr>
            <w:tcW w:w="2880"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top w:val="single" w:color="auto" w:sz="4" w:space="0"/>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982" w:type="dxa"/>
            <w:gridSpan w:val="2"/>
            <w:tcBorders>
              <w:top w:val="single" w:color="auto" w:sz="4" w:space="0"/>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费用名称</w:t>
            </w:r>
          </w:p>
        </w:tc>
        <w:tc>
          <w:tcPr>
            <w:tcW w:w="234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月均费用（元/月）</w:t>
            </w:r>
          </w:p>
        </w:tc>
        <w:tc>
          <w:tcPr>
            <w:tcW w:w="2291" w:type="dxa"/>
            <w:gridSpan w:val="4"/>
            <w:tcBorders>
              <w:top w:val="single" w:color="auto" w:sz="4" w:space="0"/>
              <w:left w:val="single" w:color="auto" w:sz="4" w:space="0"/>
              <w:bottom w:val="nil"/>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年费用（元/年）</w:t>
            </w:r>
          </w:p>
        </w:tc>
        <w:tc>
          <w:tcPr>
            <w:tcW w:w="2880" w:type="dxa"/>
            <w:gridSpan w:val="2"/>
            <w:tcBorders>
              <w:top w:val="single" w:color="auto" w:sz="4" w:space="0"/>
              <w:left w:val="single" w:color="auto" w:sz="4" w:space="0"/>
              <w:bottom w:val="nil"/>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jc w:val="center"/>
              <w:rPr>
                <w:rFonts w:ascii="宋体" w:hAnsi="宋体"/>
                <w:color w:val="auto"/>
                <w:szCs w:val="21"/>
                <w:highlight w:val="none"/>
              </w:rPr>
            </w:pPr>
            <w:r>
              <w:rPr>
                <w:rFonts w:hint="eastAsia" w:hAnsi="宋体" w:cs="宋体"/>
                <w:b w:val="0"/>
                <w:bCs/>
                <w:color w:val="auto"/>
                <w:szCs w:val="21"/>
                <w:highlight w:val="none"/>
                <w:lang w:val="en-US" w:eastAsia="zh-CN"/>
              </w:rPr>
              <w:t>1</w:t>
            </w:r>
          </w:p>
        </w:tc>
        <w:tc>
          <w:tcPr>
            <w:tcW w:w="982" w:type="dxa"/>
            <w:gridSpan w:val="2"/>
            <w:tcBorders>
              <w:left w:val="single" w:color="auto" w:sz="4" w:space="0"/>
              <w:right w:val="single" w:color="auto" w:sz="4" w:space="0"/>
            </w:tcBorders>
            <w:vAlign w:val="center"/>
          </w:tcPr>
          <w:p>
            <w:pPr>
              <w:jc w:val="center"/>
              <w:rPr>
                <w:rFonts w:ascii="宋体" w:hAnsi="宋体"/>
                <w:color w:val="auto"/>
                <w:szCs w:val="21"/>
                <w:highlight w:val="none"/>
              </w:rPr>
            </w:pPr>
            <w:r>
              <w:rPr>
                <w:rFonts w:hint="eastAsia" w:hAnsi="宋体" w:cs="宋体"/>
                <w:b w:val="0"/>
                <w:bCs/>
                <w:color w:val="auto"/>
                <w:szCs w:val="21"/>
                <w:highlight w:val="none"/>
              </w:rPr>
              <w:t>机械设备费</w:t>
            </w:r>
          </w:p>
        </w:tc>
        <w:tc>
          <w:tcPr>
            <w:tcW w:w="2345" w:type="dxa"/>
            <w:gridSpan w:val="4"/>
            <w:tcBorders>
              <w:left w:val="single" w:color="auto" w:sz="4" w:space="0"/>
              <w:right w:val="single" w:color="auto" w:sz="4" w:space="0"/>
            </w:tcBorders>
            <w:vAlign w:val="center"/>
          </w:tcPr>
          <w:p>
            <w:pPr>
              <w:rPr>
                <w:rFonts w:ascii="宋体" w:hAnsi="宋体"/>
                <w:color w:val="auto"/>
                <w:szCs w:val="21"/>
                <w:highlight w:val="none"/>
              </w:rPr>
            </w:pPr>
          </w:p>
        </w:tc>
        <w:tc>
          <w:tcPr>
            <w:tcW w:w="2291" w:type="dxa"/>
            <w:gridSpan w:val="4"/>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nil"/>
              <w:right w:val="single" w:color="auto" w:sz="4" w:space="0"/>
            </w:tcBorders>
            <w:vAlign w:val="center"/>
          </w:tcPr>
          <w:p>
            <w:pPr>
              <w:rPr>
                <w:rFonts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jc w:val="center"/>
        </w:trPr>
        <w:tc>
          <w:tcPr>
            <w:tcW w:w="9239" w:type="dxa"/>
            <w:gridSpan w:val="13"/>
            <w:tcBorders>
              <w:left w:val="single" w:color="auto" w:sz="4" w:space="0"/>
              <w:right w:val="single" w:color="auto" w:sz="4" w:space="0"/>
            </w:tcBorders>
            <w:vAlign w:val="center"/>
          </w:tcPr>
          <w:p>
            <w:pPr>
              <w:rPr>
                <w:color w:val="auto"/>
                <w:szCs w:val="21"/>
                <w:highlight w:val="none"/>
              </w:rPr>
            </w:pPr>
            <w:r>
              <w:rPr>
                <w:rFonts w:hint="eastAsia"/>
                <w:color w:val="auto"/>
                <w:szCs w:val="21"/>
                <w:highlight w:val="none"/>
              </w:rPr>
              <w:t>注：</w:t>
            </w:r>
          </w:p>
          <w:p>
            <w:pPr>
              <w:numPr>
                <w:ilvl w:val="0"/>
                <w:numId w:val="112"/>
              </w:numPr>
              <w:rPr>
                <w:rFonts w:ascii="宋体" w:hAnsi="宋体"/>
                <w:color w:val="auto"/>
                <w:szCs w:val="21"/>
                <w:highlight w:val="none"/>
              </w:rPr>
            </w:pPr>
            <w:r>
              <w:rPr>
                <w:rFonts w:hint="eastAsia" w:hAnsi="宋体" w:cs="宋体"/>
                <w:bCs/>
                <w:color w:val="auto"/>
                <w:szCs w:val="21"/>
                <w:highlight w:val="none"/>
              </w:rPr>
              <w:t>年费用合计=响应数量×（折旧费+维修费+油料费、电费+车辆规费+车辆商业险+GPS费用+其他）</w:t>
            </w:r>
          </w:p>
          <w:p>
            <w:pPr>
              <w:numPr>
                <w:ilvl w:val="0"/>
                <w:numId w:val="112"/>
              </w:numPr>
              <w:rPr>
                <w:rFonts w:hAnsi="宋体" w:cs="宋体"/>
                <w:bCs/>
                <w:color w:val="auto"/>
                <w:szCs w:val="21"/>
                <w:highlight w:val="none"/>
              </w:rPr>
            </w:pPr>
            <w:r>
              <w:rPr>
                <w:rFonts w:hint="eastAsia"/>
                <w:color w:val="auto"/>
                <w:szCs w:val="21"/>
                <w:highlight w:val="none"/>
              </w:rPr>
              <w:t>车辆规费</w:t>
            </w:r>
            <w:r>
              <w:rPr>
                <w:rFonts w:hint="eastAsia" w:hAnsi="宋体" w:cs="宋体"/>
                <w:bCs/>
                <w:color w:val="auto"/>
                <w:szCs w:val="21"/>
                <w:highlight w:val="none"/>
              </w:rPr>
              <w:t>包含</w:t>
            </w:r>
            <w:r>
              <w:rPr>
                <w:rFonts w:hAnsi="宋体" w:cs="宋体"/>
                <w:bCs/>
                <w:color w:val="auto"/>
                <w:szCs w:val="21"/>
                <w:highlight w:val="none"/>
              </w:rPr>
              <w:t>交强险</w:t>
            </w:r>
            <w:r>
              <w:rPr>
                <w:rFonts w:hint="eastAsia" w:hAnsi="宋体" w:cs="宋体"/>
                <w:bCs/>
                <w:color w:val="auto"/>
                <w:szCs w:val="21"/>
                <w:highlight w:val="none"/>
              </w:rPr>
              <w:t>、车船税等国家规定征收的交通车辆费用；</w:t>
            </w:r>
          </w:p>
          <w:p>
            <w:pPr>
              <w:numPr>
                <w:ilvl w:val="0"/>
                <w:numId w:val="112"/>
              </w:numPr>
              <w:rPr>
                <w:rFonts w:hAnsi="宋体" w:cs="宋体"/>
                <w:bCs/>
                <w:color w:val="auto"/>
                <w:szCs w:val="21"/>
                <w:highlight w:val="none"/>
              </w:rPr>
            </w:pPr>
            <w:r>
              <w:rPr>
                <w:rFonts w:hint="eastAsia" w:hAnsi="宋体" w:cs="宋体"/>
                <w:bCs/>
                <w:color w:val="auto"/>
                <w:szCs w:val="21"/>
                <w:highlight w:val="none"/>
              </w:rPr>
              <w:t>车辆商业险包含车辆商业险；</w:t>
            </w:r>
          </w:p>
          <w:p>
            <w:pPr>
              <w:numPr>
                <w:ilvl w:val="0"/>
                <w:numId w:val="112"/>
              </w:numPr>
              <w:rPr>
                <w:rFonts w:hAnsi="宋体" w:cs="宋体"/>
                <w:bCs/>
                <w:color w:val="auto"/>
                <w:szCs w:val="21"/>
                <w:highlight w:val="none"/>
              </w:rPr>
            </w:pPr>
            <w:r>
              <w:rPr>
                <w:rFonts w:hint="eastAsia" w:hAnsi="宋体" w:cs="宋体"/>
                <w:bCs/>
                <w:color w:val="auto"/>
                <w:szCs w:val="21"/>
                <w:highlight w:val="none"/>
              </w:rPr>
              <w:t>GPS费用包含GPS设备及通讯费用；</w:t>
            </w:r>
          </w:p>
          <w:p>
            <w:pPr>
              <w:numPr>
                <w:ilvl w:val="0"/>
                <w:numId w:val="112"/>
              </w:numPr>
              <w:rPr>
                <w:rFonts w:hAnsi="宋体" w:cs="宋体"/>
                <w:bCs/>
                <w:color w:val="auto"/>
                <w:szCs w:val="21"/>
                <w:highlight w:val="none"/>
              </w:rPr>
            </w:pPr>
            <w:r>
              <w:rPr>
                <w:rFonts w:hint="eastAsia" w:hAnsi="宋体" w:cs="宋体"/>
                <w:bCs/>
                <w:color w:val="auto"/>
                <w:szCs w:val="21"/>
                <w:highlight w:val="none"/>
              </w:rPr>
              <w:t>折旧费、维修费、油料费、电费、车辆规费、车辆商业险、GPS费用及其他均指每台车/设备/设施的费用；</w:t>
            </w:r>
          </w:p>
          <w:p>
            <w:pPr>
              <w:numPr>
                <w:ilvl w:val="0"/>
                <w:numId w:val="112"/>
              </w:numPr>
              <w:rPr>
                <w:rFonts w:ascii="宋体" w:hAnsi="宋体"/>
                <w:color w:val="auto"/>
                <w:szCs w:val="21"/>
                <w:highlight w:val="none"/>
              </w:rPr>
            </w:pPr>
            <w:r>
              <w:rPr>
                <w:rFonts w:hint="eastAsia" w:ascii="宋体" w:hAnsi="宋体"/>
                <w:color w:val="auto"/>
                <w:szCs w:val="21"/>
                <w:highlight w:val="none"/>
              </w:rPr>
              <w:t>以上车辆、机械的响应数量应与投标方投标响应数量一致，否则将导致投标无效。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小计：（一）机械设备费</w:t>
            </w:r>
            <w:r>
              <w:rPr>
                <w:rFonts w:hint="eastAsia"/>
                <w:b/>
                <w:color w:val="auto"/>
                <w:szCs w:val="21"/>
                <w:highlight w:val="none"/>
              </w:rPr>
              <w:t>：            元</w:t>
            </w:r>
          </w:p>
        </w:tc>
        <w:tc>
          <w:tcPr>
            <w:tcW w:w="2880" w:type="dxa"/>
            <w:gridSpan w:val="2"/>
            <w:tcBorders>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占年投标总价的（   %）</w:t>
            </w:r>
          </w:p>
          <w:p>
            <w:pPr>
              <w:rPr>
                <w:color w:val="auto"/>
                <w:szCs w:val="21"/>
                <w:highlight w:val="none"/>
              </w:rPr>
            </w:pPr>
            <w:r>
              <w:rPr>
                <w:rFonts w:hint="eastAsia" w:ascii="宋体" w:hAnsi="宋体"/>
                <w:color w:val="auto"/>
                <w:szCs w:val="21"/>
                <w:highlight w:val="none"/>
              </w:rPr>
              <w:t>年费用合计总</w:t>
            </w:r>
            <w:r>
              <w:rPr>
                <w:rFonts w:ascii="宋体" w:hAnsi="宋体"/>
                <w:color w:val="auto"/>
                <w:szCs w:val="21"/>
                <w:highlight w:val="none"/>
              </w:rPr>
              <w:t>和</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int="eastAsia" w:hAnsi="宋体" w:cs="宋体"/>
                <w:b/>
                <w:color w:val="auto"/>
                <w:szCs w:val="21"/>
                <w:highlight w:val="none"/>
              </w:rPr>
            </w:pPr>
            <w:r>
              <w:rPr>
                <w:rFonts w:hint="eastAsia" w:hAnsi="宋体" w:cs="宋体"/>
                <w:b/>
                <w:color w:val="auto"/>
                <w:szCs w:val="21"/>
                <w:highlight w:val="none"/>
                <w:lang w:eastAsia="zh-CN"/>
              </w:rPr>
              <w:t>（</w:t>
            </w:r>
            <w:r>
              <w:rPr>
                <w:rFonts w:hint="eastAsia" w:hAnsi="宋体" w:cs="宋体"/>
                <w:b/>
                <w:color w:val="auto"/>
                <w:szCs w:val="21"/>
                <w:highlight w:val="none"/>
                <w:lang w:val="en-US" w:eastAsia="zh-CN"/>
              </w:rPr>
              <w:t>二</w:t>
            </w:r>
            <w:r>
              <w:rPr>
                <w:rFonts w:hint="eastAsia" w:hAnsi="宋体" w:cs="宋体"/>
                <w:b/>
                <w:color w:val="auto"/>
                <w:szCs w:val="21"/>
                <w:highlight w:val="none"/>
                <w:lang w:eastAsia="zh-CN"/>
              </w:rPr>
              <w:t>）</w:t>
            </w:r>
            <w:r>
              <w:rPr>
                <w:rFonts w:hint="eastAsia" w:hAnsi="宋体" w:cs="宋体"/>
                <w:b/>
                <w:color w:val="auto"/>
                <w:szCs w:val="21"/>
                <w:highlight w:val="none"/>
                <w:lang w:val="en-US" w:eastAsia="zh-CN"/>
              </w:rPr>
              <w:t>材料费</w:t>
            </w:r>
          </w:p>
        </w:tc>
        <w:tc>
          <w:tcPr>
            <w:tcW w:w="2880" w:type="dxa"/>
            <w:gridSpan w:val="2"/>
            <w:tcBorders>
              <w:left w:val="single" w:color="auto" w:sz="4" w:space="0"/>
              <w:bottom w:val="single" w:color="auto" w:sz="4" w:space="0"/>
              <w:right w:val="single" w:color="auto" w:sz="4" w:space="0"/>
            </w:tcBorders>
            <w:vAlign w:val="center"/>
          </w:tcPr>
          <w:p>
            <w:pP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2097" w:type="dxa"/>
            <w:gridSpan w:val="4"/>
            <w:tcBorders>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材料名称</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月均费用（元/月）</w:t>
            </w:r>
          </w:p>
        </w:tc>
        <w:tc>
          <w:tcPr>
            <w:tcW w:w="165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年费用（元/年）</w:t>
            </w:r>
          </w:p>
        </w:tc>
        <w:tc>
          <w:tcPr>
            <w:tcW w:w="28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苗木费</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2</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肥料费</w:t>
            </w:r>
          </w:p>
        </w:tc>
        <w:tc>
          <w:tcPr>
            <w:tcW w:w="1871" w:type="dxa"/>
            <w:gridSpan w:val="4"/>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3</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水、电费</w:t>
            </w:r>
          </w:p>
        </w:tc>
        <w:tc>
          <w:tcPr>
            <w:tcW w:w="1871" w:type="dxa"/>
            <w:gridSpan w:val="4"/>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4</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农药及消杀、清洁费</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5</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工具费</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6</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其他材料费</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小计：</w:t>
            </w:r>
            <w:r>
              <w:rPr>
                <w:rFonts w:hint="eastAsia" w:hAnsi="宋体" w:cs="宋体"/>
                <w:b/>
                <w:color w:val="auto"/>
                <w:szCs w:val="21"/>
                <w:highlight w:val="none"/>
                <w:lang w:eastAsia="zh-CN"/>
              </w:rPr>
              <w:t>（</w:t>
            </w:r>
            <w:r>
              <w:rPr>
                <w:rFonts w:hint="eastAsia" w:hAnsi="宋体" w:cs="宋体"/>
                <w:b/>
                <w:color w:val="auto"/>
                <w:szCs w:val="21"/>
                <w:highlight w:val="none"/>
                <w:lang w:val="en-US" w:eastAsia="zh-CN"/>
              </w:rPr>
              <w:t>二</w:t>
            </w:r>
            <w:r>
              <w:rPr>
                <w:rFonts w:hint="eastAsia" w:hAnsi="宋体" w:cs="宋体"/>
                <w:b/>
                <w:color w:val="auto"/>
                <w:szCs w:val="21"/>
                <w:highlight w:val="none"/>
                <w:lang w:eastAsia="zh-CN"/>
              </w:rPr>
              <w:t>）</w:t>
            </w:r>
            <w:r>
              <w:rPr>
                <w:rFonts w:hint="eastAsia" w:ascii="宋体" w:hAnsi="宋体"/>
                <w:b/>
                <w:color w:val="auto"/>
                <w:szCs w:val="21"/>
                <w:highlight w:val="none"/>
              </w:rPr>
              <w:t>材料费</w:t>
            </w:r>
            <w:r>
              <w:rPr>
                <w:rFonts w:hint="eastAsia"/>
                <w:b/>
                <w:color w:val="auto"/>
                <w:szCs w:val="21"/>
                <w:highlight w:val="none"/>
              </w:rPr>
              <w:t>：            元</w:t>
            </w:r>
          </w:p>
        </w:tc>
        <w:tc>
          <w:tcPr>
            <w:tcW w:w="2880" w:type="dxa"/>
            <w:gridSpan w:val="2"/>
            <w:tcBorders>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占年投标总价的（   %）</w:t>
            </w:r>
          </w:p>
          <w:p>
            <w:pPr>
              <w:rPr>
                <w:color w:val="auto"/>
                <w:szCs w:val="21"/>
                <w:highlight w:val="none"/>
              </w:rPr>
            </w:pPr>
            <w:r>
              <w:rPr>
                <w:rFonts w:hint="eastAsia" w:ascii="宋体" w:hAnsi="宋体"/>
                <w:color w:val="auto"/>
                <w:szCs w:val="21"/>
                <w:highlight w:val="none"/>
              </w:rPr>
              <w:t>年费用总</w:t>
            </w:r>
            <w:r>
              <w:rPr>
                <w:rFonts w:ascii="宋体" w:hAnsi="宋体"/>
                <w:color w:val="auto"/>
                <w:szCs w:val="21"/>
                <w:highlight w:val="none"/>
              </w:rPr>
              <w:t>和</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int="eastAsia" w:hAnsi="宋体" w:cs="宋体"/>
                <w:b/>
                <w:color w:val="auto"/>
                <w:szCs w:val="21"/>
                <w:highlight w:val="none"/>
              </w:rPr>
            </w:pPr>
            <w:r>
              <w:rPr>
                <w:rFonts w:hint="eastAsia" w:hAnsi="宋体" w:cs="宋体"/>
                <w:b/>
                <w:color w:val="auto"/>
                <w:szCs w:val="21"/>
                <w:highlight w:val="none"/>
                <w:lang w:eastAsia="zh-CN"/>
              </w:rPr>
              <w:t>（</w:t>
            </w:r>
            <w:r>
              <w:rPr>
                <w:rFonts w:hint="eastAsia" w:hAnsi="宋体" w:cs="宋体"/>
                <w:b/>
                <w:color w:val="auto"/>
                <w:szCs w:val="21"/>
                <w:highlight w:val="none"/>
                <w:lang w:val="en-US" w:eastAsia="zh-CN"/>
              </w:rPr>
              <w:t>三</w:t>
            </w:r>
            <w:r>
              <w:rPr>
                <w:rFonts w:hint="eastAsia" w:hAnsi="宋体" w:cs="宋体"/>
                <w:b/>
                <w:color w:val="auto"/>
                <w:szCs w:val="21"/>
                <w:highlight w:val="none"/>
                <w:lang w:eastAsia="zh-CN"/>
              </w:rPr>
              <w:t>）</w:t>
            </w:r>
            <w:r>
              <w:rPr>
                <w:rFonts w:hint="eastAsia" w:ascii="宋体" w:hAnsi="宋体"/>
                <w:b/>
                <w:color w:val="auto"/>
                <w:szCs w:val="21"/>
                <w:highlight w:val="none"/>
              </w:rPr>
              <w:t>安全文明施工措施费</w:t>
            </w:r>
            <w:r>
              <w:rPr>
                <w:rFonts w:hint="eastAsia" w:ascii="宋体" w:hAnsi="宋体"/>
                <w:b/>
                <w:color w:val="auto"/>
                <w:szCs w:val="21"/>
                <w:highlight w:val="none"/>
                <w:lang w:val="en-US" w:eastAsia="zh-CN"/>
              </w:rPr>
              <w:t xml:space="preserve"> </w:t>
            </w:r>
          </w:p>
        </w:tc>
        <w:tc>
          <w:tcPr>
            <w:tcW w:w="2880" w:type="dxa"/>
            <w:gridSpan w:val="2"/>
            <w:tcBorders>
              <w:left w:val="single" w:color="auto" w:sz="4" w:space="0"/>
              <w:bottom w:val="single" w:color="auto" w:sz="4" w:space="0"/>
              <w:right w:val="single" w:color="auto" w:sz="4" w:space="0"/>
            </w:tcBorders>
            <w:vAlign w:val="center"/>
          </w:tcPr>
          <w:p>
            <w:pP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41" w:type="dxa"/>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r>
              <w:rPr>
                <w:rFonts w:hint="eastAsia" w:ascii="宋体" w:hAnsi="宋体"/>
                <w:b/>
                <w:bCs/>
                <w:color w:val="auto"/>
                <w:szCs w:val="21"/>
                <w:highlight w:val="none"/>
              </w:rPr>
              <w:t>序号</w:t>
            </w:r>
          </w:p>
        </w:tc>
        <w:tc>
          <w:tcPr>
            <w:tcW w:w="2097" w:type="dxa"/>
            <w:gridSpan w:val="4"/>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r>
              <w:rPr>
                <w:rFonts w:hint="eastAsia" w:ascii="宋体" w:hAnsi="宋体"/>
                <w:b/>
                <w:bCs/>
                <w:color w:val="auto"/>
                <w:szCs w:val="21"/>
                <w:highlight w:val="none"/>
              </w:rPr>
              <w:t>费用名称</w:t>
            </w:r>
          </w:p>
        </w:tc>
        <w:tc>
          <w:tcPr>
            <w:tcW w:w="1871" w:type="dxa"/>
            <w:gridSpan w:val="4"/>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r>
              <w:rPr>
                <w:rFonts w:hint="eastAsia" w:ascii="宋体" w:hAnsi="宋体"/>
                <w:b/>
                <w:bCs/>
                <w:color w:val="auto"/>
                <w:szCs w:val="21"/>
                <w:highlight w:val="none"/>
              </w:rPr>
              <w:t>月均费用（元/月）</w:t>
            </w:r>
          </w:p>
        </w:tc>
        <w:tc>
          <w:tcPr>
            <w:tcW w:w="1650" w:type="dxa"/>
            <w:gridSpan w:val="2"/>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r>
              <w:rPr>
                <w:rFonts w:hint="eastAsia" w:ascii="宋体" w:hAnsi="宋体"/>
                <w:b/>
                <w:bCs/>
                <w:color w:val="auto"/>
                <w:szCs w:val="21"/>
                <w:highlight w:val="none"/>
              </w:rPr>
              <w:t>年费用（元/年）</w:t>
            </w:r>
          </w:p>
        </w:tc>
        <w:tc>
          <w:tcPr>
            <w:tcW w:w="2880" w:type="dxa"/>
            <w:gridSpan w:val="2"/>
            <w:tcBorders>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b/>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41" w:type="dxa"/>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r>
              <w:rPr>
                <w:rFonts w:hint="eastAsia" w:ascii="宋体" w:hAnsi="宋体"/>
                <w:color w:val="auto"/>
                <w:szCs w:val="21"/>
                <w:highlight w:val="none"/>
                <w:lang w:val="en-US" w:eastAsia="zh-CN"/>
              </w:rPr>
              <w:t>1</w:t>
            </w:r>
          </w:p>
        </w:tc>
        <w:tc>
          <w:tcPr>
            <w:tcW w:w="2097" w:type="dxa"/>
            <w:gridSpan w:val="4"/>
            <w:tcBorders>
              <w:left w:val="single" w:color="auto" w:sz="4" w:space="0"/>
              <w:bottom w:val="single" w:color="auto" w:sz="4" w:space="0"/>
              <w:right w:val="single" w:color="auto" w:sz="4" w:space="0"/>
            </w:tcBorders>
            <w:vAlign w:val="center"/>
          </w:tcPr>
          <w:p>
            <w:pPr>
              <w:rPr>
                <w:rFonts w:hint="eastAsia" w:ascii="Times New Roman" w:hAnsi="宋体" w:eastAsia="宋体" w:cs="宋体"/>
                <w:b/>
                <w:color w:val="auto"/>
                <w:kern w:val="2"/>
                <w:sz w:val="21"/>
                <w:szCs w:val="21"/>
                <w:highlight w:val="none"/>
                <w:lang w:val="en-US" w:eastAsia="zh-CN" w:bidi="ar-SA"/>
              </w:rPr>
            </w:pPr>
            <w:r>
              <w:rPr>
                <w:rFonts w:hint="eastAsia" w:ascii="宋体" w:hAnsi="宋体"/>
                <w:b/>
                <w:color w:val="auto"/>
                <w:szCs w:val="21"/>
                <w:highlight w:val="none"/>
              </w:rPr>
              <w:t>安全文明施工措施费</w:t>
            </w:r>
          </w:p>
        </w:tc>
        <w:tc>
          <w:tcPr>
            <w:tcW w:w="1871" w:type="dxa"/>
            <w:gridSpan w:val="4"/>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p>
        </w:tc>
        <w:tc>
          <w:tcPr>
            <w:tcW w:w="1650" w:type="dxa"/>
            <w:gridSpan w:val="2"/>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p>
        </w:tc>
        <w:tc>
          <w:tcPr>
            <w:tcW w:w="2880" w:type="dxa"/>
            <w:gridSpan w:val="2"/>
            <w:tcBorders>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int="eastAsia" w:ascii="Times New Roman" w:hAnsi="宋体" w:eastAsia="宋体" w:cs="宋体"/>
                <w:b/>
                <w:color w:val="auto"/>
                <w:kern w:val="2"/>
                <w:sz w:val="21"/>
                <w:szCs w:val="21"/>
                <w:highlight w:val="none"/>
                <w:lang w:val="en-US" w:eastAsia="zh-CN" w:bidi="ar-SA"/>
              </w:rPr>
            </w:pPr>
            <w:r>
              <w:rPr>
                <w:rFonts w:hint="eastAsia" w:hAnsi="宋体" w:cs="宋体"/>
                <w:b/>
                <w:color w:val="auto"/>
                <w:szCs w:val="21"/>
                <w:highlight w:val="none"/>
              </w:rPr>
              <w:t>小计：</w:t>
            </w:r>
            <w:r>
              <w:rPr>
                <w:rFonts w:hint="eastAsia" w:hAnsi="宋体" w:cs="宋体"/>
                <w:b/>
                <w:color w:val="auto"/>
                <w:szCs w:val="21"/>
                <w:highlight w:val="none"/>
                <w:lang w:eastAsia="zh-CN"/>
              </w:rPr>
              <w:t>（</w:t>
            </w:r>
            <w:r>
              <w:rPr>
                <w:rFonts w:hint="eastAsia" w:hAnsi="宋体" w:cs="宋体"/>
                <w:b/>
                <w:color w:val="auto"/>
                <w:szCs w:val="21"/>
                <w:highlight w:val="none"/>
                <w:lang w:val="en-US" w:eastAsia="zh-CN"/>
              </w:rPr>
              <w:t>三</w:t>
            </w:r>
            <w:r>
              <w:rPr>
                <w:rFonts w:hint="eastAsia" w:hAnsi="宋体" w:cs="宋体"/>
                <w:b/>
                <w:color w:val="auto"/>
                <w:szCs w:val="21"/>
                <w:highlight w:val="none"/>
                <w:lang w:eastAsia="zh-CN"/>
              </w:rPr>
              <w:t>）</w:t>
            </w:r>
            <w:r>
              <w:rPr>
                <w:rFonts w:hint="eastAsia" w:ascii="宋体" w:hAnsi="宋体"/>
                <w:b/>
                <w:color w:val="auto"/>
                <w:szCs w:val="21"/>
                <w:highlight w:val="none"/>
              </w:rPr>
              <w:t>安全文明施工措施费</w:t>
            </w:r>
            <w:r>
              <w:rPr>
                <w:rFonts w:hint="eastAsia"/>
                <w:b/>
                <w:color w:val="auto"/>
                <w:szCs w:val="21"/>
                <w:highlight w:val="none"/>
              </w:rPr>
              <w:t>：            元</w:t>
            </w:r>
          </w:p>
        </w:tc>
        <w:tc>
          <w:tcPr>
            <w:tcW w:w="2880" w:type="dxa"/>
            <w:gridSpan w:val="2"/>
            <w:tcBorders>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占年投标总价的（   %）</w:t>
            </w:r>
          </w:p>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年费用总</w:t>
            </w:r>
            <w:r>
              <w:rPr>
                <w:rFonts w:ascii="宋体" w:hAnsi="宋体"/>
                <w:color w:val="auto"/>
                <w:szCs w:val="21"/>
                <w:highlight w:val="none"/>
              </w:rPr>
              <w:t>和</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int="eastAsia" w:hAnsi="宋体" w:cs="宋体"/>
                <w:b/>
                <w:color w:val="auto"/>
                <w:szCs w:val="21"/>
                <w:highlight w:val="none"/>
              </w:rPr>
            </w:pPr>
            <w:r>
              <w:rPr>
                <w:rFonts w:hint="eastAsia" w:hAnsi="宋体" w:cs="宋体"/>
                <w:b/>
                <w:color w:val="auto"/>
                <w:szCs w:val="21"/>
                <w:highlight w:val="none"/>
                <w:lang w:val="en-US" w:eastAsia="zh-CN"/>
              </w:rPr>
              <w:t>小计：二、机械材料费：          元</w:t>
            </w:r>
          </w:p>
        </w:tc>
        <w:tc>
          <w:tcPr>
            <w:tcW w:w="2880" w:type="dxa"/>
            <w:gridSpan w:val="2"/>
            <w:tcBorders>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占年投标总价的（   %）</w:t>
            </w:r>
          </w:p>
          <w:p>
            <w:pPr>
              <w:rPr>
                <w:rFonts w:hint="eastAsia" w:ascii="宋体" w:hAnsi="宋体"/>
                <w:color w:val="auto"/>
                <w:szCs w:val="21"/>
                <w:highlight w:val="none"/>
              </w:rPr>
            </w:pPr>
            <w:r>
              <w:rPr>
                <w:rFonts w:hint="eastAsia" w:ascii="宋体" w:hAnsi="宋体"/>
                <w:color w:val="auto"/>
                <w:szCs w:val="21"/>
                <w:highlight w:val="none"/>
                <w:lang w:val="en-US" w:eastAsia="zh-CN"/>
              </w:rPr>
              <w:t>机械设备费、材料费和安全文明施工措施费的</w:t>
            </w:r>
            <w:r>
              <w:rPr>
                <w:rFonts w:hint="eastAsia" w:ascii="宋体" w:hAnsi="宋体"/>
                <w:color w:val="auto"/>
                <w:szCs w:val="21"/>
                <w:highlight w:val="none"/>
              </w:rPr>
              <w:t>年费用总</w:t>
            </w:r>
            <w:r>
              <w:rPr>
                <w:rFonts w:ascii="宋体" w:hAnsi="宋体"/>
                <w:color w:val="auto"/>
                <w:szCs w:val="21"/>
                <w:highlight w:val="none"/>
              </w:rPr>
              <w:t>和</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2097"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费用名称</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月均费用（元/月）</w:t>
            </w:r>
          </w:p>
        </w:tc>
        <w:tc>
          <w:tcPr>
            <w:tcW w:w="165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年费用（元/年）</w:t>
            </w:r>
          </w:p>
        </w:tc>
        <w:tc>
          <w:tcPr>
            <w:tcW w:w="28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lang w:val="en-US" w:eastAsia="zh-CN"/>
              </w:rPr>
              <w:t>三</w:t>
            </w:r>
          </w:p>
        </w:tc>
        <w:tc>
          <w:tcPr>
            <w:tcW w:w="2097"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管理费</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lang w:val="en-US" w:eastAsia="zh-CN"/>
              </w:rPr>
              <w:t>四</w:t>
            </w:r>
          </w:p>
        </w:tc>
        <w:tc>
          <w:tcPr>
            <w:tcW w:w="2097"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利润</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利润率=利润/（一+二+三）</w:t>
            </w:r>
          </w:p>
          <w:p>
            <w:pPr>
              <w:jc w:val="center"/>
              <w:rPr>
                <w:rFonts w:ascii="宋体" w:hAnsi="宋体"/>
                <w:color w:val="auto"/>
                <w:szCs w:val="21"/>
                <w:highlight w:val="none"/>
              </w:rPr>
            </w:pPr>
            <w:r>
              <w:rPr>
                <w:rFonts w:hint="eastAsia" w:hAnsi="宋体" w:cs="宋体"/>
                <w:b/>
                <w:color w:val="auto"/>
                <w:szCs w:val="21"/>
                <w:highlight w:val="none"/>
              </w:rPr>
              <w:t>利润率（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lang w:val="en-US" w:eastAsia="zh-CN"/>
              </w:rPr>
              <w:t>五</w:t>
            </w:r>
          </w:p>
        </w:tc>
        <w:tc>
          <w:tcPr>
            <w:tcW w:w="2097"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税金</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rFonts w:hAnsi="宋体" w:cs="宋体"/>
                <w:b/>
                <w:color w:val="auto"/>
                <w:szCs w:val="21"/>
                <w:highlight w:val="none"/>
              </w:rPr>
            </w:pPr>
            <w:r>
              <w:rPr>
                <w:rFonts w:hint="eastAsia" w:hAnsi="宋体" w:cs="宋体"/>
                <w:b/>
                <w:color w:val="auto"/>
                <w:szCs w:val="21"/>
                <w:highlight w:val="none"/>
              </w:rPr>
              <w:t>占年投标总价的（%）</w:t>
            </w:r>
          </w:p>
          <w:p>
            <w:pPr>
              <w:rPr>
                <w:rFonts w:ascii="宋体" w:hAnsi="宋体"/>
                <w:color w:val="auto"/>
                <w:szCs w:val="21"/>
                <w:highlight w:val="none"/>
              </w:rPr>
            </w:pPr>
            <w:r>
              <w:rPr>
                <w:rFonts w:hint="eastAsia" w:hAnsi="宋体" w:cs="宋体"/>
                <w:bCs/>
                <w:color w:val="auto"/>
                <w:szCs w:val="21"/>
                <w:highlight w:val="none"/>
              </w:rPr>
              <w:t>税金</w:t>
            </w:r>
            <w:r>
              <w:rPr>
                <w:rFonts w:hint="eastAsia" w:ascii="宋体" w:hAnsi="宋体"/>
                <w:bCs/>
                <w:color w:val="auto"/>
                <w:szCs w:val="21"/>
                <w:highlight w:val="none"/>
              </w:rPr>
              <w:t>包括但不限于营业税、城建税、教育费附加、合同印花税等。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83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合计年投标总价</w:t>
            </w:r>
          </w:p>
        </w:tc>
        <w:tc>
          <w:tcPr>
            <w:tcW w:w="3521"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color w:val="auto"/>
                <w:szCs w:val="21"/>
                <w:highlight w:val="none"/>
              </w:rPr>
            </w:pPr>
            <w:r>
              <w:rPr>
                <w:rFonts w:hint="eastAsia"/>
                <w:b/>
                <w:color w:val="auto"/>
                <w:szCs w:val="21"/>
                <w:highlight w:val="none"/>
              </w:rPr>
              <w:t>年投标价</w:t>
            </w:r>
            <w:r>
              <w:rPr>
                <w:rFonts w:hint="eastAsia"/>
                <w:color w:val="auto"/>
                <w:szCs w:val="21"/>
                <w:highlight w:val="none"/>
              </w:rPr>
              <w:t>为以上第一至第</w:t>
            </w:r>
            <w:r>
              <w:rPr>
                <w:rFonts w:hint="eastAsia"/>
                <w:color w:val="auto"/>
                <w:szCs w:val="21"/>
                <w:highlight w:val="none"/>
                <w:lang w:val="en-US" w:eastAsia="zh-CN"/>
              </w:rPr>
              <w:t>五</w:t>
            </w:r>
            <w:r>
              <w:rPr>
                <w:rFonts w:hint="eastAsia"/>
                <w:color w:val="auto"/>
                <w:szCs w:val="21"/>
                <w:highlight w:val="none"/>
              </w:rPr>
              <w:t>项的总和。</w:t>
            </w:r>
          </w:p>
          <w:p>
            <w:pPr>
              <w:jc w:val="left"/>
              <w:rPr>
                <w:rFonts w:hAnsi="宋体" w:cs="宋体"/>
                <w:bCs/>
                <w:color w:val="auto"/>
                <w:szCs w:val="21"/>
                <w:highlight w:val="none"/>
              </w:rPr>
            </w:pPr>
            <w:r>
              <w:rPr>
                <w:rFonts w:hint="eastAsia"/>
                <w:color w:val="auto"/>
                <w:szCs w:val="21"/>
                <w:highlight w:val="none"/>
              </w:rPr>
              <w:t>合计年投标总价要与《项目详细报价总表》的项目投标金额保持一致</w:t>
            </w:r>
          </w:p>
        </w:tc>
      </w:tr>
    </w:tbl>
    <w:p>
      <w:pPr>
        <w:ind w:firstLine="420" w:firstLineChars="200"/>
        <w:rPr>
          <w:rFonts w:hint="eastAsia" w:ascii="宋体" w:hAnsi="宋体"/>
        </w:rPr>
      </w:pPr>
    </w:p>
    <w:p>
      <w:pPr>
        <w:pStyle w:val="2"/>
      </w:pPr>
    </w:p>
    <w:p>
      <w:pPr>
        <w:pStyle w:val="3"/>
      </w:pPr>
    </w:p>
    <w:p>
      <w:pPr>
        <w:tabs>
          <w:tab w:val="left" w:pos="720"/>
        </w:tabs>
        <w:jc w:val="center"/>
        <w:rPr>
          <w:b/>
          <w:sz w:val="24"/>
        </w:rPr>
      </w:pPr>
      <w:r>
        <w:rPr>
          <w:rFonts w:hint="eastAsia"/>
          <w:b/>
          <w:sz w:val="24"/>
        </w:rPr>
        <w:t>（二）投标人认为需要涉及的其他内容报价清单</w:t>
      </w:r>
    </w:p>
    <w:p>
      <w:pPr>
        <w:rPr>
          <w:b/>
          <w:bCs/>
        </w:rPr>
      </w:pPr>
    </w:p>
    <w:p/>
    <w:p>
      <w:pPr>
        <w:pStyle w:val="2"/>
      </w:pPr>
    </w:p>
    <w:p>
      <w:pPr>
        <w:pStyle w:val="3"/>
      </w:pPr>
    </w:p>
    <w:p>
      <w:pPr>
        <w:pStyle w:val="3"/>
      </w:pPr>
    </w:p>
    <w:p>
      <w:pPr>
        <w:pStyle w:val="5"/>
        <w:jc w:val="center"/>
        <w:rPr>
          <w:rFonts w:ascii="黑体" w:eastAsia="黑体"/>
          <w:b w:val="0"/>
          <w:kern w:val="0"/>
          <w:sz w:val="24"/>
          <w:szCs w:val="24"/>
        </w:rPr>
      </w:pPr>
      <w:r>
        <w:rPr>
          <w:rFonts w:hint="eastAsia" w:ascii="黑体" w:eastAsia="黑体"/>
          <w:b w:val="0"/>
          <w:kern w:val="0"/>
          <w:sz w:val="24"/>
          <w:szCs w:val="24"/>
        </w:rPr>
        <w:t>五、</w:t>
      </w:r>
      <w:bookmarkStart w:id="48" w:name="_Hlk72092634"/>
      <w:r>
        <w:rPr>
          <w:rFonts w:hint="eastAsia" w:ascii="黑体" w:eastAsia="黑体"/>
          <w:b w:val="0"/>
          <w:kern w:val="0"/>
          <w:sz w:val="24"/>
          <w:szCs w:val="24"/>
        </w:rPr>
        <w:t>实质性条款响应情况表</w:t>
      </w:r>
      <w:bookmarkEnd w:id="48"/>
    </w:p>
    <w:tbl>
      <w:tblPr>
        <w:tblStyle w:val="4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line="360" w:lineRule="auto"/>
              <w:jc w:val="center"/>
              <w:rPr>
                <w:rFonts w:ascii="宋体" w:hAnsi="宋体"/>
                <w:kern w:val="0"/>
                <w:szCs w:val="21"/>
              </w:rPr>
            </w:pPr>
            <w:bookmarkStart w:id="49" w:name="_Hlk72092651"/>
            <w:r>
              <w:rPr>
                <w:rFonts w:hint="eastAsia" w:ascii="宋体" w:hAnsi="宋体"/>
                <w:kern w:val="0"/>
                <w:szCs w:val="21"/>
              </w:rPr>
              <w:t>序号</w:t>
            </w:r>
          </w:p>
        </w:tc>
        <w:tc>
          <w:tcPr>
            <w:tcW w:w="2664" w:type="dxa"/>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88" w:type="dxa"/>
            <w:vAlign w:val="center"/>
          </w:tcPr>
          <w:p>
            <w:pPr>
              <w:adjustRightInd w:val="0"/>
              <w:snapToGrid w:val="0"/>
              <w:spacing w:line="360" w:lineRule="auto"/>
              <w:jc w:val="center"/>
              <w:rPr>
                <w:rFonts w:ascii="宋体" w:hAnsi="宋体"/>
                <w:kern w:val="0"/>
                <w:szCs w:val="21"/>
              </w:rPr>
            </w:pPr>
            <w:r>
              <w:rPr>
                <w:rFonts w:hint="eastAsia"/>
              </w:rPr>
              <w:t>投标响应</w:t>
            </w:r>
          </w:p>
        </w:tc>
        <w:tc>
          <w:tcPr>
            <w:tcW w:w="1842" w:type="dxa"/>
            <w:vAlign w:val="center"/>
          </w:tcPr>
          <w:p>
            <w:pPr>
              <w:adjustRightInd w:val="0"/>
              <w:snapToGrid w:val="0"/>
              <w:spacing w:line="360" w:lineRule="auto"/>
              <w:jc w:val="center"/>
              <w:rPr>
                <w:rFonts w:ascii="宋体" w:hAnsi="宋体"/>
                <w:kern w:val="0"/>
                <w:szCs w:val="21"/>
              </w:rPr>
            </w:pPr>
            <w:r>
              <w:rPr>
                <w:rFonts w:hint="eastAsia"/>
              </w:rPr>
              <w:t>偏离情况</w:t>
            </w:r>
          </w:p>
        </w:tc>
        <w:tc>
          <w:tcPr>
            <w:tcW w:w="1418" w:type="dxa"/>
            <w:vAlign w:val="center"/>
          </w:tcPr>
          <w:p>
            <w:pPr>
              <w:adjustRightInd w:val="0"/>
              <w:snapToGrid w:val="0"/>
              <w:spacing w:line="360" w:lineRule="auto"/>
              <w:jc w:val="center"/>
              <w:rPr>
                <w:rFonts w:ascii="宋体" w:hAnsi="宋体"/>
                <w:kern w:val="0"/>
                <w:szCs w:val="21"/>
              </w:rPr>
            </w:pPr>
            <w:r>
              <w:rPr>
                <w:rFonts w:hint="eastAsia"/>
              </w:rPr>
              <w:t>说明</w:t>
            </w:r>
          </w:p>
        </w:tc>
      </w:tr>
      <w:bookmarkEnd w:id="4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left"/>
              <w:rPr>
                <w:rFonts w:ascii="宋体" w:hAnsi="宋体"/>
                <w:kern w:val="0"/>
                <w:szCs w:val="21"/>
              </w:rPr>
            </w:pPr>
            <w:r>
              <w:rPr>
                <w:rFonts w:hint="eastAsia" w:ascii="宋体" w:hAnsi="宋体"/>
                <w:kern w:val="0"/>
                <w:szCs w:val="21"/>
              </w:rPr>
              <w:t>1</w:t>
            </w:r>
          </w:p>
        </w:tc>
        <w:tc>
          <w:tcPr>
            <w:tcW w:w="2664" w:type="dxa"/>
          </w:tcPr>
          <w:p>
            <w:pPr>
              <w:adjustRightInd w:val="0"/>
              <w:snapToGrid w:val="0"/>
              <w:spacing w:line="360" w:lineRule="auto"/>
              <w:jc w:val="left"/>
              <w:rPr>
                <w:rFonts w:hAnsi="宋体"/>
                <w:kern w:val="0"/>
                <w:szCs w:val="21"/>
              </w:rPr>
            </w:pPr>
            <w:r>
              <w:rPr>
                <w:rFonts w:hint="eastAsia"/>
                <w:color w:val="FF0000"/>
                <w:szCs w:val="21"/>
              </w:rPr>
              <w:t>★</w:t>
            </w:r>
            <w:r>
              <w:rPr>
                <w:rFonts w:hint="eastAsia"/>
                <w:color w:val="FF0000"/>
              </w:rPr>
              <w:t>完全满足本项目服务期限的要求。</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left"/>
              <w:rPr>
                <w:rFonts w:ascii="宋体" w:hAnsi="宋体"/>
                <w:kern w:val="0"/>
                <w:szCs w:val="21"/>
              </w:rPr>
            </w:pPr>
            <w:r>
              <w:rPr>
                <w:rFonts w:hint="eastAsia" w:ascii="宋体" w:hAnsi="宋体"/>
                <w:kern w:val="0"/>
                <w:szCs w:val="21"/>
              </w:rPr>
              <w:t>2</w:t>
            </w:r>
          </w:p>
        </w:tc>
        <w:tc>
          <w:tcPr>
            <w:tcW w:w="2664" w:type="dxa"/>
            <w:vAlign w:val="center"/>
          </w:tcPr>
          <w:p>
            <w:pPr>
              <w:adjustRightInd w:val="0"/>
              <w:snapToGrid w:val="0"/>
              <w:spacing w:line="360" w:lineRule="auto"/>
              <w:jc w:val="left"/>
              <w:rPr>
                <w:rFonts w:hAnsi="宋体"/>
                <w:kern w:val="0"/>
                <w:szCs w:val="21"/>
              </w:rPr>
            </w:pPr>
            <w:r>
              <w:rPr>
                <w:rFonts w:hint="eastAsia"/>
                <w:color w:val="FF0000"/>
                <w:szCs w:val="21"/>
              </w:rPr>
              <w:t>★</w:t>
            </w:r>
            <w:r>
              <w:rPr>
                <w:rFonts w:hint="eastAsia" w:ascii="宋体" w:hAnsi="宋体"/>
                <w:color w:val="FF0000"/>
              </w:rPr>
              <w:t>完全满足本项目其他★标记条款的要求。</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bl>
    <w:p>
      <w:pPr>
        <w:ind w:firstLine="481" w:firstLineChars="200"/>
        <w:rPr>
          <w:b/>
          <w:sz w:val="24"/>
          <w:szCs w:val="22"/>
        </w:rPr>
      </w:pPr>
      <w:r>
        <w:rPr>
          <w:rFonts w:hint="eastAsia"/>
          <w:b/>
          <w:sz w:val="24"/>
          <w:szCs w:val="22"/>
        </w:rPr>
        <w:t>注：1.上表所列各项均为不可负偏离条款。</w:t>
      </w:r>
    </w:p>
    <w:p>
      <w:pPr>
        <w:ind w:firstLine="481" w:firstLineChars="200"/>
        <w:rPr>
          <w:b/>
          <w:sz w:val="24"/>
          <w:szCs w:val="22"/>
        </w:rPr>
      </w:pPr>
      <w:r>
        <w:rPr>
          <w:rFonts w:hint="eastAsia"/>
          <w:b/>
          <w:sz w:val="24"/>
          <w:szCs w:val="22"/>
        </w:rPr>
        <w:t>2.“投标响应”一栏应当详细填写投标人自身响应情况，而不能不合理照搬照抄实质性条款具体内容。</w:t>
      </w:r>
    </w:p>
    <w:p>
      <w:pPr>
        <w:ind w:firstLine="481"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pPr>
        <w:ind w:firstLine="481" w:firstLineChars="200"/>
        <w:rPr>
          <w:b/>
          <w:sz w:val="24"/>
        </w:rPr>
      </w:pPr>
      <w:r>
        <w:rPr>
          <w:b/>
          <w:sz w:val="24"/>
        </w:rPr>
        <w:t>4.</w:t>
      </w:r>
      <w:r>
        <w:rPr>
          <w:rFonts w:hint="eastAsia"/>
          <w:b/>
          <w:sz w:val="24"/>
        </w:rPr>
        <w:t>评审委员会有权对投标响应情况作出判断（作出评审结论）。</w:t>
      </w:r>
    </w:p>
    <w:p>
      <w:pPr>
        <w:ind w:firstLine="481" w:firstLineChars="200"/>
        <w:rPr>
          <w:b/>
          <w:sz w:val="24"/>
          <w:szCs w:val="22"/>
        </w:rPr>
      </w:pPr>
      <w:r>
        <w:rPr>
          <w:b/>
          <w:sz w:val="24"/>
          <w:szCs w:val="22"/>
        </w:rPr>
        <w:t>5</w:t>
      </w:r>
      <w:r>
        <w:rPr>
          <w:rFonts w:hint="eastAsia"/>
          <w:b/>
          <w:sz w:val="24"/>
          <w:szCs w:val="22"/>
        </w:rPr>
        <w:t>.要求提供证明资料，在“说明”一栏中列明证明资料的位置，以便评审；未要求提供证明材料的，投标人可以不提供。</w:t>
      </w:r>
    </w:p>
    <w:p>
      <w:pPr>
        <w:ind w:firstLine="420" w:firstLineChars="200"/>
      </w:pPr>
    </w:p>
    <w:p>
      <w:pPr>
        <w:rPr>
          <w:b/>
          <w:bCs/>
          <w:sz w:val="24"/>
        </w:rPr>
      </w:pPr>
    </w:p>
    <w:p>
      <w:pPr>
        <w:pStyle w:val="5"/>
        <w:jc w:val="center"/>
        <w:rPr>
          <w:rFonts w:hint="eastAsia" w:ascii="黑体" w:eastAsia="黑体"/>
          <w:b w:val="0"/>
          <w:bCs w:val="0"/>
          <w:sz w:val="24"/>
          <w:szCs w:val="20"/>
        </w:rPr>
      </w:pPr>
      <w:r>
        <w:rPr>
          <w:rFonts w:hint="eastAsia" w:ascii="黑体" w:eastAsia="黑体"/>
          <w:b w:val="0"/>
          <w:bCs w:val="0"/>
          <w:sz w:val="24"/>
          <w:szCs w:val="20"/>
        </w:rPr>
        <w:t>六、实施方案</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七、</w:t>
      </w:r>
      <w:r>
        <w:rPr>
          <w:rFonts w:hint="eastAsia" w:ascii="黑体" w:eastAsia="黑体"/>
          <w:b w:val="0"/>
          <w:bCs w:val="0"/>
          <w:sz w:val="24"/>
          <w:szCs w:val="20"/>
        </w:rPr>
        <w:t>项目重点难点分析、应对措施及相关的合理化建议</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八、</w:t>
      </w:r>
      <w:r>
        <w:rPr>
          <w:rFonts w:hint="eastAsia" w:ascii="黑体" w:eastAsia="黑体"/>
          <w:b w:val="0"/>
          <w:bCs w:val="0"/>
          <w:sz w:val="24"/>
          <w:szCs w:val="20"/>
        </w:rPr>
        <w:t>质量保障措施及方案</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九、</w:t>
      </w:r>
      <w:r>
        <w:rPr>
          <w:rFonts w:hint="eastAsia" w:ascii="黑体" w:eastAsia="黑体"/>
          <w:b w:val="0"/>
          <w:bCs w:val="0"/>
          <w:sz w:val="24"/>
          <w:szCs w:val="20"/>
        </w:rPr>
        <w:t>违约承诺</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十、</w:t>
      </w:r>
      <w:r>
        <w:rPr>
          <w:rFonts w:hint="eastAsia" w:ascii="黑体" w:eastAsia="黑体"/>
          <w:b w:val="0"/>
          <w:bCs w:val="0"/>
          <w:sz w:val="24"/>
          <w:szCs w:val="20"/>
        </w:rPr>
        <w:t>项目拟使用的设备（车辆、场地、工具、机器）情况</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十一、</w:t>
      </w:r>
      <w:r>
        <w:rPr>
          <w:rFonts w:hint="eastAsia" w:ascii="黑体" w:eastAsia="黑体"/>
          <w:b w:val="0"/>
          <w:bCs w:val="0"/>
          <w:sz w:val="24"/>
          <w:szCs w:val="20"/>
        </w:rPr>
        <w:t>拟安排的项目负责人情况（仅限一人）</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十二、</w:t>
      </w:r>
      <w:r>
        <w:rPr>
          <w:rFonts w:hint="eastAsia" w:ascii="黑体" w:eastAsia="黑体"/>
          <w:b w:val="0"/>
          <w:bCs w:val="0"/>
          <w:sz w:val="24"/>
          <w:szCs w:val="20"/>
        </w:rPr>
        <w:t>拟安排的项目主要团队成员（主要技术人员）情况（项目负责人除外）</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十三、</w:t>
      </w:r>
      <w:r>
        <w:rPr>
          <w:rFonts w:hint="eastAsia" w:ascii="黑体" w:eastAsia="黑体"/>
          <w:b w:val="0"/>
          <w:bCs w:val="0"/>
          <w:sz w:val="24"/>
          <w:szCs w:val="20"/>
        </w:rPr>
        <w:t>投标人同类项目业绩情况</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十四、</w:t>
      </w:r>
      <w:r>
        <w:rPr>
          <w:rFonts w:hint="eastAsia" w:ascii="黑体" w:eastAsia="黑体"/>
          <w:b w:val="0"/>
          <w:bCs w:val="0"/>
          <w:sz w:val="24"/>
          <w:szCs w:val="20"/>
        </w:rPr>
        <w:t>履约评价</w:t>
      </w:r>
    </w:p>
    <w:p>
      <w:pPr>
        <w:pStyle w:val="5"/>
        <w:jc w:val="center"/>
        <w:rPr>
          <w:rFonts w:hint="eastAsia" w:ascii="黑体" w:eastAsia="黑体"/>
          <w:b w:val="0"/>
          <w:bCs w:val="0"/>
          <w:sz w:val="24"/>
          <w:szCs w:val="20"/>
        </w:rPr>
      </w:pPr>
    </w:p>
    <w:p>
      <w:pPr>
        <w:pStyle w:val="5"/>
        <w:jc w:val="center"/>
      </w:pPr>
      <w:r>
        <w:rPr>
          <w:rFonts w:hint="eastAsia" w:ascii="黑体" w:eastAsia="黑体"/>
          <w:b w:val="0"/>
          <w:bCs w:val="0"/>
          <w:sz w:val="24"/>
          <w:szCs w:val="20"/>
          <w:lang w:val="en-US" w:eastAsia="zh-CN"/>
        </w:rPr>
        <w:t>十五、</w:t>
      </w:r>
      <w:r>
        <w:rPr>
          <w:rFonts w:hint="eastAsia" w:ascii="黑体" w:eastAsia="黑体"/>
          <w:b w:val="0"/>
          <w:bCs w:val="0"/>
          <w:sz w:val="24"/>
          <w:szCs w:val="20"/>
        </w:rPr>
        <w:t>项目完成后的服务承诺</w:t>
      </w:r>
    </w:p>
    <w:p/>
    <w:p>
      <w:pPr>
        <w:pStyle w:val="2"/>
      </w:pPr>
    </w:p>
    <w:p>
      <w:pPr>
        <w:pStyle w:val="5"/>
        <w:jc w:val="center"/>
        <w:rPr>
          <w:rFonts w:ascii="黑体" w:eastAsia="黑体"/>
          <w:b w:val="0"/>
          <w:bCs w:val="0"/>
          <w:sz w:val="24"/>
          <w:szCs w:val="20"/>
        </w:rPr>
      </w:pPr>
      <w:r>
        <w:rPr>
          <w:rFonts w:hint="eastAsia" w:ascii="黑体" w:eastAsia="黑体"/>
          <w:b w:val="0"/>
          <w:bCs w:val="0"/>
          <w:sz w:val="24"/>
          <w:szCs w:val="20"/>
          <w:lang w:val="en-US" w:eastAsia="zh-CN"/>
        </w:rPr>
        <w:t>十六</w:t>
      </w:r>
      <w:r>
        <w:rPr>
          <w:rFonts w:hint="eastAsia" w:ascii="黑体" w:eastAsia="黑体"/>
          <w:b w:val="0"/>
          <w:bCs w:val="0"/>
          <w:sz w:val="24"/>
          <w:szCs w:val="20"/>
        </w:rPr>
        <w:t>、</w:t>
      </w:r>
      <w:bookmarkStart w:id="50" w:name="_Hlk72062872"/>
      <w:r>
        <w:rPr>
          <w:rFonts w:hint="eastAsia" w:ascii="黑体" w:eastAsia="黑体"/>
          <w:b w:val="0"/>
          <w:bCs w:val="0"/>
          <w:sz w:val="24"/>
          <w:szCs w:val="20"/>
        </w:rPr>
        <w:t>投标人认为需要加以说明的其他内容</w:t>
      </w:r>
      <w:bookmarkEnd w:id="50"/>
    </w:p>
    <w:p>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pPr>
        <w:widowControl/>
        <w:jc w:val="center"/>
        <w:rPr>
          <w:rFonts w:ascii="黑体" w:hAnsi="宋体" w:eastAsia="黑体"/>
          <w:kern w:val="0"/>
          <w:sz w:val="24"/>
          <w:szCs w:val="20"/>
        </w:rPr>
      </w:pPr>
    </w:p>
    <w:p>
      <w:pPr>
        <w:spacing w:after="120" w:afterLines="50" w:line="360" w:lineRule="exact"/>
        <w:ind w:firstLine="421" w:firstLineChars="200"/>
        <w:rPr>
          <w:rFonts w:ascii="宋体" w:hAnsi="宋体" w:cs="宋体"/>
          <w:b/>
          <w:bCs/>
          <w:szCs w:val="21"/>
        </w:rPr>
      </w:pPr>
      <w:r>
        <w:rPr>
          <w:rFonts w:hint="eastAsia" w:ascii="宋体" w:hAnsi="宋体" w:cs="宋体"/>
          <w:b/>
          <w:bCs/>
          <w:szCs w:val="21"/>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pPr>
              <w:spacing w:line="400" w:lineRule="exact"/>
              <w:jc w:val="center"/>
              <w:rPr>
                <w:rFonts w:ascii="宋体" w:hAnsi="宋体" w:cs="宋体"/>
                <w:szCs w:val="21"/>
              </w:rPr>
            </w:pPr>
            <w:r>
              <w:rPr>
                <w:rFonts w:hint="eastAsia" w:ascii="宋体" w:hAnsi="宋体" w:cs="宋体"/>
                <w:szCs w:val="21"/>
              </w:rPr>
              <w:t>序号</w:t>
            </w:r>
          </w:p>
        </w:tc>
        <w:tc>
          <w:tcPr>
            <w:tcW w:w="7811" w:type="dxa"/>
          </w:tcPr>
          <w:p>
            <w:pPr>
              <w:spacing w:line="400" w:lineRule="exact"/>
              <w:jc w:val="center"/>
              <w:rPr>
                <w:rFonts w:ascii="宋体" w:hAnsi="宋体" w:cs="宋体"/>
                <w:szCs w:val="21"/>
              </w:rPr>
            </w:pPr>
            <w:r>
              <w:rPr>
                <w:rFonts w:hint="eastAsia" w:ascii="宋体" w:hAnsi="宋体" w:cs="宋体"/>
                <w:b/>
                <w:bCs/>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宋体" w:hAnsi="宋体" w:cs="宋体"/>
                <w:szCs w:val="21"/>
              </w:rPr>
            </w:pPr>
            <w:r>
              <w:rPr>
                <w:rFonts w:hint="eastAsia" w:ascii="宋体" w:hAnsi="宋体" w:cs="宋体"/>
                <w:szCs w:val="21"/>
              </w:rPr>
              <w:t>1</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ascii="宋体" w:hAnsi="宋体" w:cs="宋体"/>
                <w:szCs w:val="21"/>
              </w:rPr>
            </w:pPr>
            <w:r>
              <w:rPr>
                <w:rFonts w:hint="eastAsia" w:ascii="宋体" w:hAnsi="宋体" w:cs="宋体"/>
                <w:szCs w:val="21"/>
              </w:rPr>
              <w:t>2</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参与本项目政府采购活动时，与其他投标供应商存在单位负责人为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1" w:type="dxa"/>
          </w:tcPr>
          <w:p>
            <w:pPr>
              <w:spacing w:line="400" w:lineRule="exact"/>
              <w:jc w:val="center"/>
              <w:rPr>
                <w:rFonts w:ascii="宋体" w:hAnsi="宋体" w:cs="宋体"/>
                <w:szCs w:val="21"/>
              </w:rPr>
            </w:pPr>
            <w:r>
              <w:rPr>
                <w:rFonts w:hint="eastAsia" w:ascii="宋体" w:hAnsi="宋体" w:cs="宋体"/>
                <w:szCs w:val="21"/>
              </w:rPr>
              <w:t>3</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与其他投标供应商的投标文件或部分投标文件</w:t>
            </w:r>
            <w:r>
              <w:rPr>
                <w:rFonts w:hint="eastAsia" w:ascii="宋体" w:hAnsi="宋体" w:cs="宋体"/>
                <w:b/>
                <w:bCs/>
                <w:szCs w:val="21"/>
              </w:rPr>
              <w:t>相互混装或存在非正常一致</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宋体" w:hAnsi="宋体" w:cs="宋体"/>
                <w:szCs w:val="21"/>
              </w:rPr>
            </w:pPr>
            <w:r>
              <w:rPr>
                <w:rFonts w:hint="eastAsia" w:ascii="宋体" w:hAnsi="宋体" w:cs="宋体"/>
                <w:szCs w:val="21"/>
              </w:rPr>
              <w:t>4</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与其他投标供应商的投标文件由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ascii="宋体" w:hAnsi="宋体" w:cs="宋体"/>
                <w:szCs w:val="21"/>
              </w:rPr>
            </w:pPr>
            <w:r>
              <w:rPr>
                <w:rFonts w:hint="eastAsia" w:ascii="宋体" w:hAnsi="宋体" w:cs="宋体"/>
                <w:szCs w:val="21"/>
              </w:rPr>
              <w:t>5</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宋体" w:hAnsi="宋体" w:cs="宋体"/>
                <w:szCs w:val="21"/>
              </w:rPr>
            </w:pPr>
            <w:r>
              <w:rPr>
                <w:rFonts w:hint="eastAsia" w:ascii="宋体" w:hAnsi="宋体" w:cs="宋体"/>
                <w:szCs w:val="21"/>
              </w:rPr>
              <w:t>6</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擅自将投标密钥或电子营业执照出借他人使用或未妥善保管。</w:t>
            </w:r>
          </w:p>
        </w:tc>
      </w:tr>
    </w:tbl>
    <w:p>
      <w:pPr>
        <w:spacing w:before="120" w:beforeLines="50" w:line="380" w:lineRule="exact"/>
        <w:ind w:firstLine="421" w:firstLineChars="200"/>
        <w:rPr>
          <w:rFonts w:ascii="宋体" w:hAnsi="宋体" w:cs="宋体"/>
          <w:b/>
          <w:szCs w:val="21"/>
        </w:rPr>
      </w:pPr>
      <w:r>
        <w:rPr>
          <w:rFonts w:hint="eastAsia" w:ascii="宋体" w:hAnsi="宋体" w:cs="宋体"/>
          <w:b/>
          <w:szCs w:val="21"/>
        </w:rPr>
        <w:t>一、我单位已充分知悉“隐瞒真实情况，提供虚假资料”的法定情形，包括但不限于：</w:t>
      </w:r>
    </w:p>
    <w:p>
      <w:pPr>
        <w:spacing w:line="380" w:lineRule="exact"/>
        <w:ind w:firstLine="420" w:firstLineChars="200"/>
        <w:rPr>
          <w:rFonts w:ascii="宋体" w:hAnsi="宋体" w:cs="宋体"/>
          <w:szCs w:val="21"/>
        </w:rPr>
      </w:pPr>
      <w:r>
        <w:rPr>
          <w:rFonts w:hint="eastAsia" w:ascii="宋体" w:hAnsi="宋体" w:cs="宋体"/>
          <w:szCs w:val="21"/>
        </w:rPr>
        <w:t>（一）通过转让或者租借等方式从其他单位获取资格或者资质证书投标的。</w:t>
      </w:r>
    </w:p>
    <w:p>
      <w:pPr>
        <w:spacing w:line="380" w:lineRule="exact"/>
        <w:ind w:firstLine="420" w:firstLineChars="200"/>
        <w:rPr>
          <w:rFonts w:ascii="宋体" w:hAnsi="宋体" w:cs="宋体"/>
          <w:szCs w:val="21"/>
        </w:rPr>
      </w:pPr>
      <w:r>
        <w:rPr>
          <w:rFonts w:hint="eastAsia" w:ascii="宋体" w:hAnsi="宋体" w:cs="宋体"/>
          <w:szCs w:val="21"/>
        </w:rPr>
        <w:t>（二）由其他单位或者其他单位负责人在投标供应商编制的投标文件上加盖印章或者签字的。</w:t>
      </w:r>
    </w:p>
    <w:p>
      <w:pPr>
        <w:spacing w:line="380" w:lineRule="exact"/>
        <w:ind w:firstLine="420" w:firstLineChars="200"/>
        <w:rPr>
          <w:rFonts w:ascii="宋体" w:hAnsi="宋体" w:cs="宋体"/>
          <w:szCs w:val="21"/>
        </w:rPr>
      </w:pPr>
      <w:r>
        <w:rPr>
          <w:rFonts w:hint="eastAsia" w:ascii="宋体" w:hAnsi="宋体" w:cs="宋体"/>
          <w:szCs w:val="21"/>
        </w:rPr>
        <w:t>（三）项目负责人或者主要技术人员不是本单位人员的。</w:t>
      </w:r>
    </w:p>
    <w:p>
      <w:pPr>
        <w:spacing w:line="380" w:lineRule="exact"/>
        <w:ind w:firstLine="420" w:firstLineChars="200"/>
        <w:rPr>
          <w:rFonts w:ascii="宋体" w:hAnsi="宋体" w:cs="宋体"/>
          <w:szCs w:val="21"/>
        </w:rPr>
      </w:pPr>
      <w:r>
        <w:rPr>
          <w:rFonts w:hint="eastAsia" w:ascii="宋体" w:hAnsi="宋体" w:cs="宋体"/>
          <w:szCs w:val="21"/>
        </w:rPr>
        <w:t>（四）投标保证金不是从投标供应商基本账户转出的。</w:t>
      </w:r>
    </w:p>
    <w:p>
      <w:pPr>
        <w:spacing w:line="380" w:lineRule="exact"/>
        <w:ind w:firstLine="420" w:firstLineChars="200"/>
        <w:rPr>
          <w:rFonts w:ascii="宋体" w:hAnsi="宋体" w:cs="宋体"/>
          <w:szCs w:val="21"/>
        </w:rPr>
      </w:pPr>
      <w:r>
        <w:rPr>
          <w:rFonts w:hint="eastAsia" w:ascii="宋体" w:hAnsi="宋体" w:cs="宋体"/>
          <w:szCs w:val="21"/>
        </w:rPr>
        <w:t>（五）其他隐瞒真实情况、提供虚假资料的行为。</w:t>
      </w:r>
    </w:p>
    <w:p>
      <w:pPr>
        <w:spacing w:line="380" w:lineRule="exact"/>
        <w:ind w:firstLine="421" w:firstLineChars="200"/>
        <w:rPr>
          <w:rFonts w:ascii="宋体" w:hAnsi="宋体" w:cs="宋体"/>
          <w:b/>
          <w:szCs w:val="21"/>
        </w:rPr>
      </w:pPr>
      <w:r>
        <w:rPr>
          <w:rFonts w:hint="eastAsia" w:ascii="宋体" w:hAnsi="宋体" w:cs="宋体"/>
          <w:b/>
          <w:szCs w:val="21"/>
        </w:rPr>
        <w:t>二、我单位已充分知悉“与其他采购参加人串通投标”的法定情形，包括但不限于：</w:t>
      </w:r>
    </w:p>
    <w:p>
      <w:pPr>
        <w:spacing w:line="380" w:lineRule="exact"/>
        <w:ind w:firstLine="420" w:firstLineChars="200"/>
        <w:rPr>
          <w:rFonts w:ascii="宋体" w:hAnsi="宋体" w:cs="宋体"/>
          <w:szCs w:val="21"/>
        </w:rPr>
      </w:pPr>
      <w:r>
        <w:rPr>
          <w:rFonts w:hint="eastAsia" w:ascii="宋体" w:hAnsi="宋体" w:cs="宋体"/>
          <w:szCs w:val="21"/>
        </w:rPr>
        <w:t>（一）投标供应商之间相互约定给予未中标的供应商利益补偿。</w:t>
      </w:r>
    </w:p>
    <w:p>
      <w:pPr>
        <w:spacing w:line="380" w:lineRule="exact"/>
        <w:ind w:firstLine="420" w:firstLineChars="200"/>
        <w:rPr>
          <w:rFonts w:ascii="宋体" w:hAnsi="宋体" w:cs="宋体"/>
          <w:szCs w:val="21"/>
        </w:rPr>
      </w:pPr>
      <w:r>
        <w:rPr>
          <w:rFonts w:hint="eastAsia" w:ascii="宋体" w:hAnsi="宋体" w:cs="宋体"/>
          <w:szCs w:val="21"/>
        </w:rPr>
        <w:t>（二）不同投标供应商的法定代表人、主要经营负责人、项目投标授权代表人、项目负责人、主要技术人员为同一人、属同一单位或者在同一单位缴纳社会保险。</w:t>
      </w:r>
    </w:p>
    <w:p>
      <w:pPr>
        <w:spacing w:line="340" w:lineRule="exact"/>
        <w:ind w:firstLine="420" w:firstLineChars="200"/>
        <w:rPr>
          <w:rFonts w:ascii="宋体" w:hAnsi="宋体" w:cs="宋体"/>
          <w:szCs w:val="21"/>
        </w:rPr>
      </w:pPr>
      <w:r>
        <w:rPr>
          <w:rFonts w:hint="eastAsia" w:ascii="宋体" w:hAnsi="宋体" w:cs="宋体"/>
          <w:szCs w:val="21"/>
        </w:rPr>
        <w:t>（三）不同投标供应商的投标文件由同一单位或者同一人编制，或者由同一人分阶段参与编制的。</w:t>
      </w:r>
    </w:p>
    <w:p>
      <w:pPr>
        <w:spacing w:line="340" w:lineRule="exact"/>
        <w:ind w:firstLine="420" w:firstLineChars="200"/>
        <w:rPr>
          <w:rFonts w:ascii="宋体" w:hAnsi="宋体" w:cs="宋体"/>
          <w:szCs w:val="21"/>
        </w:rPr>
      </w:pPr>
      <w:r>
        <w:rPr>
          <w:rFonts w:hint="eastAsia" w:ascii="宋体" w:hAnsi="宋体" w:cs="宋体"/>
          <w:szCs w:val="21"/>
        </w:rPr>
        <w:t>（四）不同投标供应商的投标文件或部分投标文件相互混装。</w:t>
      </w:r>
    </w:p>
    <w:p>
      <w:pPr>
        <w:spacing w:line="340" w:lineRule="exact"/>
        <w:ind w:firstLine="420" w:firstLineChars="200"/>
        <w:rPr>
          <w:rFonts w:ascii="宋体" w:hAnsi="宋体" w:cs="宋体"/>
          <w:szCs w:val="21"/>
        </w:rPr>
      </w:pPr>
      <w:r>
        <w:rPr>
          <w:rFonts w:hint="eastAsia" w:ascii="宋体" w:hAnsi="宋体" w:cs="宋体"/>
          <w:szCs w:val="21"/>
        </w:rPr>
        <w:t>（五）不同投标供应商的投标文件内容存在非正常一致。</w:t>
      </w:r>
    </w:p>
    <w:p>
      <w:pPr>
        <w:spacing w:line="340" w:lineRule="exact"/>
        <w:ind w:firstLine="420" w:firstLineChars="200"/>
        <w:rPr>
          <w:rFonts w:ascii="宋体" w:hAnsi="宋体" w:cs="宋体"/>
          <w:szCs w:val="21"/>
        </w:rPr>
      </w:pPr>
      <w:r>
        <w:rPr>
          <w:rFonts w:hint="eastAsia" w:ascii="宋体" w:hAnsi="宋体" w:cs="宋体"/>
          <w:szCs w:val="21"/>
        </w:rPr>
        <w:t>（六）由同一单位工作人员为两家以上（含两家）供应商进行同一项投标活动的。</w:t>
      </w:r>
    </w:p>
    <w:p>
      <w:pPr>
        <w:spacing w:line="340" w:lineRule="exact"/>
        <w:ind w:firstLine="420" w:firstLineChars="200"/>
        <w:rPr>
          <w:rFonts w:ascii="宋体" w:hAnsi="宋体" w:cs="宋体"/>
          <w:szCs w:val="21"/>
        </w:rPr>
      </w:pPr>
      <w:r>
        <w:rPr>
          <w:rFonts w:hint="eastAsia" w:ascii="宋体" w:hAnsi="宋体" w:cs="宋体"/>
          <w:szCs w:val="21"/>
        </w:rPr>
        <w:t>（七）不同投标人的投标报价呈规律性差异。</w:t>
      </w:r>
    </w:p>
    <w:p>
      <w:pPr>
        <w:spacing w:line="340" w:lineRule="exact"/>
        <w:ind w:firstLine="420" w:firstLineChars="200"/>
        <w:rPr>
          <w:rFonts w:ascii="宋体" w:hAnsi="宋体" w:cs="宋体"/>
          <w:szCs w:val="21"/>
        </w:rPr>
      </w:pPr>
      <w:r>
        <w:rPr>
          <w:rFonts w:hint="eastAsia" w:ascii="宋体" w:hAnsi="宋体" w:cs="宋体"/>
          <w:szCs w:val="21"/>
        </w:rPr>
        <w:t>（八）不同投标人的投标保证金从同一单位或者个人的账户转出。</w:t>
      </w:r>
    </w:p>
    <w:p>
      <w:pPr>
        <w:spacing w:line="340" w:lineRule="exact"/>
        <w:ind w:firstLine="420" w:firstLineChars="200"/>
        <w:rPr>
          <w:rFonts w:ascii="宋体" w:hAnsi="宋体" w:cs="宋体"/>
          <w:szCs w:val="21"/>
        </w:rPr>
      </w:pPr>
      <w:r>
        <w:rPr>
          <w:rFonts w:hint="eastAsia" w:ascii="宋体" w:hAnsi="宋体" w:cs="宋体"/>
          <w:szCs w:val="21"/>
        </w:rPr>
        <w:t>（九）主管部门依照法律、法规认定的其他情形。</w:t>
      </w:r>
    </w:p>
    <w:p>
      <w:pPr>
        <w:spacing w:line="340" w:lineRule="exact"/>
        <w:ind w:firstLine="421" w:firstLineChars="200"/>
        <w:rPr>
          <w:rFonts w:ascii="宋体" w:hAnsi="宋体" w:cs="宋体"/>
          <w:b/>
          <w:szCs w:val="21"/>
        </w:rPr>
      </w:pPr>
      <w:r>
        <w:rPr>
          <w:rFonts w:hint="eastAsia" w:ascii="宋体" w:hAnsi="宋体" w:cs="宋体"/>
          <w:b/>
          <w:szCs w:val="21"/>
        </w:rPr>
        <w:t>三、我单位已充分知悉下列情形存在法律风险，在投标前已对相关风险事项进行排查。</w:t>
      </w:r>
    </w:p>
    <w:p>
      <w:pPr>
        <w:spacing w:line="340" w:lineRule="exact"/>
        <w:ind w:firstLine="420" w:firstLineChars="200"/>
        <w:rPr>
          <w:rFonts w:ascii="宋体" w:hAnsi="宋体" w:cs="宋体"/>
          <w:b/>
          <w:szCs w:val="21"/>
        </w:rPr>
      </w:pPr>
      <w:r>
        <w:rPr>
          <w:rFonts w:hint="eastAsia" w:ascii="宋体" w:hAnsi="宋体" w:cs="宋体"/>
          <w:szCs w:val="21"/>
        </w:rPr>
        <w:t>（一）对于从其他主体获取的投标资料，我单位应审慎核查，确保其真实性。</w:t>
      </w:r>
      <w:r>
        <w:rPr>
          <w:rFonts w:hint="eastAsia" w:ascii="宋体" w:hAnsi="宋体" w:cs="宋体"/>
          <w:b/>
          <w:szCs w:val="21"/>
        </w:rPr>
        <w:t>如主管部门查实投标文件中存在虚假资料的，无论相关资料是否由第三方或本公司员工提供，均不影响主管部门对供应商存在“隐瞒真实情况，提供虚假资料”违法行为的认定。</w:t>
      </w:r>
    </w:p>
    <w:p>
      <w:pPr>
        <w:spacing w:line="340" w:lineRule="exact"/>
        <w:ind w:firstLine="420" w:firstLineChars="200"/>
        <w:rPr>
          <w:rFonts w:ascii="宋体" w:hAnsi="宋体" w:cs="宋体"/>
          <w:szCs w:val="21"/>
        </w:rPr>
      </w:pPr>
      <w:r>
        <w:rPr>
          <w:rFonts w:hint="eastAsia" w:ascii="宋体" w:hAnsi="宋体" w:cs="宋体"/>
          <w:szCs w:val="21"/>
        </w:rPr>
        <w:t>（二）对于涉及国家机关出具的公文、证件、证明材料等文件，一旦涉嫌虚假，经查实，主管部门将依法从严处理，并移送有关部门追究法律责任；涉嫌犯罪的，移送司法机关处理。</w:t>
      </w:r>
    </w:p>
    <w:p>
      <w:pPr>
        <w:spacing w:line="340" w:lineRule="exact"/>
        <w:ind w:firstLine="420" w:firstLineChars="200"/>
        <w:rPr>
          <w:rFonts w:ascii="宋体" w:hAnsi="宋体" w:cs="宋体"/>
          <w:szCs w:val="21"/>
        </w:rPr>
      </w:pPr>
      <w:r>
        <w:rPr>
          <w:rFonts w:hint="eastAsia" w:ascii="宋体" w:hAnsi="宋体" w:cs="宋体"/>
          <w:szCs w:val="21"/>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ascii="宋体" w:hAnsi="宋体" w:cs="宋体"/>
          <w:b/>
          <w:bCs/>
          <w:szCs w:val="21"/>
        </w:rPr>
        <w:t>擅自将投标密钥或电子营业执照出借他人使用所造成的法律后果，由我单位自行承担</w:t>
      </w:r>
      <w:r>
        <w:rPr>
          <w:rFonts w:hint="eastAsia" w:ascii="宋体" w:hAnsi="宋体" w:cs="宋体"/>
          <w:szCs w:val="21"/>
        </w:rPr>
        <w:t>。</w:t>
      </w:r>
    </w:p>
    <w:p>
      <w:pPr>
        <w:spacing w:line="340" w:lineRule="exact"/>
        <w:ind w:firstLine="421" w:firstLineChars="200"/>
        <w:rPr>
          <w:rFonts w:ascii="宋体" w:hAnsi="宋体" w:cs="宋体"/>
          <w:b/>
          <w:szCs w:val="21"/>
        </w:rPr>
      </w:pPr>
      <w:r>
        <w:rPr>
          <w:rFonts w:hint="eastAsia" w:ascii="宋体" w:hAnsi="宋体" w:cs="宋体"/>
          <w:b/>
          <w:szCs w:val="21"/>
        </w:rPr>
        <w:t>四、我单位已充分知悉政府采购违法、违规行为的法律后果。</w:t>
      </w:r>
    </w:p>
    <w:p>
      <w:pPr>
        <w:spacing w:line="340" w:lineRule="exact"/>
        <w:ind w:firstLine="420" w:firstLineChars="200"/>
        <w:rPr>
          <w:rFonts w:ascii="宋体" w:hAnsi="宋体" w:cs="宋体"/>
          <w:szCs w:val="21"/>
        </w:rPr>
      </w:pPr>
      <w:r>
        <w:rPr>
          <w:rFonts w:hint="eastAsia" w:ascii="宋体" w:hAnsi="宋体" w:cs="宋体"/>
          <w:szCs w:val="21"/>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line="340" w:lineRule="exact"/>
        <w:ind w:firstLine="420" w:firstLineChars="200"/>
        <w:rPr>
          <w:rFonts w:ascii="宋体" w:hAnsi="宋体" w:cs="宋体"/>
          <w:szCs w:val="21"/>
          <w:highlight w:val="yellow"/>
        </w:rPr>
      </w:pPr>
      <w:r>
        <w:rPr>
          <w:rFonts w:hint="eastAsia" w:ascii="宋体" w:hAnsi="宋体" w:cs="宋体"/>
          <w:szCs w:val="21"/>
          <w:highlight w:val="yellow"/>
        </w:rPr>
        <w:t>以下文字请投标供应商抄写并确认：“我单位已仔细阅读《政府采购违法行为风险知悉确认书》，充分知悉违法行为的法律后果，并承诺将严谨、诚信、依法依规参与政府采购活动”。</w:t>
      </w:r>
    </w:p>
    <w:tbl>
      <w:tblPr>
        <w:tblStyle w:val="190"/>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bl>
    <w:p>
      <w:pPr>
        <w:widowControl/>
        <w:wordWrap w:val="0"/>
        <w:autoSpaceDE w:val="0"/>
        <w:autoSpaceDN w:val="0"/>
        <w:spacing w:line="340" w:lineRule="exact"/>
        <w:ind w:right="808" w:firstLine="404" w:firstLineChars="200"/>
        <w:jc w:val="right"/>
        <w:rPr>
          <w:rFonts w:ascii="宋体" w:hAnsi="宋体" w:cs="宋体"/>
          <w:spacing w:val="-4"/>
          <w:kern w:val="0"/>
          <w:szCs w:val="21"/>
        </w:rPr>
      </w:pPr>
    </w:p>
    <w:p>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单位负责人签名：</w:t>
      </w:r>
      <w:r>
        <w:rPr>
          <w:rFonts w:hint="eastAsia" w:ascii="宋体" w:hAnsi="宋体" w:cs="宋体"/>
          <w:spacing w:val="-4"/>
          <w:kern w:val="0"/>
          <w:szCs w:val="21"/>
          <w:u w:val="single"/>
        </w:rPr>
        <w:t xml:space="preserve">              </w:t>
      </w:r>
    </w:p>
    <w:p>
      <w:pPr>
        <w:widowControl/>
        <w:wordWrap w:val="0"/>
        <w:autoSpaceDE w:val="0"/>
        <w:autoSpaceDN w:val="0"/>
        <w:spacing w:line="340" w:lineRule="exact"/>
        <w:ind w:right="808" w:firstLine="404" w:firstLineChars="200"/>
        <w:jc w:val="center"/>
        <w:rPr>
          <w:rFonts w:ascii="宋体" w:hAnsi="宋体" w:cs="宋体"/>
          <w:spacing w:val="-4"/>
          <w:kern w:val="0"/>
          <w:szCs w:val="21"/>
          <w:u w:val="single"/>
        </w:rPr>
      </w:pPr>
      <w:r>
        <w:rPr>
          <w:rFonts w:hint="eastAsia" w:ascii="宋体" w:hAnsi="宋体" w:cs="宋体"/>
          <w:spacing w:val="-4"/>
          <w:kern w:val="0"/>
          <w:szCs w:val="21"/>
        </w:rPr>
        <w:t xml:space="preserve">                                 （加盖公章）</w:t>
      </w:r>
    </w:p>
    <w:p>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 xml:space="preserve">     日期：</w:t>
      </w:r>
      <w:r>
        <w:rPr>
          <w:rFonts w:hint="eastAsia" w:ascii="宋体" w:hAnsi="宋体" w:cs="宋体"/>
          <w:spacing w:val="-4"/>
          <w:kern w:val="0"/>
          <w:szCs w:val="21"/>
          <w:u w:val="single"/>
        </w:rPr>
        <w:t xml:space="preserve">              </w:t>
      </w:r>
    </w:p>
    <w:p>
      <w:pPr>
        <w:widowControl/>
        <w:autoSpaceDE w:val="0"/>
        <w:autoSpaceDN w:val="0"/>
        <w:spacing w:line="340" w:lineRule="exact"/>
        <w:ind w:firstLine="405" w:firstLineChars="200"/>
        <w:jc w:val="left"/>
        <w:rPr>
          <w:rFonts w:ascii="宋体" w:hAnsi="宋体" w:cs="宋体"/>
          <w:b/>
          <w:bCs/>
          <w:spacing w:val="-4"/>
          <w:kern w:val="0"/>
          <w:szCs w:val="21"/>
        </w:rPr>
      </w:pPr>
    </w:p>
    <w:p>
      <w:pPr>
        <w:widowControl/>
        <w:autoSpaceDE w:val="0"/>
        <w:autoSpaceDN w:val="0"/>
        <w:spacing w:line="340" w:lineRule="exact"/>
        <w:ind w:firstLine="405" w:firstLineChars="200"/>
        <w:jc w:val="left"/>
        <w:rPr>
          <w:rFonts w:ascii="宋体" w:hAnsi="宋体" w:cs="宋体"/>
          <w:b/>
          <w:bCs/>
          <w:spacing w:val="-4"/>
          <w:kern w:val="0"/>
          <w:szCs w:val="21"/>
        </w:rPr>
      </w:pPr>
      <w:r>
        <w:rPr>
          <w:rFonts w:hint="eastAsia" w:ascii="宋体" w:hAnsi="宋体" w:cs="宋体"/>
          <w:b/>
          <w:bCs/>
          <w:spacing w:val="-4"/>
          <w:kern w:val="0"/>
          <w:szCs w:val="21"/>
        </w:rPr>
        <w:t>注：1.《政府采购违法行为风险知悉确认书》需由投标供应商负责人签字并加盖单位公章后，扫描上传至投标文件一并提交。</w:t>
      </w:r>
    </w:p>
    <w:p>
      <w:pPr>
        <w:pStyle w:val="192"/>
        <w:rPr>
          <w:lang w:bidi="ar"/>
        </w:rPr>
      </w:pPr>
      <w:r>
        <w:rPr>
          <w:rFonts w:hint="eastAsia" w:ascii="宋体" w:hAnsi="宋体" w:cs="宋体"/>
          <w:b/>
          <w:bCs/>
          <w:spacing w:val="-4"/>
          <w:kern w:val="0"/>
          <w:szCs w:val="21"/>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pPr>
        <w:widowControl/>
        <w:autoSpaceDE w:val="0"/>
        <w:autoSpaceDN w:val="0"/>
        <w:spacing w:line="400" w:lineRule="exact"/>
        <w:ind w:firstLine="404" w:firstLineChars="200"/>
        <w:jc w:val="left"/>
        <w:rPr>
          <w:rFonts w:ascii="宋体" w:hAnsi="宋体" w:eastAsiaTheme="minorEastAsia"/>
          <w:color w:val="FF0000"/>
          <w:spacing w:val="-4"/>
          <w:kern w:val="0"/>
          <w:szCs w:val="21"/>
        </w:rPr>
      </w:pPr>
    </w:p>
    <w:p>
      <w:pPr>
        <w:widowControl/>
        <w:autoSpaceDE w:val="0"/>
        <w:autoSpaceDN w:val="0"/>
        <w:spacing w:line="400" w:lineRule="exact"/>
        <w:ind w:right="1414" w:firstLine="480" w:firstLineChars="200"/>
        <w:jc w:val="right"/>
        <w:rPr>
          <w:rFonts w:eastAsiaTheme="minorEastAsia"/>
          <w:kern w:val="0"/>
          <w:sz w:val="24"/>
        </w:rPr>
      </w:pPr>
    </w:p>
    <w:p>
      <w:pPr>
        <w:jc w:val="center"/>
        <w:rPr>
          <w:rFonts w:ascii="黑体" w:eastAsia="黑体"/>
          <w:sz w:val="24"/>
          <w:szCs w:val="20"/>
        </w:rPr>
      </w:pPr>
      <w:r>
        <w:rPr>
          <w:rFonts w:hint="eastAsia" w:ascii="黑体" w:eastAsia="黑体"/>
          <w:sz w:val="24"/>
          <w:szCs w:val="20"/>
        </w:rPr>
        <w:t>（二）订单融资情况</w:t>
      </w:r>
    </w:p>
    <w:p>
      <w:pPr>
        <w:ind w:firstLine="421" w:firstLineChars="200"/>
        <w:rPr>
          <w:rFonts w:ascii="宋体" w:hAnsi="宋体" w:cs="宋体"/>
          <w:b/>
          <w:bCs/>
        </w:rPr>
      </w:pPr>
      <w:r>
        <w:rPr>
          <w:rFonts w:hint="eastAsia" w:ascii="宋体" w:hAnsi="宋体" w:cs="宋体"/>
          <w:b/>
          <w:bCs/>
        </w:rPr>
        <w:t>1.关于政府采购订单融资政策</w:t>
      </w:r>
    </w:p>
    <w:p>
      <w:pPr>
        <w:pStyle w:val="2"/>
        <w:spacing w:line="240" w:lineRule="auto"/>
        <w:ind w:firstLine="420" w:firstLineChars="200"/>
        <w:rPr>
          <w:b w:val="0"/>
          <w:sz w:val="21"/>
          <w:szCs w:val="21"/>
        </w:rPr>
      </w:pPr>
      <w:r>
        <w:rPr>
          <w:rFonts w:hint="eastAsia"/>
          <w:b w:val="0"/>
          <w:sz w:val="21"/>
          <w:szCs w:val="21"/>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421" w:firstLineChars="200"/>
        <w:rPr>
          <w:rFonts w:ascii="宋体" w:hAnsi="宋体" w:cs="宋体"/>
          <w:b/>
          <w:bCs/>
        </w:rPr>
      </w:pPr>
      <w:r>
        <w:rPr>
          <w:rFonts w:hint="eastAsia" w:ascii="宋体" w:hAnsi="宋体" w:cs="宋体"/>
          <w:b/>
          <w:bCs/>
        </w:rPr>
        <w:t>2.供应商账户信息</w:t>
      </w:r>
    </w:p>
    <w:p>
      <w:pPr>
        <w:ind w:left="420" w:leftChars="200" w:firstLine="210" w:firstLineChars="100"/>
        <w:rPr>
          <w:szCs w:val="21"/>
        </w:rPr>
      </w:pPr>
      <w:r>
        <w:rPr>
          <w:rFonts w:hint="eastAsia"/>
          <w:szCs w:val="21"/>
        </w:rPr>
        <w:t>投标人（单位全称）：</w:t>
      </w:r>
      <w:r>
        <w:rPr>
          <w:rFonts w:hint="eastAsia"/>
          <w:szCs w:val="21"/>
          <w:u w:val="thick"/>
        </w:rPr>
        <w:t xml:space="preserve">                           </w:t>
      </w:r>
      <w:r>
        <w:rPr>
          <w:rFonts w:hint="eastAsia"/>
          <w:szCs w:val="21"/>
        </w:rPr>
        <w:t xml:space="preserve">；  </w:t>
      </w:r>
    </w:p>
    <w:p>
      <w:pPr>
        <w:ind w:left="420" w:leftChars="200" w:firstLine="210" w:firstLineChars="100"/>
        <w:rPr>
          <w:szCs w:val="21"/>
        </w:rPr>
      </w:pPr>
      <w:r>
        <w:rPr>
          <w:rFonts w:hint="eastAsia"/>
          <w:szCs w:val="21"/>
        </w:rPr>
        <w:t>投标人单位地址：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u w:val="thick"/>
        </w:rPr>
      </w:pPr>
      <w:r>
        <w:rPr>
          <w:rFonts w:hint="eastAsia"/>
          <w:szCs w:val="21"/>
        </w:rPr>
        <w:t>联系电话：</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开户银行名称：</w:t>
      </w:r>
      <w:r>
        <w:rPr>
          <w:rFonts w:hint="eastAsia"/>
          <w:szCs w:val="21"/>
          <w:u w:val="thick"/>
        </w:rPr>
        <w:t xml:space="preserve">                                                 </w:t>
      </w:r>
      <w:r>
        <w:rPr>
          <w:rFonts w:hint="eastAsia"/>
          <w:szCs w:val="21"/>
        </w:rPr>
        <w:t>；</w:t>
      </w:r>
    </w:p>
    <w:p>
      <w:pPr>
        <w:ind w:left="420" w:leftChars="200" w:firstLine="210" w:firstLineChars="100"/>
        <w:rPr>
          <w:szCs w:val="21"/>
          <w:u w:val="thick"/>
        </w:rPr>
      </w:pPr>
      <w:r>
        <w:rPr>
          <w:rFonts w:hint="eastAsia"/>
          <w:szCs w:val="21"/>
        </w:rPr>
        <w:t>开户银行账号：</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开户银行地址：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 xml:space="preserve"> </w:t>
      </w:r>
      <w:r>
        <w:rPr>
          <w:rFonts w:hint="eastAsia" w:ascii="宋体" w:hAnsi="宋体" w:eastAsiaTheme="minorEastAsia"/>
          <w:b/>
          <w:bCs/>
          <w:color w:val="FF0000"/>
          <w:spacing w:val="-4"/>
          <w:kern w:val="0"/>
          <w:szCs w:val="21"/>
        </w:rPr>
        <w:t>注：本项填写内容作为订单融资开展的参考信息，不作为供应商资格性审查及符合性审查条件。</w:t>
      </w:r>
    </w:p>
    <w:p>
      <w:pPr>
        <w:widowControl/>
        <w:autoSpaceDE w:val="0"/>
        <w:autoSpaceDN w:val="0"/>
        <w:spacing w:line="400" w:lineRule="exact"/>
        <w:ind w:right="1414" w:firstLine="480" w:firstLineChars="200"/>
        <w:jc w:val="right"/>
        <w:rPr>
          <w:rFonts w:eastAsiaTheme="minorEastAsia"/>
          <w:kern w:val="0"/>
          <w:sz w:val="24"/>
        </w:rPr>
      </w:pPr>
    </w:p>
    <w:p>
      <w:pPr>
        <w:widowControl/>
        <w:autoSpaceDE w:val="0"/>
        <w:autoSpaceDN w:val="0"/>
        <w:spacing w:line="400" w:lineRule="exact"/>
        <w:ind w:right="1414" w:firstLine="480" w:firstLineChars="200"/>
        <w:jc w:val="right"/>
        <w:rPr>
          <w:rFonts w:eastAsiaTheme="minorEastAsia"/>
          <w:kern w:val="0"/>
          <w:sz w:val="24"/>
        </w:rPr>
      </w:pPr>
    </w:p>
    <w:p>
      <w:pPr>
        <w:rPr>
          <w:sz w:val="24"/>
        </w:rPr>
      </w:pPr>
    </w:p>
    <w:p>
      <w:pPr>
        <w:widowControl/>
        <w:spacing w:line="360" w:lineRule="auto"/>
        <w:jc w:val="left"/>
        <w:rPr>
          <w:rFonts w:eastAsiaTheme="minorEastAsia"/>
          <w:b/>
          <w:bCs/>
          <w:kern w:val="0"/>
          <w:sz w:val="24"/>
        </w:rPr>
      </w:pPr>
    </w:p>
    <w:p>
      <w:pPr>
        <w:widowControl/>
        <w:jc w:val="center"/>
        <w:rPr>
          <w:rFonts w:ascii="黑体" w:hAnsi="宋体" w:eastAsia="黑体"/>
          <w:kern w:val="0"/>
          <w:sz w:val="24"/>
          <w:szCs w:val="20"/>
        </w:rPr>
      </w:pPr>
      <w:r>
        <w:rPr>
          <w:rFonts w:hint="eastAsia" w:ascii="黑体" w:hAnsi="宋体" w:eastAsia="黑体"/>
          <w:kern w:val="0"/>
          <w:sz w:val="24"/>
          <w:szCs w:val="20"/>
        </w:rPr>
        <w:t>（三）投标人认为需要加以说明的其他内容（格式自定）</w:t>
      </w:r>
    </w:p>
    <w:p/>
    <w:p>
      <w:pPr>
        <w:pStyle w:val="2"/>
        <w:sectPr>
          <w:pgSz w:w="11907" w:h="16840"/>
          <w:pgMar w:top="1440" w:right="1797" w:bottom="1440" w:left="1797" w:header="851" w:footer="992" w:gutter="0"/>
          <w:cols w:space="425" w:num="1"/>
          <w:titlePg/>
          <w:docGrid w:linePitch="462" w:charSpace="0"/>
        </w:sectPr>
      </w:pPr>
    </w:p>
    <w:p>
      <w:pPr>
        <w:pStyle w:val="2"/>
      </w:pPr>
    </w:p>
    <w:p>
      <w:pPr>
        <w:pStyle w:val="7"/>
      </w:pPr>
      <w:r>
        <w:rPr>
          <w:rFonts w:hint="eastAsia"/>
        </w:rPr>
        <w:t>第五章  合同条款及格式</w:t>
      </w:r>
    </w:p>
    <w:p>
      <w:pPr>
        <w:ind w:firstLine="411" w:firstLineChars="196"/>
      </w:pPr>
    </w:p>
    <w:p>
      <w:pPr>
        <w:jc w:val="center"/>
      </w:pPr>
      <w:r>
        <w:rPr>
          <w:rFonts w:hint="eastAsia"/>
          <w:b/>
          <w:sz w:val="24"/>
        </w:rPr>
        <w:t>（仅供参考，具体以项目需求及采购结果为准）</w:t>
      </w:r>
    </w:p>
    <w:p>
      <w:pPr>
        <w:rPr>
          <w:rFonts w:ascii="宋体" w:hAnsi="宋体"/>
          <w:b/>
          <w:bCs/>
          <w:szCs w:val="21"/>
        </w:rPr>
      </w:pPr>
      <w:r>
        <w:rPr>
          <w:rFonts w:hint="eastAsia" w:ascii="宋体" w:hAnsi="宋体"/>
          <w:b/>
          <w:bCs/>
          <w:szCs w:val="21"/>
        </w:rPr>
        <w:t>甲方：</w:t>
      </w:r>
    </w:p>
    <w:p>
      <w:pPr>
        <w:rPr>
          <w:rFonts w:ascii="宋体" w:hAnsi="宋体"/>
          <w:szCs w:val="21"/>
        </w:rPr>
      </w:pPr>
      <w:r>
        <w:rPr>
          <w:rFonts w:hint="eastAsia" w:ascii="宋体" w:hAnsi="宋体"/>
          <w:szCs w:val="21"/>
        </w:rPr>
        <w:t>地址：</w:t>
      </w:r>
    </w:p>
    <w:p>
      <w:pPr>
        <w:rPr>
          <w:rFonts w:ascii="宋体" w:hAnsi="宋体"/>
          <w:szCs w:val="21"/>
        </w:rPr>
      </w:pPr>
      <w:r>
        <w:rPr>
          <w:rFonts w:hint="eastAsia" w:ascii="宋体" w:hAnsi="宋体"/>
          <w:szCs w:val="21"/>
        </w:rPr>
        <w:t>联系人：</w:t>
      </w:r>
      <w:r>
        <w:rPr>
          <w:rFonts w:ascii="宋体" w:hAnsi="宋体"/>
          <w:szCs w:val="21"/>
        </w:rPr>
        <w:t xml:space="preserve">                          </w:t>
      </w:r>
    </w:p>
    <w:p>
      <w:pPr>
        <w:rPr>
          <w:rFonts w:ascii="宋体" w:hAnsi="宋体"/>
          <w:b/>
          <w:bCs/>
          <w:szCs w:val="21"/>
        </w:rPr>
      </w:pPr>
      <w:r>
        <w:rPr>
          <w:rFonts w:hint="eastAsia" w:ascii="宋体" w:hAnsi="宋体"/>
          <w:szCs w:val="21"/>
        </w:rPr>
        <w:t>联系电话：</w:t>
      </w:r>
    </w:p>
    <w:p>
      <w:pPr>
        <w:rPr>
          <w:rFonts w:ascii="宋体" w:hAns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pPr>
        <w:rPr>
          <w:rFonts w:ascii="宋体" w:hAnsi="宋体"/>
          <w:b/>
          <w:bCs/>
          <w:szCs w:val="21"/>
        </w:rPr>
      </w:pPr>
      <w:r>
        <w:rPr>
          <w:rFonts w:hint="eastAsia" w:ascii="宋体" w:hAnsi="宋体"/>
          <w:b/>
          <w:bCs/>
          <w:szCs w:val="21"/>
        </w:rPr>
        <w:t>乙方：</w:t>
      </w:r>
    </w:p>
    <w:p>
      <w:pPr>
        <w:rPr>
          <w:rFonts w:ascii="宋体" w:hAnsi="宋体"/>
          <w:szCs w:val="21"/>
        </w:rPr>
      </w:pPr>
      <w:r>
        <w:rPr>
          <w:rFonts w:hint="eastAsia" w:ascii="宋体" w:hAnsi="宋体"/>
          <w:szCs w:val="21"/>
        </w:rPr>
        <w:t>地址：</w:t>
      </w:r>
    </w:p>
    <w:p>
      <w:pPr>
        <w:rPr>
          <w:rFonts w:ascii="宋体" w:hAnsi="宋体"/>
          <w:szCs w:val="21"/>
        </w:rPr>
      </w:pPr>
      <w:r>
        <w:rPr>
          <w:rFonts w:hint="eastAsia" w:ascii="宋体" w:hAnsi="宋体"/>
          <w:szCs w:val="21"/>
        </w:rPr>
        <w:t>联系人：</w:t>
      </w:r>
      <w:r>
        <w:rPr>
          <w:rFonts w:ascii="宋体" w:hAnsi="宋体"/>
          <w:szCs w:val="21"/>
        </w:rPr>
        <w:t xml:space="preserve">                          </w:t>
      </w:r>
    </w:p>
    <w:p>
      <w:pPr>
        <w:rPr>
          <w:rFonts w:ascii="宋体" w:hAnsi="宋体"/>
          <w:b/>
          <w:bCs/>
          <w:szCs w:val="21"/>
        </w:rPr>
      </w:pPr>
      <w:r>
        <w:rPr>
          <w:rFonts w:hint="eastAsia" w:ascii="宋体" w:hAnsi="宋体"/>
          <w:szCs w:val="21"/>
        </w:rPr>
        <w:t>联系电话：</w:t>
      </w:r>
    </w:p>
    <w:p>
      <w:pPr>
        <w:rPr>
          <w:rFonts w:ascii="宋体" w:hAnsi="宋体"/>
          <w:szCs w:val="21"/>
        </w:rPr>
      </w:pPr>
      <w:r>
        <w:rPr>
          <w:rFonts w:ascii="宋体" w:hAnsi="宋体"/>
          <w:b/>
          <w:bCs/>
          <w:szCs w:val="21"/>
        </w:rPr>
        <w:t xml:space="preserve">            </w:t>
      </w:r>
      <w:r>
        <w:rPr>
          <w:rFonts w:hint="eastAsia" w:ascii="宋体" w:hAnsi="宋体"/>
          <w:b/>
          <w:bCs/>
          <w:szCs w:val="21"/>
        </w:rPr>
        <w:t xml:space="preserve">          </w:t>
      </w:r>
    </w:p>
    <w:p>
      <w:pPr>
        <w:rPr>
          <w:rFonts w:ascii="宋体" w:hAnsi="宋体"/>
          <w:szCs w:val="21"/>
        </w:rPr>
      </w:pPr>
    </w:p>
    <w:p>
      <w:pPr>
        <w:ind w:firstLine="420" w:firstLineChars="200"/>
        <w:rPr>
          <w:rFonts w:ascii="宋体" w:hAnsi="宋体"/>
          <w:szCs w:val="21"/>
        </w:rPr>
      </w:pPr>
      <w:r>
        <w:rPr>
          <w:rFonts w:hint="eastAsia" w:ascii="宋体" w:hAnsi="宋体"/>
          <w:szCs w:val="21"/>
        </w:rPr>
        <w:t>根据深圳公共资源交易中心（深圳交易集团有限公司*</w:t>
      </w:r>
      <w:r>
        <w:rPr>
          <w:rFonts w:ascii="宋体" w:hAnsi="宋体"/>
          <w:szCs w:val="21"/>
        </w:rPr>
        <w:t>**</w:t>
      </w:r>
      <w:r>
        <w:rPr>
          <w:rFonts w:hint="eastAsia" w:ascii="宋体" w:hAnsi="宋体"/>
          <w:szCs w:val="21"/>
        </w:rPr>
        <w:t>分公司）*</w:t>
      </w:r>
      <w:r>
        <w:rPr>
          <w:rFonts w:ascii="宋体" w:hAnsi="宋体"/>
          <w:szCs w:val="21"/>
        </w:rPr>
        <w:t>**</w:t>
      </w:r>
      <w:r>
        <w:rPr>
          <w:rFonts w:hint="eastAsia" w:ascii="宋体" w:hAnsi="宋体"/>
          <w:szCs w:val="21"/>
        </w:rPr>
        <w:t>号项目结果，*</w:t>
      </w:r>
      <w:r>
        <w:rPr>
          <w:rFonts w:ascii="宋体" w:hAnsi="宋体"/>
          <w:szCs w:val="21"/>
        </w:rPr>
        <w:t>**</w:t>
      </w:r>
      <w:r>
        <w:rPr>
          <w:rFonts w:hint="eastAsia" w:ascii="宋体" w:hAnsi="宋体"/>
          <w:szCs w:val="21"/>
        </w:rPr>
        <w:t>单位为中标人。按照《中华人民共和国民法典》（第三编 合同）和《深圳经济特区政府采购条例》，经深圳市（以下简称甲方）和单位（以下简称乙方）协商，就甲方委托乙方承担</w:t>
      </w:r>
      <w:r>
        <w:rPr>
          <w:rFonts w:hint="eastAsia" w:ascii="宋体" w:hAnsi="宋体"/>
          <w:b/>
          <w:bCs/>
          <w:snapToGrid w:val="0"/>
          <w:kern w:val="0"/>
          <w:szCs w:val="21"/>
          <w:u w:val="single"/>
          <w:lang w:val="zh-CN"/>
        </w:rPr>
        <w:t xml:space="preserve">                      服务项目</w:t>
      </w:r>
      <w:r>
        <w:rPr>
          <w:rFonts w:hint="eastAsia" w:ascii="宋体" w:hAnsi="宋体"/>
          <w:szCs w:val="21"/>
        </w:rPr>
        <w:t>，达成以下合同条款：</w:t>
      </w:r>
    </w:p>
    <w:p>
      <w:pPr>
        <w:ind w:firstLine="421" w:firstLineChars="200"/>
        <w:rPr>
          <w:rFonts w:ascii="宋体" w:hAnsi="宋体"/>
          <w:b/>
          <w:bCs/>
          <w:szCs w:val="21"/>
        </w:rPr>
      </w:pPr>
      <w:r>
        <w:rPr>
          <w:rFonts w:hint="eastAsia" w:ascii="宋体" w:hAnsi="宋体"/>
          <w:b/>
          <w:bCs/>
          <w:szCs w:val="21"/>
        </w:rPr>
        <w:t>第一条　项目概况</w:t>
      </w:r>
    </w:p>
    <w:p>
      <w:pPr>
        <w:ind w:firstLine="420" w:firstLineChars="200"/>
        <w:rPr>
          <w:rFonts w:ascii="宋体" w:hAnsi="宋体"/>
          <w:szCs w:val="21"/>
        </w:rPr>
      </w:pPr>
      <w:r>
        <w:rPr>
          <w:rFonts w:hint="eastAsia" w:ascii="宋体" w:hAnsi="宋体"/>
          <w:szCs w:val="21"/>
        </w:rPr>
        <w:t xml:space="preserve">项目名称： </w:t>
      </w:r>
    </w:p>
    <w:p>
      <w:pPr>
        <w:ind w:firstLine="420" w:firstLineChars="200"/>
        <w:rPr>
          <w:rFonts w:ascii="宋体" w:hAnsi="宋体"/>
          <w:szCs w:val="21"/>
        </w:rPr>
      </w:pPr>
      <w:r>
        <w:rPr>
          <w:rFonts w:hint="eastAsia" w:ascii="宋体" w:hAnsi="宋体"/>
          <w:szCs w:val="21"/>
        </w:rPr>
        <w:t xml:space="preserve">项目内容： </w:t>
      </w:r>
    </w:p>
    <w:p>
      <w:pPr>
        <w:ind w:firstLine="420" w:firstLineChars="200"/>
        <w:rPr>
          <w:rFonts w:ascii="宋体" w:hAnsi="宋体"/>
          <w:szCs w:val="21"/>
        </w:rPr>
      </w:pPr>
      <w:r>
        <w:rPr>
          <w:rFonts w:hint="eastAsia" w:ascii="宋体" w:hAnsi="宋体"/>
          <w:szCs w:val="21"/>
        </w:rPr>
        <w:t xml:space="preserve">服务时间： </w:t>
      </w:r>
    </w:p>
    <w:p>
      <w:pPr>
        <w:ind w:firstLine="420" w:firstLineChars="200"/>
        <w:rPr>
          <w:rFonts w:ascii="宋体" w:hAnsi="宋体"/>
          <w:szCs w:val="21"/>
        </w:rPr>
      </w:pPr>
      <w:r>
        <w:rPr>
          <w:rFonts w:hint="eastAsia" w:ascii="宋体" w:hAnsi="宋体"/>
          <w:szCs w:val="21"/>
        </w:rPr>
        <w:t>合同价款：合同总价为元，含一切税、费。</w:t>
      </w:r>
      <w:r>
        <w:t>本合同总价包括</w:t>
      </w:r>
      <w:r>
        <w:rPr>
          <w:rFonts w:hint="eastAsia" w:ascii="宋体" w:hAnsi="宋体"/>
          <w:szCs w:val="21"/>
        </w:rPr>
        <w:t>乙方为实施本项目*</w:t>
      </w:r>
      <w:r>
        <w:rPr>
          <w:rFonts w:ascii="宋体" w:hAnsi="宋体"/>
          <w:szCs w:val="21"/>
        </w:rPr>
        <w:t>**</w:t>
      </w:r>
      <w:r>
        <w:rPr>
          <w:rFonts w:hint="eastAsia" w:ascii="宋体" w:hAnsi="宋体"/>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w:t>
      </w:r>
    </w:p>
    <w:p>
      <w:pPr>
        <w:pStyle w:val="9"/>
        <w:rPr>
          <w:rFonts w:ascii="宋体" w:hAnsi="宋体"/>
          <w:szCs w:val="21"/>
        </w:rPr>
      </w:pPr>
      <w:r>
        <w:rPr>
          <w:rFonts w:hint="eastAsia" w:ascii="宋体" w:hAnsi="宋体"/>
          <w:szCs w:val="21"/>
        </w:rPr>
        <w:t>支付方式：分期支付。</w:t>
      </w:r>
    </w:p>
    <w:p>
      <w:pPr>
        <w:ind w:firstLine="421" w:firstLineChars="200"/>
        <w:rPr>
          <w:rFonts w:ascii="宋体" w:hAnsi="宋体"/>
          <w:b/>
          <w:bCs/>
          <w:szCs w:val="21"/>
        </w:rPr>
      </w:pPr>
      <w:r>
        <w:rPr>
          <w:rFonts w:hint="eastAsia" w:ascii="宋体" w:hAnsi="宋体"/>
          <w:b/>
          <w:bCs/>
          <w:szCs w:val="21"/>
        </w:rPr>
        <w:t>第二条  服务范围</w:t>
      </w:r>
    </w:p>
    <w:p>
      <w:pPr>
        <w:ind w:firstLine="420" w:firstLineChars="200"/>
        <w:rPr>
          <w:rFonts w:ascii="宋体" w:hAnsi="宋体"/>
          <w:szCs w:val="21"/>
        </w:rPr>
      </w:pPr>
      <w:r>
        <w:rPr>
          <w:rFonts w:hint="eastAsia" w:ascii="宋体" w:hAnsi="宋体"/>
          <w:szCs w:val="21"/>
        </w:rPr>
        <w:t xml:space="preserve">1.  </w:t>
      </w:r>
    </w:p>
    <w:p>
      <w:pPr>
        <w:ind w:firstLine="420" w:firstLineChars="200"/>
        <w:rPr>
          <w:rFonts w:ascii="宋体" w:hAnsi="宋体"/>
          <w:szCs w:val="21"/>
        </w:rPr>
      </w:pPr>
      <w:r>
        <w:rPr>
          <w:rFonts w:hint="eastAsia" w:ascii="宋体" w:hAnsi="宋体"/>
          <w:szCs w:val="21"/>
        </w:rPr>
        <w:t xml:space="preserve">2.  </w:t>
      </w:r>
    </w:p>
    <w:p>
      <w:pPr>
        <w:ind w:firstLine="420" w:firstLineChars="200"/>
        <w:rPr>
          <w:rFonts w:ascii="宋体" w:hAnsi="宋体"/>
          <w:szCs w:val="21"/>
        </w:rPr>
      </w:pPr>
      <w:r>
        <w:rPr>
          <w:rFonts w:hint="eastAsia" w:ascii="宋体" w:hAnsi="宋体"/>
          <w:szCs w:val="21"/>
        </w:rPr>
        <w:t xml:space="preserve">3.  </w:t>
      </w:r>
    </w:p>
    <w:p>
      <w:pPr>
        <w:ind w:firstLine="420" w:firstLineChars="200"/>
        <w:rPr>
          <w:rFonts w:ascii="宋体" w:hAnsi="宋体"/>
          <w:szCs w:val="21"/>
        </w:rPr>
      </w:pPr>
      <w:r>
        <w:rPr>
          <w:rFonts w:hint="eastAsia" w:ascii="宋体" w:hAnsi="宋体"/>
          <w:szCs w:val="21"/>
        </w:rPr>
        <w:t>4. 其他合同未明示的相关工作。</w:t>
      </w:r>
    </w:p>
    <w:p>
      <w:pPr>
        <w:ind w:firstLine="421" w:firstLineChars="200"/>
        <w:rPr>
          <w:rFonts w:ascii="宋体" w:hAnsi="宋体"/>
          <w:b/>
          <w:bCs/>
          <w:szCs w:val="21"/>
        </w:rPr>
      </w:pPr>
      <w:r>
        <w:rPr>
          <w:rFonts w:hint="eastAsia" w:ascii="宋体" w:hAnsi="宋体"/>
          <w:b/>
          <w:bCs/>
          <w:szCs w:val="21"/>
        </w:rPr>
        <w:t>第三条  时间要求及阶段成果</w:t>
      </w:r>
    </w:p>
    <w:p>
      <w:pPr>
        <w:ind w:firstLine="420" w:firstLineChars="200"/>
        <w:rPr>
          <w:rFonts w:ascii="宋体" w:hAnsi="宋体"/>
          <w:szCs w:val="21"/>
        </w:rPr>
      </w:pPr>
      <w:r>
        <w:rPr>
          <w:rFonts w:hint="eastAsia" w:ascii="宋体" w:hAnsi="宋体"/>
          <w:szCs w:val="21"/>
        </w:rPr>
        <w:t>1.合同签订天内完成项目实施的准备工作，包括工作大纲和试验细则的编制；</w:t>
      </w:r>
    </w:p>
    <w:p>
      <w:pPr>
        <w:ind w:firstLine="420" w:firstLineChars="200"/>
        <w:rPr>
          <w:rFonts w:ascii="宋体" w:hAnsi="宋体"/>
          <w:szCs w:val="21"/>
        </w:rPr>
      </w:pPr>
      <w:r>
        <w:rPr>
          <w:rFonts w:hint="eastAsia" w:ascii="宋体" w:hAnsi="宋体"/>
          <w:szCs w:val="21"/>
        </w:rPr>
        <w:t xml:space="preserve">2. </w:t>
      </w:r>
    </w:p>
    <w:p>
      <w:pPr>
        <w:ind w:firstLine="420" w:firstLineChars="200"/>
        <w:rPr>
          <w:rFonts w:ascii="宋体" w:hAnsi="宋体"/>
          <w:szCs w:val="21"/>
        </w:rPr>
      </w:pPr>
      <w:r>
        <w:rPr>
          <w:rFonts w:hint="eastAsia" w:ascii="宋体" w:hAnsi="宋体"/>
          <w:szCs w:val="21"/>
        </w:rPr>
        <w:t>3.</w:t>
      </w:r>
    </w:p>
    <w:p>
      <w:pPr>
        <w:ind w:firstLine="420" w:firstLineChars="200"/>
        <w:rPr>
          <w:rFonts w:ascii="宋体" w:hAnsi="宋体"/>
          <w:szCs w:val="21"/>
        </w:rPr>
      </w:pPr>
      <w:r>
        <w:rPr>
          <w:rFonts w:hint="eastAsia" w:ascii="宋体" w:hAnsi="宋体"/>
          <w:szCs w:val="21"/>
        </w:rPr>
        <w:t>4.</w:t>
      </w:r>
    </w:p>
    <w:p>
      <w:pPr>
        <w:ind w:firstLine="421" w:firstLineChars="200"/>
        <w:rPr>
          <w:rFonts w:ascii="宋体" w:hAnsi="宋体"/>
          <w:b/>
          <w:bCs/>
          <w:szCs w:val="21"/>
        </w:rPr>
      </w:pPr>
      <w:r>
        <w:rPr>
          <w:rFonts w:hint="eastAsia" w:ascii="宋体" w:hAnsi="宋体"/>
          <w:b/>
          <w:bCs/>
          <w:szCs w:val="21"/>
        </w:rPr>
        <w:t>第四条  服务资料归属</w:t>
      </w:r>
    </w:p>
    <w:p>
      <w:pPr>
        <w:ind w:firstLine="420" w:firstLineChars="200"/>
      </w:pPr>
      <w:r>
        <w:rPr>
          <w:rFonts w:hint="eastAsia"/>
        </w:rPr>
        <w:t>1.</w:t>
      </w:r>
      <w:r>
        <w:t>所有提交给</w:t>
      </w:r>
      <w:r>
        <w:rPr>
          <w:rFonts w:hint="eastAsia"/>
        </w:rPr>
        <w:t>甲</w:t>
      </w:r>
      <w:r>
        <w:t>方的服务</w:t>
      </w:r>
      <w:r>
        <w:rPr>
          <w:rFonts w:hint="eastAsia"/>
        </w:rPr>
        <w:t>文件</w:t>
      </w:r>
      <w:r>
        <w:t>及相关的资料的最后文本，包括为履行技术服务范围所编制的图纸、计划和证明资料等，都属于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pPr>
        <w:ind w:firstLine="420" w:firstLineChars="200"/>
      </w:pPr>
      <w:r>
        <w:rPr>
          <w:rFonts w:hint="eastAsia"/>
        </w:rPr>
        <w:t>2.</w:t>
      </w:r>
      <w:r>
        <w:rPr>
          <w:rFonts w:hint="eastAsia" w:ascii="宋体" w:hAnsi="宋体"/>
          <w:szCs w:val="21"/>
        </w:rPr>
        <w:t>乙</w:t>
      </w:r>
      <w:r>
        <w:t>方未经</w:t>
      </w:r>
      <w:r>
        <w:rPr>
          <w:rFonts w:hint="eastAsia"/>
        </w:rPr>
        <w:t>甲</w:t>
      </w:r>
      <w:r>
        <w:t>方的书面同意，不得将上述资料用于与本服务项目之外的任何项目</w:t>
      </w:r>
      <w:r>
        <w:rPr>
          <w:rFonts w:hint="eastAsia"/>
        </w:rPr>
        <w:t>。</w:t>
      </w:r>
    </w:p>
    <w:p>
      <w:pPr>
        <w:ind w:firstLine="420" w:firstLineChars="20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pPr>
        <w:ind w:firstLine="421" w:firstLineChars="200"/>
        <w:rPr>
          <w:rFonts w:ascii="宋体" w:hAnsi="宋体"/>
          <w:b/>
          <w:bCs/>
          <w:szCs w:val="21"/>
        </w:rPr>
      </w:pPr>
      <w:r>
        <w:rPr>
          <w:rFonts w:hint="eastAsia" w:ascii="宋体" w:hAnsi="宋体"/>
          <w:b/>
          <w:bCs/>
          <w:szCs w:val="21"/>
        </w:rPr>
        <w:t>第五条  甲方的义务</w:t>
      </w:r>
    </w:p>
    <w:p>
      <w:pPr>
        <w:ind w:firstLine="420" w:firstLineChars="200"/>
        <w:rPr>
          <w:rFonts w:ascii="宋体" w:hAnsi="宋体"/>
          <w:szCs w:val="21"/>
        </w:rPr>
      </w:pPr>
      <w:r>
        <w:rPr>
          <w:rFonts w:hint="eastAsia" w:ascii="宋体" w:hAnsi="宋体"/>
          <w:szCs w:val="21"/>
        </w:rPr>
        <w:t>1.负责与本服务项目有关的第三方的协调，提供开展服务工作的外部条件。</w:t>
      </w:r>
    </w:p>
    <w:p>
      <w:pPr>
        <w:ind w:firstLine="420" w:firstLineChars="200"/>
        <w:rPr>
          <w:rFonts w:ascii="宋体" w:hAnsi="宋体"/>
          <w:szCs w:val="21"/>
        </w:rPr>
      </w:pPr>
      <w:r>
        <w:rPr>
          <w:rFonts w:hint="eastAsia" w:ascii="宋体" w:hAnsi="宋体"/>
          <w:szCs w:val="21"/>
        </w:rPr>
        <w:t>2.向乙方提供与本项目服务工作有关的资料。</w:t>
      </w:r>
    </w:p>
    <w:p>
      <w:pPr>
        <w:ind w:firstLine="420" w:firstLineChars="200"/>
        <w:rPr>
          <w:rFonts w:ascii="宋体" w:hAnsi="宋体"/>
          <w:szCs w:val="21"/>
        </w:rPr>
      </w:pPr>
      <w:r>
        <w:rPr>
          <w:rFonts w:hint="eastAsia" w:ascii="宋体" w:hAnsi="宋体"/>
          <w:szCs w:val="21"/>
        </w:rPr>
        <w:t>3.负责组织有关专家对项目试验成果评估报告的评审。</w:t>
      </w:r>
    </w:p>
    <w:p>
      <w:pPr>
        <w:ind w:firstLine="421" w:firstLineChars="200"/>
        <w:rPr>
          <w:rFonts w:ascii="宋体" w:hAnsi="宋体"/>
          <w:b/>
          <w:bCs/>
          <w:szCs w:val="21"/>
        </w:rPr>
      </w:pPr>
      <w:r>
        <w:rPr>
          <w:rFonts w:hint="eastAsia" w:ascii="宋体" w:hAnsi="宋体"/>
          <w:b/>
          <w:bCs/>
          <w:szCs w:val="21"/>
        </w:rPr>
        <w:t>第六条　乙方的义务</w:t>
      </w:r>
    </w:p>
    <w:p>
      <w:pPr>
        <w:ind w:firstLine="420" w:firstLineChars="200"/>
        <w:rPr>
          <w:rFonts w:ascii="宋体" w:hAnsi="宋体"/>
          <w:szCs w:val="21"/>
        </w:rPr>
      </w:pPr>
      <w:r>
        <w:rPr>
          <w:rFonts w:hint="eastAsia" w:ascii="宋体" w:hAnsi="宋体"/>
          <w:szCs w:val="21"/>
        </w:rPr>
        <w:t>1.应按照招标文件、投标文件要求按期完成本项目服务工作。</w:t>
      </w:r>
    </w:p>
    <w:p>
      <w:pPr>
        <w:ind w:firstLine="420" w:firstLineChars="200"/>
        <w:rPr>
          <w:rFonts w:ascii="宋体" w:hAnsi="宋体"/>
          <w:szCs w:val="21"/>
        </w:rPr>
      </w:pPr>
      <w:r>
        <w:rPr>
          <w:rFonts w:hint="eastAsia" w:ascii="宋体" w:hAnsi="宋体"/>
          <w:szCs w:val="21"/>
        </w:rPr>
        <w:t>2.负责组织项目的实施，保证工程进度和成桥荷载试验工作质量，并满足交通运输部交工验收相关标准。</w:t>
      </w:r>
    </w:p>
    <w:p>
      <w:pPr>
        <w:ind w:firstLine="420" w:firstLineChars="200"/>
        <w:rPr>
          <w:rFonts w:ascii="宋体" w:hAnsi="宋体"/>
          <w:szCs w:val="21"/>
        </w:rPr>
      </w:pPr>
      <w:r>
        <w:rPr>
          <w:rFonts w:hint="eastAsia" w:ascii="宋体" w:hAnsi="宋体"/>
          <w:szCs w:val="21"/>
        </w:rPr>
        <w:t>3.</w:t>
      </w:r>
      <w:r>
        <w:rPr>
          <w:rFonts w:hint="eastAsia" w:ascii="宋体" w:hAnsi="宋体"/>
        </w:rPr>
        <w:t>向甲方提交检测资料等各套，一套电子版文件。</w:t>
      </w:r>
    </w:p>
    <w:p>
      <w:pPr>
        <w:ind w:firstLine="420" w:firstLineChars="200"/>
        <w:rPr>
          <w:rFonts w:ascii="宋体" w:hAnsi="宋体"/>
          <w:szCs w:val="21"/>
        </w:rPr>
      </w:pPr>
      <w:r>
        <w:rPr>
          <w:rFonts w:hint="eastAsia" w:ascii="宋体" w:hAnsi="宋体"/>
          <w:szCs w:val="21"/>
        </w:rPr>
        <w:t>4.在履行合同期间或合同规定期限内，不得泄露与本合同规定业务活动有关的保密资料。</w:t>
      </w:r>
    </w:p>
    <w:p>
      <w:pPr>
        <w:ind w:firstLine="421" w:firstLineChars="200"/>
        <w:rPr>
          <w:rFonts w:ascii="宋体" w:hAnsi="宋体"/>
          <w:b/>
          <w:bCs/>
          <w:szCs w:val="21"/>
        </w:rPr>
      </w:pPr>
      <w:r>
        <w:rPr>
          <w:rFonts w:hint="eastAsia" w:ascii="宋体" w:hAnsi="宋体"/>
          <w:b/>
          <w:bCs/>
          <w:szCs w:val="21"/>
        </w:rPr>
        <w:t>第七条  甲方的权利</w:t>
      </w:r>
    </w:p>
    <w:p>
      <w:pPr>
        <w:ind w:firstLine="420" w:firstLineChars="200"/>
        <w:rPr>
          <w:rFonts w:ascii="宋体" w:hAnsi="宋体"/>
          <w:szCs w:val="21"/>
        </w:rPr>
      </w:pPr>
      <w:r>
        <w:rPr>
          <w:rFonts w:hint="eastAsia" w:ascii="宋体" w:hAnsi="宋体"/>
          <w:szCs w:val="21"/>
        </w:rPr>
        <w:t>1.有权向乙方询问工作进展情况及相关内容。</w:t>
      </w:r>
    </w:p>
    <w:p>
      <w:pPr>
        <w:ind w:firstLine="420" w:firstLineChars="200"/>
        <w:rPr>
          <w:rFonts w:ascii="宋体" w:hAnsi="宋体"/>
          <w:szCs w:val="21"/>
        </w:rPr>
      </w:pPr>
      <w:r>
        <w:rPr>
          <w:rFonts w:hint="eastAsia" w:ascii="宋体" w:hAnsi="宋体"/>
          <w:szCs w:val="21"/>
        </w:rPr>
        <w:t>2.有权阐述对具体问题的意见和建议。</w:t>
      </w:r>
    </w:p>
    <w:p>
      <w:pPr>
        <w:ind w:firstLine="420" w:firstLineChars="200"/>
        <w:rPr>
          <w:rFonts w:ascii="宋体" w:hAnsi="宋体"/>
          <w:szCs w:val="21"/>
        </w:rPr>
      </w:pPr>
      <w:r>
        <w:rPr>
          <w:rFonts w:hint="eastAsia" w:ascii="宋体" w:hAnsi="宋体"/>
          <w:szCs w:val="21"/>
        </w:rPr>
        <w:t>3.当甲方认定乙方人员不按合同履行其职责，或与第三人串通给甲方造成经济损失的，甲方有权要求更换人员，直至终止合同并要求乙方承担相应的赔偿责任。</w:t>
      </w:r>
    </w:p>
    <w:p>
      <w:pPr>
        <w:ind w:firstLine="421" w:firstLineChars="200"/>
        <w:rPr>
          <w:rFonts w:ascii="宋体" w:hAnsi="宋体"/>
          <w:b/>
          <w:bCs/>
          <w:szCs w:val="21"/>
        </w:rPr>
      </w:pPr>
      <w:r>
        <w:rPr>
          <w:rFonts w:hint="eastAsia" w:ascii="宋体" w:hAnsi="宋体"/>
          <w:b/>
          <w:bCs/>
          <w:szCs w:val="21"/>
        </w:rPr>
        <w:t>第八条  乙方的权利</w:t>
      </w:r>
    </w:p>
    <w:p>
      <w:pPr>
        <w:ind w:firstLine="420" w:firstLineChars="200"/>
        <w:rPr>
          <w:rFonts w:ascii="宋体" w:hAnsi="宋体"/>
          <w:szCs w:val="21"/>
        </w:rPr>
      </w:pPr>
      <w:r>
        <w:rPr>
          <w:rFonts w:hint="eastAsia" w:ascii="宋体" w:hAnsi="宋体"/>
          <w:szCs w:val="21"/>
        </w:rPr>
        <w:t>1.乙方在本项目服务过程中，如甲方提供的资料不明确时可向甲方提出书面报告。</w:t>
      </w:r>
    </w:p>
    <w:p>
      <w:pPr>
        <w:ind w:firstLine="420" w:firstLineChars="200"/>
        <w:rPr>
          <w:rFonts w:ascii="宋体" w:hAnsi="宋体"/>
          <w:szCs w:val="21"/>
        </w:rPr>
      </w:pPr>
      <w:r>
        <w:rPr>
          <w:rFonts w:hint="eastAsia" w:ascii="宋体" w:hAnsi="宋体"/>
          <w:szCs w:val="21"/>
        </w:rPr>
        <w:t>2.乙方在本项目服务过程中，有权对第三方提出与本服务业务有关的问题进行核对或查问。</w:t>
      </w:r>
    </w:p>
    <w:p>
      <w:pPr>
        <w:ind w:firstLine="420" w:firstLineChars="200"/>
        <w:rPr>
          <w:rFonts w:ascii="宋体" w:hAnsi="宋体"/>
          <w:szCs w:val="21"/>
        </w:rPr>
      </w:pPr>
      <w:r>
        <w:rPr>
          <w:rFonts w:hint="eastAsia" w:ascii="宋体" w:hAnsi="宋体"/>
          <w:szCs w:val="21"/>
        </w:rPr>
        <w:t>3.乙方在本项目服务过程中，有到工程现场勘察的权利。</w:t>
      </w:r>
    </w:p>
    <w:p>
      <w:pPr>
        <w:ind w:firstLine="421" w:firstLineChars="200"/>
        <w:rPr>
          <w:rFonts w:ascii="宋体" w:hAnsi="宋体"/>
          <w:b/>
          <w:bCs/>
          <w:szCs w:val="21"/>
        </w:rPr>
      </w:pPr>
      <w:r>
        <w:rPr>
          <w:rFonts w:hint="eastAsia" w:ascii="宋体" w:hAnsi="宋体"/>
          <w:b/>
          <w:bCs/>
          <w:szCs w:val="21"/>
        </w:rPr>
        <w:t>第九条  甲方的责任</w:t>
      </w:r>
    </w:p>
    <w:p>
      <w:pPr>
        <w:ind w:firstLine="420" w:firstLineChars="200"/>
        <w:rPr>
          <w:rFonts w:ascii="宋体" w:hAnsi="宋体"/>
          <w:szCs w:val="21"/>
        </w:rPr>
      </w:pPr>
      <w:r>
        <w:rPr>
          <w:rFonts w:hint="eastAsia" w:ascii="宋体" w:hAnsi="宋体"/>
          <w:szCs w:val="21"/>
        </w:rPr>
        <w:t>1.应当履行本合同约定的义务，如有违反则应当承担违约责任，赔偿给乙方造成的损失。</w:t>
      </w:r>
    </w:p>
    <w:p>
      <w:pPr>
        <w:ind w:firstLine="420" w:firstLineChars="200"/>
        <w:rPr>
          <w:rFonts w:ascii="宋体" w:hAnsi="宋体"/>
          <w:szCs w:val="21"/>
        </w:rPr>
      </w:pPr>
      <w:r>
        <w:rPr>
          <w:rFonts w:hint="eastAsia" w:ascii="宋体" w:hAnsi="宋体"/>
          <w:szCs w:val="21"/>
        </w:rPr>
        <w:t>2.甲方向乙方提出赔偿要求不能成立时，则应补偿由于该赔偿或其他要求所导致乙方的各种费用的支出。</w:t>
      </w:r>
    </w:p>
    <w:p>
      <w:pPr>
        <w:ind w:firstLine="421" w:firstLineChars="200"/>
        <w:rPr>
          <w:rFonts w:ascii="宋体" w:hAnsi="宋体"/>
          <w:b/>
          <w:bCs/>
          <w:szCs w:val="21"/>
        </w:rPr>
      </w:pPr>
      <w:r>
        <w:rPr>
          <w:rFonts w:hint="eastAsia" w:ascii="宋体" w:hAnsi="宋体"/>
          <w:b/>
          <w:bCs/>
          <w:szCs w:val="21"/>
        </w:rPr>
        <w:t>第十条  乙方的责任</w:t>
      </w:r>
    </w:p>
    <w:p>
      <w:pPr>
        <w:ind w:firstLine="420" w:firstLineChars="200"/>
        <w:rPr>
          <w:rFonts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pPr>
        <w:ind w:firstLine="420" w:firstLineChars="200"/>
        <w:rPr>
          <w:rFonts w:ascii="宋体" w:hAnsi="宋体"/>
          <w:szCs w:val="21"/>
        </w:rPr>
      </w:pPr>
      <w:r>
        <w:rPr>
          <w:rFonts w:hint="eastAsia" w:ascii="宋体" w:hAnsi="宋体"/>
          <w:szCs w:val="21"/>
        </w:rPr>
        <w:t>2.乙方的责任期内，应当履行本合同中约定的义务，因乙方的单方过失造成的经济损失，应当向甲方进行赔偿。</w:t>
      </w:r>
    </w:p>
    <w:p>
      <w:pPr>
        <w:ind w:firstLine="420" w:firstLineChars="200"/>
        <w:rPr>
          <w:rFonts w:ascii="宋体" w:hAnsi="宋体"/>
          <w:szCs w:val="21"/>
        </w:rPr>
      </w:pPr>
      <w:r>
        <w:rPr>
          <w:rFonts w:hint="eastAsia" w:ascii="宋体" w:hAnsi="宋体"/>
          <w:szCs w:val="21"/>
        </w:rPr>
        <w:t>3.乙方对甲方或第三方所提出的问题不能及时核对或答复，导致合同不能全部或部分履行，乙方应承担责任。</w:t>
      </w:r>
    </w:p>
    <w:p>
      <w:pPr>
        <w:ind w:firstLine="420" w:firstLineChars="200"/>
        <w:rPr>
          <w:rFonts w:ascii="宋体" w:hAnsi="宋体"/>
          <w:szCs w:val="21"/>
        </w:rPr>
      </w:pPr>
      <w:r>
        <w:rPr>
          <w:rFonts w:hint="eastAsia" w:ascii="宋体" w:hAnsi="宋体"/>
          <w:szCs w:val="21"/>
        </w:rPr>
        <w:t>4.乙方向甲方提出赔偿要求不能成立时，则应补偿由于该赔偿或其他要求所导致甲方的各种费用的支出。</w:t>
      </w:r>
    </w:p>
    <w:p>
      <w:pPr>
        <w:ind w:firstLine="421" w:firstLineChars="200"/>
        <w:rPr>
          <w:rFonts w:ascii="宋体" w:hAnsi="宋体"/>
          <w:b/>
          <w:bCs/>
          <w:szCs w:val="21"/>
        </w:rPr>
      </w:pPr>
      <w:r>
        <w:rPr>
          <w:rFonts w:hint="eastAsia" w:ascii="宋体" w:hAnsi="宋体"/>
          <w:b/>
          <w:bCs/>
          <w:szCs w:val="21"/>
        </w:rPr>
        <w:t>第十一条  人员要求</w:t>
      </w:r>
    </w:p>
    <w:p>
      <w:pPr>
        <w:ind w:firstLine="420" w:firstLineChars="200"/>
        <w:rPr>
          <w:rFonts w:ascii="宋体" w:hAnsi="宋体"/>
          <w:szCs w:val="21"/>
        </w:rPr>
      </w:pPr>
      <w:r>
        <w:rPr>
          <w:rFonts w:hint="eastAsia" w:ascii="宋体" w:hAnsi="宋体"/>
          <w:szCs w:val="21"/>
        </w:rPr>
        <w:t>1.参加本项目试验的人员必须具有国家和有关部门规定的相应资质。</w:t>
      </w:r>
    </w:p>
    <w:p>
      <w:pPr>
        <w:ind w:firstLine="420" w:firstLineChars="200"/>
        <w:rPr>
          <w:rFonts w:ascii="宋体" w:hAnsi="宋体"/>
          <w:szCs w:val="21"/>
        </w:rPr>
      </w:pPr>
      <w:r>
        <w:rPr>
          <w:rFonts w:hint="eastAsia" w:ascii="宋体" w:hAnsi="宋体"/>
          <w:szCs w:val="21"/>
        </w:rPr>
        <w:t>2. 参加本项目的试验人员的配置必须与投标文件中的服务承诺书和试验服务组织实施方案一致。</w:t>
      </w:r>
    </w:p>
    <w:p>
      <w:pPr>
        <w:ind w:firstLine="420" w:firstLineChars="200"/>
        <w:rPr>
          <w:rFonts w:ascii="宋体" w:hAnsi="宋体"/>
          <w:szCs w:val="21"/>
        </w:rPr>
      </w:pPr>
      <w:r>
        <w:rPr>
          <w:rFonts w:hint="eastAsia" w:ascii="宋体" w:hAnsi="宋体"/>
          <w:szCs w:val="21"/>
        </w:rPr>
        <w:t>3.必须以直属试验人员参与本项目服务，不得使用挂靠队伍。</w:t>
      </w:r>
    </w:p>
    <w:p>
      <w:pPr>
        <w:ind w:firstLine="421" w:firstLineChars="200"/>
        <w:rPr>
          <w:rFonts w:ascii="宋体" w:hAnsi="宋体"/>
          <w:b/>
          <w:bCs/>
          <w:szCs w:val="21"/>
        </w:rPr>
      </w:pPr>
      <w:r>
        <w:rPr>
          <w:rFonts w:hint="eastAsia" w:ascii="宋体" w:hAnsi="宋体"/>
          <w:b/>
          <w:bCs/>
          <w:szCs w:val="21"/>
        </w:rPr>
        <w:t>第十二条  乙方服务工具要求</w:t>
      </w:r>
    </w:p>
    <w:p>
      <w:pPr>
        <w:ind w:firstLine="420" w:firstLineChars="200"/>
        <w:rPr>
          <w:rFonts w:ascii="宋体" w:hAnsi="宋体"/>
          <w:szCs w:val="21"/>
        </w:rPr>
      </w:pPr>
      <w:r>
        <w:rPr>
          <w:rFonts w:hint="eastAsia" w:ascii="宋体" w:hAnsi="宋体"/>
          <w:szCs w:val="21"/>
        </w:rPr>
        <w:t>1.乙方应配备中标项目所需的足够数量的仪器、仪表以及工具等设备。用户不需向乙方提供施工工具和仪器、仪表。</w:t>
      </w:r>
    </w:p>
    <w:p>
      <w:pPr>
        <w:ind w:firstLine="420" w:firstLineChars="200"/>
        <w:rPr>
          <w:rFonts w:ascii="宋体" w:hAnsi="宋体"/>
          <w:szCs w:val="21"/>
        </w:rPr>
      </w:pPr>
      <w:r>
        <w:rPr>
          <w:rFonts w:hint="eastAsia" w:ascii="宋体" w:hAnsi="宋体"/>
          <w:szCs w:val="21"/>
        </w:rPr>
        <w:t>2.乙方在提供服务过程中应自备车辆。</w:t>
      </w:r>
    </w:p>
    <w:p>
      <w:pPr>
        <w:ind w:firstLine="421" w:firstLineChars="200"/>
        <w:rPr>
          <w:rFonts w:ascii="宋体" w:hAnsi="宋体"/>
          <w:b/>
          <w:bCs/>
          <w:szCs w:val="21"/>
        </w:rPr>
      </w:pPr>
      <w:r>
        <w:rPr>
          <w:rFonts w:hint="eastAsia" w:ascii="宋体" w:hAnsi="宋体"/>
          <w:b/>
          <w:bCs/>
          <w:szCs w:val="21"/>
        </w:rPr>
        <w:t>第十三条  保密要求</w:t>
      </w:r>
    </w:p>
    <w:p>
      <w:pPr>
        <w:ind w:firstLine="420" w:firstLineChars="200"/>
        <w:rPr>
          <w:rFonts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w:t>
      </w:r>
      <w:r>
        <w:rPr>
          <w:rFonts w:hint="eastAsia" w:ascii="宋体" w:hAnsi="宋体"/>
          <w:szCs w:val="21"/>
        </w:rPr>
        <w:t>不得泄露给除甲方或其</w:t>
      </w:r>
      <w:r>
        <w:rPr>
          <w:rFonts w:ascii="宋体" w:hAnsi="宋体"/>
          <w:szCs w:val="21"/>
        </w:rPr>
        <w:t>指定的代表之外的任何人、企业或公司，不管本合同因何种原因终止，本条款一直约束乙方。</w:t>
      </w:r>
    </w:p>
    <w:p>
      <w:pPr>
        <w:ind w:firstLine="420" w:firstLineChars="200"/>
        <w:rPr>
          <w:rFonts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pPr>
        <w:ind w:firstLine="420" w:firstLineChars="200"/>
        <w:rPr>
          <w:rFonts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pPr>
        <w:ind w:firstLine="420" w:firstLineChars="200"/>
        <w:rPr>
          <w:rFonts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pPr>
        <w:ind w:firstLine="421" w:firstLineChars="200"/>
        <w:rPr>
          <w:rFonts w:ascii="宋体" w:hAnsi="宋体"/>
          <w:b/>
          <w:bCs/>
          <w:szCs w:val="21"/>
        </w:rPr>
      </w:pPr>
      <w:r>
        <w:rPr>
          <w:rFonts w:hint="eastAsia" w:ascii="宋体" w:hAnsi="宋体"/>
          <w:b/>
          <w:bCs/>
          <w:szCs w:val="21"/>
        </w:rPr>
        <w:t xml:space="preserve">第十四条  验收     </w:t>
      </w:r>
    </w:p>
    <w:p>
      <w:pPr>
        <w:ind w:firstLine="420" w:firstLineChars="200"/>
        <w:rPr>
          <w:rFonts w:ascii="宋体" w:hAnsi="宋体"/>
          <w:szCs w:val="21"/>
        </w:rPr>
      </w:pPr>
      <w:r>
        <w:rPr>
          <w:rFonts w:hint="eastAsia" w:ascii="宋体" w:hAnsi="宋体"/>
          <w:szCs w:val="21"/>
        </w:rPr>
        <w:t>1.下列文件的验收分为</w:t>
      </w:r>
      <w:r>
        <w:rPr>
          <w:rFonts w:hint="eastAsia" w:ascii="宋体" w:hAnsi="宋体"/>
          <w:szCs w:val="21"/>
          <w:u w:val="single"/>
        </w:rPr>
        <w:t xml:space="preserve">          三</w:t>
      </w:r>
      <w:r>
        <w:rPr>
          <w:rFonts w:hint="eastAsia" w:ascii="宋体" w:hAnsi="宋体"/>
          <w:szCs w:val="21"/>
        </w:rPr>
        <w:t>个阶段：</w:t>
      </w:r>
    </w:p>
    <w:p>
      <w:pPr>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pPr>
        <w:ind w:firstLine="420" w:firstLineChars="200"/>
        <w:rPr>
          <w:rFonts w:ascii="宋体" w:hAnsi="宋体"/>
          <w:szCs w:val="21"/>
        </w:rPr>
      </w:pPr>
      <w:r>
        <w:rPr>
          <w:rFonts w:hint="eastAsia" w:ascii="宋体" w:hAnsi="宋体"/>
          <w:szCs w:val="21"/>
        </w:rPr>
        <w:t>3.验收依据为招标文件、投标文件，国家和行业有关规范、规程和标准。</w:t>
      </w:r>
    </w:p>
    <w:p>
      <w:pPr>
        <w:ind w:firstLine="421" w:firstLineChars="200"/>
        <w:rPr>
          <w:rFonts w:ascii="宋体" w:hAnsi="宋体"/>
          <w:b/>
          <w:bCs/>
          <w:szCs w:val="21"/>
        </w:rPr>
      </w:pPr>
      <w:r>
        <w:rPr>
          <w:rFonts w:hint="eastAsia" w:ascii="宋体" w:hAnsi="宋体"/>
          <w:b/>
          <w:bCs/>
          <w:szCs w:val="21"/>
        </w:rPr>
        <w:t>第十五条  付款方式</w:t>
      </w:r>
    </w:p>
    <w:p>
      <w:pPr>
        <w:ind w:firstLine="420" w:firstLineChars="200"/>
        <w:rPr>
          <w:rFonts w:ascii="宋体" w:hAnsi="宋体"/>
          <w:szCs w:val="21"/>
        </w:rPr>
      </w:pPr>
      <w:r>
        <w:rPr>
          <w:rFonts w:hint="eastAsia" w:ascii="宋体" w:hAnsi="宋体"/>
          <w:szCs w:val="21"/>
        </w:rPr>
        <w:t>1.合同签订后   天内乙方向甲方开具合法有效的发票后，甲方于   天内向乙方支付合同总价%的款项。</w:t>
      </w:r>
    </w:p>
    <w:p>
      <w:pPr>
        <w:ind w:firstLine="420" w:firstLineChars="200"/>
        <w:rPr>
          <w:rFonts w:ascii="宋体" w:hAnsi="宋体"/>
          <w:szCs w:val="21"/>
        </w:rPr>
      </w:pPr>
      <w:r>
        <w:rPr>
          <w:rFonts w:hint="eastAsia" w:ascii="宋体" w:hAnsi="宋体"/>
          <w:szCs w:val="21"/>
        </w:rPr>
        <w:t>2.检测完成并提交评估报告后  天内，乙方向甲方开具合法有效发票后 天，甲方向乙方支付合同总价%的款项。</w:t>
      </w:r>
    </w:p>
    <w:p>
      <w:pPr>
        <w:ind w:firstLine="420" w:firstLineChars="200"/>
        <w:rPr>
          <w:rFonts w:ascii="宋体" w:hAnsi="宋体"/>
          <w:szCs w:val="21"/>
        </w:rPr>
      </w:pPr>
      <w:r>
        <w:rPr>
          <w:rFonts w:hint="eastAsia" w:ascii="宋体" w:hAnsi="宋体"/>
          <w:szCs w:val="21"/>
        </w:rPr>
        <w:t>3.报告通过专家评审后，甲方向乙方支付合同总价%的款项。</w:t>
      </w:r>
    </w:p>
    <w:p>
      <w:pPr>
        <w:ind w:firstLine="421" w:firstLineChars="200"/>
        <w:rPr>
          <w:rFonts w:ascii="宋体" w:hAnsi="宋体"/>
          <w:b/>
          <w:bCs/>
          <w:szCs w:val="21"/>
        </w:rPr>
      </w:pPr>
      <w:r>
        <w:rPr>
          <w:rFonts w:hint="eastAsia" w:ascii="宋体" w:hAnsi="宋体"/>
          <w:b/>
          <w:bCs/>
          <w:szCs w:val="21"/>
        </w:rPr>
        <w:t>第十六条  争议解决办法</w:t>
      </w:r>
    </w:p>
    <w:p>
      <w:pPr>
        <w:ind w:firstLine="420" w:firstLineChars="200"/>
        <w:rPr>
          <w:rFonts w:ascii="宋体" w:hAnsi="宋体"/>
          <w:szCs w:val="21"/>
        </w:rPr>
      </w:pPr>
      <w:r>
        <w:rPr>
          <w:rFonts w:hint="eastAsia" w:ascii="宋体" w:hAnsi="宋体"/>
          <w:szCs w:val="21"/>
        </w:rPr>
        <w:t>执行本合同发生的争议，由甲乙双方协商解决，如协商不成的，应提交甲方所在地人民法院诉讼解决。</w:t>
      </w:r>
    </w:p>
    <w:p>
      <w:pPr>
        <w:ind w:firstLine="421" w:firstLineChars="200"/>
        <w:rPr>
          <w:rFonts w:ascii="宋体" w:hAnsi="宋体"/>
          <w:b/>
          <w:bCs/>
          <w:szCs w:val="21"/>
        </w:rPr>
      </w:pPr>
      <w:r>
        <w:rPr>
          <w:rFonts w:hint="eastAsia" w:ascii="宋体" w:hAnsi="宋体"/>
          <w:b/>
          <w:bCs/>
          <w:szCs w:val="21"/>
        </w:rPr>
        <w:t>第十七条  风险责任</w:t>
      </w:r>
    </w:p>
    <w:p>
      <w:pPr>
        <w:ind w:firstLine="420" w:firstLineChars="200"/>
        <w:rPr>
          <w:rFonts w:ascii="宋体" w:hAnsi="宋体"/>
          <w:szCs w:val="21"/>
        </w:rPr>
      </w:pPr>
      <w:r>
        <w:rPr>
          <w:rFonts w:hint="eastAsia" w:ascii="宋体" w:hAnsi="宋体"/>
          <w:szCs w:val="21"/>
        </w:rPr>
        <w:t>1、乙方应完全按照招标文件的要求和乙方投标文件的承诺完成本项目，出于自身财务、技术、人力等原因导致项目失败的，应承担全部责任。</w:t>
      </w:r>
    </w:p>
    <w:p>
      <w:pPr>
        <w:ind w:firstLine="420" w:firstLineChars="200"/>
        <w:rPr>
          <w:rFonts w:ascii="宋体" w:hAnsi="宋体"/>
          <w:szCs w:val="21"/>
        </w:rPr>
      </w:pPr>
      <w:r>
        <w:rPr>
          <w:rFonts w:hint="eastAsia" w:ascii="宋体" w:hAnsi="宋体"/>
          <w:szCs w:val="21"/>
        </w:rPr>
        <w:t>2.乙方在实施荷载试验过程中应对自身的安全生产负责，若非因甲方原因发生的各种事故甲方不承担任何责任。</w:t>
      </w:r>
    </w:p>
    <w:p>
      <w:pPr>
        <w:ind w:firstLine="421" w:firstLineChars="200"/>
        <w:rPr>
          <w:rFonts w:ascii="宋体" w:hAnsi="宋体"/>
          <w:b/>
          <w:bCs/>
          <w:szCs w:val="21"/>
        </w:rPr>
      </w:pPr>
      <w:r>
        <w:rPr>
          <w:rFonts w:hint="eastAsia" w:ascii="宋体" w:hAnsi="宋体"/>
          <w:b/>
          <w:bCs/>
          <w:szCs w:val="21"/>
        </w:rPr>
        <w:t>第十八条  违约责任</w:t>
      </w:r>
    </w:p>
    <w:p>
      <w:pPr>
        <w:pStyle w:val="20"/>
        <w:spacing w:line="240" w:lineRule="auto"/>
        <w:rPr>
          <w:rFonts w:ascii="宋体" w:hAnsi="宋体"/>
          <w:szCs w:val="21"/>
        </w:rPr>
      </w:pPr>
      <w:r>
        <w:rPr>
          <w:rFonts w:hint="eastAsia" w:ascii="宋体" w:hAnsi="宋体"/>
          <w:szCs w:val="21"/>
        </w:rPr>
        <w:t>1.因乙方原因，未能按规定时间完成有关工作的，每延误一天，甲方可在支付合同余款中扣除合同价款千分之一。</w:t>
      </w:r>
    </w:p>
    <w:p>
      <w:pPr>
        <w:ind w:firstLine="420" w:firstLineChars="200"/>
        <w:rPr>
          <w:rFonts w:ascii="宋体" w:hAnsi="宋体"/>
          <w:szCs w:val="21"/>
        </w:rPr>
      </w:pPr>
      <w:r>
        <w:rPr>
          <w:rFonts w:hint="eastAsia" w:ascii="宋体" w:hAnsi="宋体"/>
          <w:szCs w:val="21"/>
        </w:rPr>
        <w:t>2.由于乙方原因造成试验成果质量低劣，不能满足大纲要求时，应继续完善试验工作，其费用由乙方承担。</w:t>
      </w:r>
    </w:p>
    <w:p>
      <w:pPr>
        <w:ind w:firstLine="420" w:firstLineChars="200"/>
        <w:rPr>
          <w:rFonts w:ascii="宋体" w:hAnsi="宋体"/>
          <w:szCs w:val="21"/>
        </w:rPr>
      </w:pPr>
      <w:r>
        <w:rPr>
          <w:rFonts w:hint="eastAsia" w:ascii="宋体" w:hAnsi="宋体"/>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ind w:firstLine="420" w:firstLineChars="200"/>
        <w:rPr>
          <w:rFonts w:ascii="宋体" w:hAnsi="宋体"/>
          <w:szCs w:val="21"/>
        </w:rPr>
      </w:pPr>
      <w:r>
        <w:rPr>
          <w:rFonts w:hint="eastAsia" w:ascii="宋体" w:hAnsi="宋体"/>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ind w:firstLine="420" w:firstLineChars="200"/>
        <w:rPr>
          <w:rFonts w:ascii="宋体" w:hAnsi="宋体"/>
          <w:szCs w:val="21"/>
        </w:rPr>
      </w:pPr>
      <w:r>
        <w:rPr>
          <w:rFonts w:hint="eastAsia" w:ascii="宋体" w:hAnsi="宋体"/>
          <w:szCs w:val="21"/>
        </w:rPr>
        <w:t>5.乙方或其工作人员违反本合同约定的保密义务，甲方有权要求乙方按合同总额   %支付违约金；造成不良影响或对甲方造成损失的，甲方有权要求乙方消除影响，承担赔偿责任，并有权解除合同。</w:t>
      </w:r>
    </w:p>
    <w:p>
      <w:pPr>
        <w:ind w:firstLine="420" w:firstLineChars="200"/>
        <w:rPr>
          <w:rFonts w:ascii="宋体" w:hAnsi="宋体"/>
          <w:szCs w:val="21"/>
        </w:rPr>
      </w:pPr>
      <w:r>
        <w:rPr>
          <w:rFonts w:hint="eastAsia" w:ascii="宋体" w:hAnsi="宋体"/>
          <w:szCs w:val="21"/>
        </w:rPr>
        <w:t>6.因乙方提供的服务成果受到侵权指控或者引发法律纠纷，影响甲方使用服务成果或者导致合同目的不能实现的，甲方有权要求乙方按合同总额   %支付违约金，并有权解除合同。</w:t>
      </w:r>
    </w:p>
    <w:p>
      <w:pPr>
        <w:ind w:firstLine="421" w:firstLineChars="200"/>
        <w:rPr>
          <w:rFonts w:ascii="宋体" w:hAnsi="宋体"/>
          <w:b/>
          <w:bCs/>
          <w:szCs w:val="21"/>
        </w:rPr>
      </w:pPr>
      <w:r>
        <w:rPr>
          <w:rFonts w:hint="eastAsia" w:ascii="宋体" w:hAnsi="宋体"/>
          <w:b/>
          <w:bCs/>
          <w:szCs w:val="21"/>
        </w:rPr>
        <w:t>第十九条  其他</w:t>
      </w:r>
    </w:p>
    <w:p>
      <w:pPr>
        <w:ind w:firstLine="420" w:firstLineChars="200"/>
        <w:rPr>
          <w:rFonts w:ascii="宋体" w:hAnsi="宋体"/>
          <w:szCs w:val="21"/>
        </w:rPr>
      </w:pPr>
      <w:r>
        <w:rPr>
          <w:rFonts w:hint="eastAsia" w:ascii="宋体" w:hAnsi="宋体"/>
          <w:szCs w:val="21"/>
        </w:rPr>
        <w:t>1.本协议书与下列文件一起构成合同文件，如下述文件之间有任何抵触、矛盾或歧义，应按以下顺序解释：</w:t>
      </w:r>
    </w:p>
    <w:p>
      <w:pPr>
        <w:ind w:firstLine="420" w:firstLineChars="200"/>
        <w:rPr>
          <w:rFonts w:ascii="宋体" w:hAnsi="宋体"/>
          <w:szCs w:val="21"/>
        </w:rPr>
      </w:pPr>
      <w:r>
        <w:rPr>
          <w:rFonts w:hint="eastAsia" w:ascii="宋体" w:hAnsi="宋体"/>
          <w:szCs w:val="21"/>
        </w:rPr>
        <w:t>（1）政府采购合同协议书及其变更、补充协议</w:t>
      </w:r>
    </w:p>
    <w:p>
      <w:pPr>
        <w:ind w:firstLine="420" w:firstLineChars="200"/>
        <w:rPr>
          <w:rFonts w:ascii="宋体" w:hAnsi="宋体"/>
          <w:szCs w:val="21"/>
        </w:rPr>
      </w:pPr>
      <w:r>
        <w:rPr>
          <w:rFonts w:hint="eastAsia" w:ascii="宋体" w:hAnsi="宋体"/>
          <w:szCs w:val="21"/>
        </w:rPr>
        <w:t>（2）政府采购合同专用条款</w:t>
      </w:r>
    </w:p>
    <w:p>
      <w:pPr>
        <w:ind w:firstLine="420" w:firstLineChars="200"/>
        <w:rPr>
          <w:rFonts w:ascii="宋体" w:hAnsi="宋体"/>
          <w:szCs w:val="21"/>
        </w:rPr>
      </w:pPr>
      <w:r>
        <w:rPr>
          <w:rFonts w:hint="eastAsia" w:ascii="宋体" w:hAnsi="宋体"/>
          <w:szCs w:val="21"/>
        </w:rPr>
        <w:t>（3）政府采购合同通用条款</w:t>
      </w:r>
    </w:p>
    <w:p>
      <w:pPr>
        <w:ind w:firstLine="420" w:firstLineChars="200"/>
        <w:rPr>
          <w:rFonts w:ascii="宋体" w:hAnsi="宋体"/>
          <w:szCs w:val="21"/>
        </w:rPr>
      </w:pPr>
      <w:r>
        <w:rPr>
          <w:rFonts w:hint="eastAsia" w:ascii="宋体" w:hAnsi="宋体"/>
          <w:szCs w:val="21"/>
        </w:rPr>
        <w:t>（4）中标（成交）通知书</w:t>
      </w:r>
    </w:p>
    <w:p>
      <w:pPr>
        <w:ind w:firstLine="420" w:firstLineChars="200"/>
        <w:rPr>
          <w:rFonts w:ascii="宋体" w:hAnsi="宋体"/>
          <w:szCs w:val="21"/>
        </w:rPr>
      </w:pPr>
      <w:r>
        <w:rPr>
          <w:rFonts w:hint="eastAsia" w:ascii="宋体" w:hAnsi="宋体"/>
          <w:szCs w:val="21"/>
        </w:rPr>
        <w:t>（5）投标（响应）文件</w:t>
      </w:r>
    </w:p>
    <w:p>
      <w:pPr>
        <w:ind w:firstLine="420" w:firstLineChars="200"/>
        <w:rPr>
          <w:rFonts w:ascii="宋体" w:hAnsi="宋体"/>
          <w:szCs w:val="21"/>
        </w:rPr>
      </w:pPr>
      <w:r>
        <w:rPr>
          <w:rFonts w:hint="eastAsia" w:ascii="宋体" w:hAnsi="宋体"/>
          <w:szCs w:val="21"/>
        </w:rPr>
        <w:t>（6）采购文件</w:t>
      </w:r>
    </w:p>
    <w:p>
      <w:pPr>
        <w:ind w:firstLine="420" w:firstLineChars="200"/>
        <w:rPr>
          <w:rFonts w:ascii="宋体" w:hAnsi="宋体"/>
          <w:szCs w:val="21"/>
        </w:rPr>
      </w:pPr>
      <w:r>
        <w:rPr>
          <w:rFonts w:hint="eastAsia" w:ascii="宋体" w:hAnsi="宋体"/>
          <w:szCs w:val="21"/>
        </w:rPr>
        <w:t>（7）有关技术文件，图纸</w:t>
      </w:r>
    </w:p>
    <w:p>
      <w:pPr>
        <w:ind w:firstLine="420" w:firstLineChars="200"/>
        <w:rPr>
          <w:rFonts w:ascii="宋体" w:hAnsi="宋体"/>
          <w:szCs w:val="21"/>
        </w:rPr>
      </w:pPr>
      <w:r>
        <w:rPr>
          <w:rFonts w:hint="eastAsia" w:ascii="宋体" w:hAnsi="宋体"/>
          <w:szCs w:val="21"/>
        </w:rPr>
        <w:t>（8）国家法律、行政法规和规章制度规定或合同约定的作为合同组成部分的其他文件。</w:t>
      </w:r>
    </w:p>
    <w:p>
      <w:pPr>
        <w:ind w:firstLine="420" w:firstLineChars="200"/>
        <w:rPr>
          <w:rFonts w:ascii="宋体" w:hAnsi="宋体"/>
          <w:szCs w:val="21"/>
        </w:rPr>
      </w:pPr>
      <w:r>
        <w:rPr>
          <w:rFonts w:hint="eastAsia" w:ascii="宋体" w:hAnsi="宋体"/>
          <w:szCs w:val="21"/>
        </w:rPr>
        <w:t>2.下列文件均为本合同的组成部分：</w:t>
      </w:r>
    </w:p>
    <w:p>
      <w:pPr>
        <w:ind w:firstLine="420" w:firstLineChars="200"/>
        <w:rPr>
          <w:rFonts w:ascii="宋体" w:hAnsi="宋体"/>
          <w:szCs w:val="21"/>
        </w:rPr>
      </w:pPr>
      <w:r>
        <w:rPr>
          <w:rFonts w:hint="eastAsia" w:ascii="宋体" w:hAnsi="宋体"/>
          <w:szCs w:val="21"/>
        </w:rPr>
        <w:t>（1）号招标文件、答疑及补充通知；</w:t>
      </w:r>
    </w:p>
    <w:p>
      <w:pPr>
        <w:ind w:firstLine="420" w:firstLineChars="200"/>
        <w:rPr>
          <w:rFonts w:ascii="宋体" w:hAnsi="宋体"/>
          <w:szCs w:val="21"/>
        </w:rPr>
      </w:pPr>
      <w:r>
        <w:rPr>
          <w:rFonts w:hint="eastAsia" w:ascii="宋体" w:hAnsi="宋体"/>
          <w:szCs w:val="21"/>
        </w:rPr>
        <w:t>（2）投标文件；</w:t>
      </w:r>
    </w:p>
    <w:p>
      <w:pPr>
        <w:ind w:firstLine="420" w:firstLineChars="200"/>
        <w:rPr>
          <w:rFonts w:ascii="宋体" w:hAnsi="宋体"/>
          <w:szCs w:val="21"/>
        </w:rPr>
      </w:pPr>
      <w:r>
        <w:rPr>
          <w:rFonts w:hint="eastAsia" w:ascii="宋体" w:hAnsi="宋体"/>
          <w:szCs w:val="21"/>
        </w:rPr>
        <w:t>（3）本合同执行中共同签署的补充与修正文件。</w:t>
      </w:r>
    </w:p>
    <w:p>
      <w:pPr>
        <w:ind w:firstLine="420" w:firstLineChars="200"/>
        <w:rPr>
          <w:rFonts w:ascii="宋体" w:hAnsi="宋体"/>
          <w:szCs w:val="21"/>
        </w:rPr>
      </w:pPr>
      <w:r>
        <w:rPr>
          <w:rFonts w:hint="eastAsia" w:ascii="宋体" w:hAnsi="宋体"/>
          <w:szCs w:val="21"/>
        </w:rPr>
        <w:t>本合同一式份，甲、乙方双方各执份，具有同等法律效力。本合同自双方法人代表签字（盖章）认可之日起生效。</w:t>
      </w:r>
    </w:p>
    <w:p>
      <w:pPr>
        <w:ind w:firstLine="420" w:firstLineChars="200"/>
        <w:rPr>
          <w:rFonts w:ascii="宋体" w:hAnsi="宋体"/>
          <w:szCs w:val="21"/>
        </w:rPr>
      </w:pPr>
      <w:r>
        <w:rPr>
          <w:rFonts w:hint="eastAsia" w:ascii="宋体" w:hAnsi="宋体"/>
          <w:szCs w:val="21"/>
        </w:rPr>
        <w:t>本合同未尽事宜，双方友好协商，达成解决方案，经双方签字后，可作为本合同的有效附件。</w:t>
      </w:r>
    </w:p>
    <w:p>
      <w:pPr>
        <w:ind w:firstLine="420" w:firstLineChars="200"/>
        <w:rPr>
          <w:rFonts w:ascii="宋体" w:hAnsi="宋体"/>
          <w:szCs w:val="21"/>
        </w:rPr>
      </w:pPr>
    </w:p>
    <w:p>
      <w:pPr>
        <w:ind w:firstLine="420" w:firstLineChars="200"/>
        <w:rPr>
          <w:rFonts w:ascii="宋体" w:hAnsi="宋体"/>
          <w:szCs w:val="21"/>
        </w:rPr>
      </w:pPr>
    </w:p>
    <w:p>
      <w:pPr>
        <w:spacing w:line="360" w:lineRule="auto"/>
        <w:ind w:firstLine="560"/>
        <w:jc w:val="left"/>
        <w:rPr>
          <w:rFonts w:ascii="宋体" w:hAnsi="宋体"/>
          <w:szCs w:val="21"/>
        </w:rPr>
      </w:pPr>
      <w:r>
        <w:rPr>
          <w:rFonts w:hint="eastAsia" w:ascii="宋体" w:hAnsi="宋体"/>
          <w:szCs w:val="21"/>
        </w:rPr>
        <w:t>甲方（采购人）：   （盖章）       乙方（供应商）：    （盖章）</w:t>
      </w:r>
    </w:p>
    <w:p>
      <w:pPr>
        <w:spacing w:line="360" w:lineRule="auto"/>
        <w:ind w:firstLine="560"/>
        <w:jc w:val="left"/>
        <w:rPr>
          <w:rFonts w:ascii="宋体" w:hAnsi="宋体"/>
          <w:szCs w:val="21"/>
        </w:rPr>
      </w:pPr>
      <w:r>
        <w:rPr>
          <w:rFonts w:hint="eastAsia" w:ascii="宋体" w:hAnsi="宋体"/>
          <w:szCs w:val="21"/>
        </w:rPr>
        <w:t xml:space="preserve">法定代表人：                     法定代表人： </w:t>
      </w:r>
    </w:p>
    <w:p>
      <w:pPr>
        <w:spacing w:line="360" w:lineRule="auto"/>
        <w:ind w:firstLine="560"/>
        <w:jc w:val="left"/>
        <w:rPr>
          <w:rFonts w:ascii="宋体" w:hAnsi="宋体"/>
          <w:szCs w:val="21"/>
        </w:rPr>
      </w:pPr>
      <w:r>
        <w:rPr>
          <w:rFonts w:hint="eastAsia" w:ascii="宋体" w:hAnsi="宋体"/>
          <w:szCs w:val="21"/>
        </w:rPr>
        <w:t>委托代理人：                     委托代理人：</w:t>
      </w:r>
    </w:p>
    <w:p>
      <w:pPr>
        <w:ind w:firstLine="420" w:firstLineChars="200"/>
        <w:rPr>
          <w:rFonts w:ascii="宋体" w:hAnsi="宋体"/>
          <w:szCs w:val="21"/>
        </w:rPr>
      </w:pPr>
      <w:r>
        <w:rPr>
          <w:rFonts w:hint="eastAsia" w:ascii="宋体" w:hAnsi="宋体"/>
          <w:szCs w:val="21"/>
        </w:rPr>
        <w:t>日期：   年     月    日         日期：   年     月    日</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widowControl/>
        <w:jc w:val="left"/>
        <w:rPr>
          <w:rFonts w:ascii="宋体" w:hAnsi="宋体"/>
          <w:szCs w:val="21"/>
        </w:rPr>
      </w:pPr>
      <w:r>
        <w:rPr>
          <w:rFonts w:ascii="宋体" w:hAnsi="宋体"/>
          <w:szCs w:val="21"/>
        </w:rPr>
        <w:br w:type="page"/>
      </w:r>
    </w:p>
    <w:p>
      <w:pPr>
        <w:pStyle w:val="7"/>
        <w:spacing w:before="120" w:beforeLines="50" w:after="120" w:afterLines="50"/>
        <w:ind w:left="562"/>
        <w:rPr>
          <w:sz w:val="28"/>
          <w:szCs w:val="28"/>
        </w:rPr>
      </w:pPr>
      <w:r>
        <w:rPr>
          <w:rFonts w:hint="eastAsia"/>
          <w:sz w:val="28"/>
          <w:szCs w:val="28"/>
        </w:rPr>
        <w:t>第二册  通用条款（公开招标）</w:t>
      </w:r>
    </w:p>
    <w:p>
      <w:pPr>
        <w:pStyle w:val="7"/>
        <w:numPr>
          <w:ilvl w:val="0"/>
          <w:numId w:val="113"/>
        </w:numPr>
        <w:spacing w:before="120" w:beforeLines="50" w:after="120" w:afterLines="50"/>
        <w:ind w:left="562" w:hanging="562"/>
        <w:rPr>
          <w:sz w:val="28"/>
          <w:szCs w:val="28"/>
        </w:rPr>
      </w:pPr>
      <w:bookmarkStart w:id="51" w:name="_Hlk72399513"/>
      <w:r>
        <w:rPr>
          <w:rFonts w:hint="eastAsia"/>
          <w:sz w:val="28"/>
          <w:szCs w:val="28"/>
        </w:rPr>
        <w:t>总则</w:t>
      </w:r>
    </w:p>
    <w:bookmarkEnd w:id="51"/>
    <w:p>
      <w:pPr>
        <w:rPr>
          <w:rFonts w:ascii="黑体" w:hAnsi="宋体" w:eastAsia="黑体"/>
          <w:sz w:val="24"/>
        </w:rPr>
      </w:pPr>
      <w:r>
        <w:rPr>
          <w:rFonts w:hint="eastAsia" w:ascii="黑体" w:hAnsi="宋体" w:eastAsia="黑体"/>
          <w:sz w:val="24"/>
        </w:rPr>
        <w:t>1. 通用条款说明</w:t>
      </w:r>
    </w:p>
    <w:p>
      <w:pPr>
        <w:ind w:firstLine="411" w:firstLineChars="196"/>
        <w:rPr>
          <w:rFonts w:ascii="宋体" w:hAnsi="宋体"/>
          <w:szCs w:val="21"/>
        </w:rPr>
      </w:pPr>
      <w:r>
        <w:rPr>
          <w:rFonts w:hint="eastAsia" w:ascii="宋体" w:hAnsi="宋体"/>
          <w:szCs w:val="21"/>
        </w:rPr>
        <w:t>1.1政府集中采购机构发出招标文件通用条款版本，列出深圳市政府采购项目进行招标采购所适用的通用条款内容。</w:t>
      </w:r>
      <w:bookmarkStart w:id="52" w:name="_Hlk72399729"/>
      <w:r>
        <w:rPr>
          <w:rFonts w:hint="eastAsia" w:ascii="宋体" w:hAnsi="宋体"/>
          <w:szCs w:val="21"/>
        </w:rPr>
        <w:t>如有需要，政府集中采购机构可以对通用条款的内容进行补充。</w:t>
      </w:r>
      <w:bookmarkEnd w:id="52"/>
    </w:p>
    <w:p>
      <w:pPr>
        <w:ind w:firstLine="411" w:firstLineChars="196"/>
        <w:rPr>
          <w:rFonts w:ascii="宋体" w:hAnsi="宋体"/>
          <w:szCs w:val="21"/>
        </w:rPr>
      </w:pPr>
      <w:r>
        <w:rPr>
          <w:rFonts w:hint="eastAsia" w:ascii="宋体" w:hAnsi="宋体"/>
          <w:szCs w:val="21"/>
        </w:rPr>
        <w:t>1.2招标文件分为第一册“专用条款”和第二册“通用条款”。</w:t>
      </w:r>
    </w:p>
    <w:p>
      <w:pPr>
        <w:ind w:firstLine="411" w:firstLineChars="196"/>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11" w:firstLineChars="196"/>
        <w:rPr>
          <w:rFonts w:ascii="宋体" w:hAnsi="宋体"/>
          <w:szCs w:val="21"/>
        </w:rPr>
      </w:pPr>
      <w:r>
        <w:rPr>
          <w:rFonts w:hint="eastAsia" w:ascii="宋体" w:hAnsi="宋体"/>
          <w:szCs w:val="21"/>
        </w:rPr>
        <w:t>1.4“通用条款”是适用于政府采购公开招标项目的基础性条款，具有普遍性和通用性。</w:t>
      </w:r>
    </w:p>
    <w:p>
      <w:pPr>
        <w:ind w:firstLine="411" w:firstLineChars="196"/>
        <w:rPr>
          <w:rFonts w:ascii="宋体" w:hAnsi="宋体"/>
          <w:szCs w:val="21"/>
        </w:rPr>
      </w:pPr>
      <w:r>
        <w:rPr>
          <w:rFonts w:hint="eastAsia" w:ascii="宋体" w:hAnsi="宋体"/>
          <w:szCs w:val="21"/>
        </w:rPr>
        <w:t>1.5 “专用条款”和“通用条款”表述不一致或有冲突时，以“专用条款”为准。</w:t>
      </w:r>
    </w:p>
    <w:p>
      <w:pPr>
        <w:rPr>
          <w:rFonts w:ascii="黑体" w:hAnsi="宋体" w:eastAsia="黑体"/>
          <w:sz w:val="24"/>
        </w:rPr>
      </w:pPr>
      <w:r>
        <w:rPr>
          <w:rFonts w:hint="eastAsia" w:ascii="黑体" w:hAnsi="宋体" w:eastAsia="黑体"/>
          <w:sz w:val="24"/>
        </w:rPr>
        <w:t>2.招标说明</w:t>
      </w:r>
    </w:p>
    <w:p>
      <w:pPr>
        <w:ind w:firstLine="411" w:firstLineChars="196"/>
        <w:rPr>
          <w:rFonts w:ascii="宋体" w:hAnsi="宋体"/>
          <w:szCs w:val="21"/>
        </w:rPr>
      </w:pPr>
      <w:r>
        <w:rPr>
          <w:rFonts w:hint="eastAsia" w:ascii="宋体" w:hAnsi="宋体"/>
          <w:szCs w:val="21"/>
        </w:rPr>
        <w:t>本项目按照《深圳经济特区政府采购条例》《深圳经济特区政府采购条例实施细则》及政府采购其他法律法规，通过公开招标方式确定中标供应商。</w:t>
      </w:r>
    </w:p>
    <w:p>
      <w:pPr>
        <w:rPr>
          <w:rFonts w:ascii="黑体" w:hAnsi="宋体" w:eastAsia="黑体"/>
          <w:sz w:val="24"/>
        </w:rPr>
      </w:pPr>
      <w:r>
        <w:rPr>
          <w:rFonts w:hint="eastAsia" w:ascii="黑体" w:hAnsi="宋体" w:eastAsia="黑体"/>
          <w:sz w:val="24"/>
        </w:rPr>
        <w:t>3.定义</w:t>
      </w:r>
    </w:p>
    <w:p>
      <w:pPr>
        <w:ind w:firstLine="420" w:firstLineChars="200"/>
        <w:rPr>
          <w:rFonts w:ascii="宋体" w:hAnsi="宋体"/>
          <w:szCs w:val="21"/>
        </w:rPr>
      </w:pPr>
      <w:r>
        <w:rPr>
          <w:rFonts w:ascii="宋体" w:hAnsi="宋体"/>
          <w:szCs w:val="21"/>
        </w:rPr>
        <w:t>招标文件中下列术语应解释为：</w:t>
      </w:r>
    </w:p>
    <w:p>
      <w:pPr>
        <w:ind w:firstLine="411" w:firstLineChars="196"/>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pPr>
        <w:ind w:firstLine="411" w:firstLineChars="196"/>
        <w:rPr>
          <w:rFonts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11" w:firstLineChars="196"/>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11" w:firstLineChars="196"/>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3.4“评审委员会”是依据《深圳经济特区政府采购条例》《深圳经济特区政府采购条例实施细则》等有关规定组建的专门负责本次招标评审工作的临时性机构；</w:t>
      </w:r>
    </w:p>
    <w:p>
      <w:pPr>
        <w:ind w:firstLine="411" w:firstLineChars="196"/>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11" w:firstLineChars="196"/>
        <w:rPr>
          <w:rFonts w:ascii="宋体" w:hAnsi="宋体"/>
          <w:szCs w:val="21"/>
        </w:rPr>
      </w:pPr>
      <w:r>
        <w:rPr>
          <w:rFonts w:hint="eastAsia" w:ascii="宋体" w:hAnsi="宋体"/>
          <w:szCs w:val="21"/>
        </w:rPr>
        <w:t>3.6“合同”指由本次招标所产生的合同或合约文件；</w:t>
      </w:r>
    </w:p>
    <w:p>
      <w:pPr>
        <w:ind w:firstLine="411" w:firstLineChars="196"/>
        <w:rPr>
          <w:rFonts w:ascii="宋体" w:hAnsi="宋体"/>
          <w:szCs w:val="21"/>
        </w:rPr>
      </w:pPr>
      <w:r>
        <w:rPr>
          <w:rFonts w:hint="eastAsia" w:ascii="宋体" w:hAnsi="宋体"/>
          <w:szCs w:val="21"/>
        </w:rPr>
        <w:t>3.7“电子投标文件”指利用</w:t>
      </w:r>
      <w:r>
        <w:rPr>
          <w:rFonts w:hint="eastAsia" w:ascii="宋体" w:hAnsi="宋体"/>
          <w:b/>
          <w:bCs/>
          <w:szCs w:val="21"/>
        </w:rPr>
        <w:t>深圳公共资源交易中心（深圳交易集团有限公司</w:t>
      </w:r>
      <w:r>
        <w:rPr>
          <w:rFonts w:hint="eastAsia" w:ascii="宋体" w:hAnsi="宋体"/>
          <w:b/>
          <w:bCs/>
          <w:szCs w:val="21"/>
          <w:lang w:eastAsia="zh-CN"/>
        </w:rPr>
        <w:t>盐田</w:t>
      </w:r>
      <w:r>
        <w:rPr>
          <w:rFonts w:hint="eastAsia" w:ascii="宋体" w:hAnsi="宋体"/>
          <w:b/>
          <w:bCs/>
          <w:szCs w:val="21"/>
        </w:rPr>
        <w:t>分公司）</w:t>
      </w:r>
      <w:r>
        <w:rPr>
          <w:rFonts w:hint="eastAsia" w:ascii="宋体" w:hAnsi="宋体"/>
          <w:szCs w:val="21"/>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bookmarkStart w:id="53" w:name="_Hlk72398581"/>
      <w:r>
        <w:rPr>
          <w:rFonts w:hint="eastAsia" w:ascii="宋体" w:hAnsi="宋体"/>
          <w:szCs w:val="21"/>
        </w:rPr>
        <w:t>；</w:t>
      </w:r>
      <w:bookmarkEnd w:id="53"/>
    </w:p>
    <w:p>
      <w:pPr>
        <w:ind w:firstLine="411" w:firstLineChars="196"/>
        <w:rPr>
          <w:rFonts w:ascii="宋体" w:hAnsi="宋体"/>
          <w:szCs w:val="21"/>
        </w:rPr>
      </w:pPr>
      <w:r>
        <w:rPr>
          <w:rFonts w:hint="eastAsia" w:ascii="宋体" w:hAnsi="宋体"/>
          <w:szCs w:val="21"/>
        </w:rPr>
        <w:t>3.8“网上投标”指通过</w:t>
      </w:r>
      <w:r>
        <w:rPr>
          <w:rFonts w:hint="eastAsia" w:ascii="宋体" w:hAnsi="宋体"/>
          <w:b/>
          <w:bCs/>
          <w:szCs w:val="21"/>
        </w:rPr>
        <w:t>深圳公共资源交易中心（深圳交易集团有限公司</w:t>
      </w:r>
      <w:r>
        <w:rPr>
          <w:rFonts w:hint="eastAsia" w:ascii="宋体" w:hAnsi="宋体"/>
          <w:b/>
          <w:bCs/>
          <w:szCs w:val="21"/>
          <w:lang w:eastAsia="zh-CN"/>
        </w:rPr>
        <w:t>盐田</w:t>
      </w:r>
      <w:r>
        <w:rPr>
          <w:rFonts w:hint="eastAsia" w:ascii="宋体" w:hAnsi="宋体"/>
          <w:b/>
          <w:bCs/>
          <w:szCs w:val="21"/>
        </w:rPr>
        <w:t>分公司）</w:t>
      </w:r>
      <w:r>
        <w:rPr>
          <w:rFonts w:hint="eastAsia" w:ascii="宋体" w:hAnsi="宋体"/>
          <w:szCs w:val="21"/>
        </w:rPr>
        <w:t>网站上传电子投标文件；</w:t>
      </w:r>
    </w:p>
    <w:p>
      <w:pPr>
        <w:ind w:firstLine="411" w:firstLineChars="196"/>
        <w:rPr>
          <w:rFonts w:ascii="宋体" w:hAnsi="宋体"/>
          <w:szCs w:val="21"/>
        </w:rPr>
      </w:pPr>
      <w:r>
        <w:rPr>
          <w:rFonts w:hint="eastAsia" w:ascii="宋体" w:hAnsi="宋体"/>
          <w:szCs w:val="21"/>
        </w:rPr>
        <w:t>3.9招标文件中的标题或题名仅起引导作用，而不应视为对招标文件内容的理解和解释。</w:t>
      </w:r>
    </w:p>
    <w:p>
      <w:pPr>
        <w:rPr>
          <w:rFonts w:ascii="黑体" w:hAnsi="宋体" w:eastAsia="黑体"/>
          <w:sz w:val="24"/>
        </w:rPr>
      </w:pPr>
      <w:r>
        <w:rPr>
          <w:rFonts w:hint="eastAsia" w:ascii="黑体" w:hAnsi="宋体" w:eastAsia="黑体"/>
          <w:sz w:val="24"/>
        </w:rPr>
        <w:t xml:space="preserve">4. </w:t>
      </w:r>
      <w:bookmarkStart w:id="54" w:name="_Hlk72398643"/>
      <w:r>
        <w:rPr>
          <w:rFonts w:hint="eastAsia" w:ascii="黑体" w:hAnsi="宋体" w:eastAsia="黑体"/>
          <w:sz w:val="24"/>
        </w:rPr>
        <w:t>政府采购供应商责任</w:t>
      </w:r>
    </w:p>
    <w:p>
      <w:pPr>
        <w:ind w:firstLine="411" w:firstLineChars="196"/>
        <w:rPr>
          <w:rFonts w:ascii="宋体" w:hAnsi="宋体"/>
          <w:szCs w:val="21"/>
        </w:rPr>
      </w:pPr>
      <w:r>
        <w:rPr>
          <w:rFonts w:hint="eastAsia" w:ascii="宋体" w:hAnsi="宋体"/>
          <w:szCs w:val="21"/>
        </w:rPr>
        <w:t>4.1欢迎诚信、有实力和有社会责任心的供应商参与政府采购事业。</w:t>
      </w:r>
    </w:p>
    <w:p>
      <w:pPr>
        <w:ind w:firstLine="411" w:firstLineChars="196"/>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rPr>
          <w:rFonts w:ascii="黑体" w:hAnsi="宋体" w:eastAsia="黑体"/>
          <w:sz w:val="24"/>
        </w:rPr>
      </w:pPr>
      <w:r>
        <w:rPr>
          <w:rFonts w:hint="eastAsia" w:ascii="黑体" w:hAnsi="宋体" w:eastAsia="黑体"/>
          <w:sz w:val="24"/>
        </w:rPr>
        <w:t>5.投标人参加政府采购的条件</w:t>
      </w:r>
    </w:p>
    <w:p>
      <w:pPr>
        <w:ind w:firstLine="411" w:firstLineChars="196"/>
        <w:rPr>
          <w:rFonts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pPr>
        <w:ind w:firstLine="411" w:firstLineChars="196"/>
        <w:rPr>
          <w:rFonts w:ascii="宋体" w:hAnsi="宋体"/>
          <w:szCs w:val="21"/>
        </w:rPr>
      </w:pPr>
      <w:r>
        <w:rPr>
          <w:rFonts w:hint="eastAsia" w:ascii="宋体" w:hAnsi="宋体"/>
          <w:szCs w:val="21"/>
        </w:rPr>
        <w:t>5.2投标人资格要求</w:t>
      </w:r>
    </w:p>
    <w:p>
      <w:pPr>
        <w:ind w:firstLine="411" w:firstLineChars="196"/>
        <w:rPr>
          <w:rFonts w:ascii="宋体" w:hAnsi="宋体"/>
          <w:szCs w:val="21"/>
        </w:rPr>
      </w:pPr>
      <w:r>
        <w:rPr>
          <w:rFonts w:hint="eastAsia" w:ascii="宋体" w:hAnsi="宋体"/>
          <w:szCs w:val="21"/>
        </w:rPr>
        <w:t>参加本项目的投标人应具备的资格条件详见本项目招标公告中 “投标人资格要求”（即申请人的资格要求）的内容。</w:t>
      </w:r>
    </w:p>
    <w:p>
      <w:pPr>
        <w:ind w:firstLine="411" w:firstLineChars="196"/>
        <w:rPr>
          <w:rFonts w:ascii="宋体" w:hAnsi="宋体"/>
          <w:szCs w:val="21"/>
        </w:rPr>
      </w:pPr>
      <w:r>
        <w:rPr>
          <w:rFonts w:hint="eastAsia" w:ascii="宋体" w:hAnsi="宋体"/>
          <w:szCs w:val="21"/>
        </w:rPr>
        <w:t>5.3联合体投标</w:t>
      </w:r>
    </w:p>
    <w:p>
      <w:pPr>
        <w:ind w:firstLine="411" w:firstLineChars="196"/>
        <w:rPr>
          <w:rFonts w:ascii="宋体" w:hAnsi="宋体"/>
          <w:szCs w:val="21"/>
        </w:rPr>
      </w:pPr>
      <w:r>
        <w:rPr>
          <w:rFonts w:hint="eastAsia" w:ascii="宋体" w:hAnsi="宋体"/>
          <w:szCs w:val="21"/>
        </w:rPr>
        <w:t>5.3.1　以下有关联合体投标的条款仅适用于允许投标人组成联合体投标的项目。</w:t>
      </w:r>
    </w:p>
    <w:p>
      <w:pPr>
        <w:ind w:firstLine="411" w:firstLineChars="196"/>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11" w:firstLineChars="196"/>
        <w:rPr>
          <w:rFonts w:ascii="宋体" w:hAnsi="宋体"/>
        </w:rPr>
      </w:pPr>
      <w:r>
        <w:rPr>
          <w:rFonts w:hint="eastAsia" w:ascii="宋体" w:hAnsi="宋体"/>
        </w:rPr>
        <w:t>（1）投标联合体各方参加政府采购活动应当具备下列条件：</w:t>
      </w:r>
      <w:r>
        <w:rPr>
          <w:rFonts w:ascii="宋体" w:hAnsi="宋体"/>
        </w:rPr>
        <w:t xml:space="preserve"> </w:t>
      </w:r>
    </w:p>
    <w:p>
      <w:pPr>
        <w:ind w:left="420" w:leftChars="200" w:firstLine="411" w:firstLineChars="196"/>
        <w:rPr>
          <w:rFonts w:ascii="宋体" w:hAnsi="宋体"/>
        </w:rPr>
      </w:pPr>
      <w:r>
        <w:rPr>
          <w:rFonts w:hint="eastAsia" w:ascii="宋体" w:hAnsi="宋体"/>
        </w:rPr>
        <w:t>1.具有独立承担民事责任的能力；</w:t>
      </w:r>
      <w:r>
        <w:rPr>
          <w:rFonts w:ascii="宋体" w:hAnsi="宋体"/>
        </w:rPr>
        <w:t xml:space="preserve"> </w:t>
      </w:r>
    </w:p>
    <w:p>
      <w:pPr>
        <w:ind w:left="420" w:firstLine="411" w:firstLineChars="196"/>
        <w:rPr>
          <w:rFonts w:ascii="宋体" w:hAnsi="宋体"/>
        </w:rPr>
      </w:pPr>
      <w:r>
        <w:rPr>
          <w:rFonts w:hint="eastAsia" w:ascii="宋体" w:hAnsi="宋体"/>
        </w:rPr>
        <w:t>2.具有良好的商业信誉和健全的财务会计制度；</w:t>
      </w:r>
      <w:r>
        <w:rPr>
          <w:rFonts w:ascii="宋体" w:hAnsi="宋体"/>
        </w:rPr>
        <w:t xml:space="preserve"> </w:t>
      </w:r>
    </w:p>
    <w:p>
      <w:pPr>
        <w:ind w:left="420" w:leftChars="200" w:firstLine="411" w:firstLineChars="196"/>
        <w:rPr>
          <w:rFonts w:ascii="宋体" w:hAnsi="宋体"/>
        </w:rPr>
      </w:pPr>
      <w:r>
        <w:rPr>
          <w:rFonts w:hint="eastAsia" w:ascii="宋体" w:hAnsi="宋体"/>
        </w:rPr>
        <w:t>3.具有履行合同所必需的设备和专业技术能力；</w:t>
      </w:r>
      <w:r>
        <w:rPr>
          <w:rFonts w:ascii="宋体" w:hAnsi="宋体"/>
        </w:rPr>
        <w:t xml:space="preserve"> </w:t>
      </w:r>
    </w:p>
    <w:p>
      <w:pPr>
        <w:ind w:left="420" w:leftChars="200" w:firstLine="411" w:firstLineChars="196"/>
        <w:rPr>
          <w:rFonts w:ascii="宋体" w:hAnsi="宋体"/>
        </w:rPr>
      </w:pPr>
      <w:r>
        <w:rPr>
          <w:rFonts w:hint="eastAsia" w:ascii="宋体" w:hAnsi="宋体"/>
        </w:rPr>
        <w:t>4.有依法缴纳税收和社会保障资金的良好记录；</w:t>
      </w:r>
      <w:r>
        <w:rPr>
          <w:rFonts w:ascii="宋体" w:hAnsi="宋体"/>
        </w:rPr>
        <w:t xml:space="preserve"> </w:t>
      </w:r>
    </w:p>
    <w:p>
      <w:pPr>
        <w:ind w:left="420" w:leftChars="200" w:firstLine="411" w:firstLineChars="196"/>
        <w:rPr>
          <w:rFonts w:ascii="宋体" w:hAnsi="宋体"/>
        </w:rPr>
      </w:pPr>
      <w:r>
        <w:rPr>
          <w:rFonts w:hint="eastAsia" w:ascii="宋体" w:hAnsi="宋体"/>
        </w:rPr>
        <w:t>5.参加政府采购活动前三年内，在经营活动中没有重大违法记录；</w:t>
      </w:r>
      <w:r>
        <w:rPr>
          <w:rFonts w:ascii="宋体" w:hAnsi="宋体"/>
        </w:rPr>
        <w:t xml:space="preserve"> </w:t>
      </w:r>
    </w:p>
    <w:p>
      <w:pPr>
        <w:ind w:left="420" w:leftChars="200" w:firstLine="411" w:firstLineChars="196"/>
        <w:rPr>
          <w:rFonts w:ascii="宋体" w:hAnsi="宋体"/>
        </w:rPr>
      </w:pPr>
      <w:r>
        <w:rPr>
          <w:rFonts w:hint="eastAsia" w:ascii="宋体" w:hAnsi="宋体"/>
        </w:rPr>
        <w:t>6.法律、行政法规规定的其他条件。</w:t>
      </w:r>
      <w:r>
        <w:rPr>
          <w:rFonts w:ascii="宋体" w:hAnsi="宋体"/>
        </w:rPr>
        <w:t xml:space="preserve"> </w:t>
      </w:r>
    </w:p>
    <w:p>
      <w:pPr>
        <w:ind w:firstLine="411" w:firstLineChars="196"/>
        <w:rPr>
          <w:rFonts w:ascii="宋体" w:hAnsi="宋体"/>
        </w:rPr>
      </w:pPr>
      <w:r>
        <w:rPr>
          <w:rFonts w:hint="eastAsia" w:ascii="宋体" w:hAnsi="宋体"/>
        </w:rPr>
        <w:t>（2）在投标截止前，投标联合体各方均应注册成为政府集中采购机构供应商；</w:t>
      </w:r>
    </w:p>
    <w:p>
      <w:pPr>
        <w:ind w:firstLine="411" w:firstLineChars="196"/>
        <w:rPr>
          <w:rFonts w:ascii="宋体" w:hAnsi="宋体"/>
        </w:rPr>
      </w:pPr>
      <w:r>
        <w:rPr>
          <w:rFonts w:hint="eastAsia" w:ascii="宋体" w:hAnsi="宋体"/>
        </w:rPr>
        <w:t>（3）联合体中有同类资质的供应商按照联合体分工承担相同工作的，应当按照资质等级较低的供应商确定资质等级；</w:t>
      </w:r>
    </w:p>
    <w:p>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pPr>
        <w:ind w:firstLine="411" w:firstLineChars="196"/>
        <w:rPr>
          <w:rFonts w:ascii="宋体" w:hAnsi="宋体"/>
        </w:rPr>
      </w:pPr>
      <w:r>
        <w:rPr>
          <w:rFonts w:hint="eastAsia" w:ascii="宋体" w:hAnsi="宋体"/>
        </w:rPr>
        <w:t>（5）投标人的投标文件及中标后签署的合同协议对联合体各方均具有法律约束力；</w:t>
      </w:r>
    </w:p>
    <w:p>
      <w:pPr>
        <w:ind w:firstLine="411" w:firstLineChars="196"/>
        <w:rPr>
          <w:rFonts w:ascii="宋体" w:hAnsi="宋体"/>
        </w:rPr>
      </w:pPr>
      <w:r>
        <w:rPr>
          <w:rFonts w:hint="eastAsia" w:ascii="宋体" w:hAnsi="宋体"/>
        </w:rPr>
        <w:t>（6）联合体各方应当签订联合体投标协议，明确约定各方拟承担的工作和责任，并将该协议随投标文件一并递交给政府集中采购机构；</w:t>
      </w:r>
    </w:p>
    <w:p>
      <w:pPr>
        <w:ind w:firstLine="411" w:firstLineChars="196"/>
        <w:rPr>
          <w:rFonts w:ascii="宋体" w:hAnsi="宋体"/>
        </w:rPr>
      </w:pPr>
      <w:r>
        <w:rPr>
          <w:rFonts w:hint="eastAsia" w:ascii="宋体" w:hAnsi="宋体"/>
        </w:rPr>
        <w:t>（7）联合体中标后，联合体各方应当共同与采购人签订合同，就中标项目向采购人承担连带责任；</w:t>
      </w:r>
    </w:p>
    <w:p>
      <w:pPr>
        <w:ind w:firstLine="411" w:firstLineChars="196"/>
        <w:rPr>
          <w:rFonts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ind w:firstLine="411" w:firstLineChars="196"/>
        <w:rPr>
          <w:rFonts w:ascii="宋体" w:hAnsi="宋体"/>
          <w:szCs w:val="21"/>
        </w:rPr>
      </w:pPr>
      <w:r>
        <w:rPr>
          <w:rFonts w:hint="eastAsia" w:ascii="宋体" w:hAnsi="宋体"/>
        </w:rPr>
        <w:t>（9）本通用条款中“投标人”一词亦指联合体各方，专用条款另有规定或说明的除外。</w:t>
      </w:r>
    </w:p>
    <w:p>
      <w:pPr>
        <w:rPr>
          <w:rFonts w:ascii="黑体" w:hAnsi="宋体" w:eastAsia="黑体"/>
          <w:sz w:val="24"/>
        </w:rPr>
      </w:pPr>
      <w:r>
        <w:rPr>
          <w:rFonts w:hint="eastAsia" w:ascii="黑体" w:hAnsi="宋体" w:eastAsia="黑体"/>
          <w:sz w:val="24"/>
        </w:rPr>
        <w:t>6.政策导向</w:t>
      </w:r>
    </w:p>
    <w:p>
      <w:pPr>
        <w:ind w:firstLine="411" w:firstLineChars="196"/>
        <w:rPr>
          <w:rFonts w:ascii="宋体" w:hAnsi="宋体"/>
        </w:rPr>
      </w:pPr>
      <w:r>
        <w:rPr>
          <w:rFonts w:hint="eastAsia" w:ascii="宋体" w:hAnsi="宋体"/>
        </w:rPr>
        <w:t>6.1</w:t>
      </w:r>
      <w:r>
        <w:rPr>
          <w:rFonts w:ascii="宋体" w:hAnsi="宋体"/>
        </w:rPr>
        <w:t xml:space="preserve">  </w:t>
      </w:r>
      <w:r>
        <w:rPr>
          <w:rFonts w:hint="eastAsia" w:ascii="宋体" w:hAnsi="宋体"/>
        </w:rPr>
        <w:t>政府采购扶持贫困地区、中小企业、监狱企业和残疾人福利性单位发展，支持节能减排、环境保护。</w:t>
      </w:r>
    </w:p>
    <w:p>
      <w:pPr>
        <w:ind w:firstLine="405"/>
        <w:rPr>
          <w:rFonts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pPr>
        <w:ind w:firstLine="405"/>
      </w:pPr>
      <w:r>
        <w:rPr>
          <w:rFonts w:hint="eastAsia" w:ascii="宋体" w:hAnsi="宋体"/>
        </w:rPr>
        <w:t>6.3  本项目支持投标人性别平等的相关政策。</w:t>
      </w:r>
    </w:p>
    <w:p>
      <w:pPr>
        <w:rPr>
          <w:rFonts w:ascii="黑体" w:hAnsi="宋体" w:eastAsia="黑体"/>
          <w:sz w:val="24"/>
        </w:rPr>
      </w:pPr>
      <w:r>
        <w:rPr>
          <w:rFonts w:hint="eastAsia" w:ascii="黑体" w:hAnsi="宋体" w:eastAsia="黑体"/>
          <w:sz w:val="24"/>
        </w:rPr>
        <w:t>7. 本项目若涉及采购货物，则合格的货物及相应服务应满足以下要求：</w:t>
      </w:r>
    </w:p>
    <w:p>
      <w:pPr>
        <w:ind w:firstLine="411" w:firstLineChars="196"/>
        <w:rPr>
          <w:rFonts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pPr>
        <w:ind w:firstLine="411" w:firstLineChars="196"/>
        <w:rPr>
          <w:rFonts w:ascii="宋体" w:hAnsi="宋体"/>
        </w:rPr>
      </w:pPr>
      <w:r>
        <w:rPr>
          <w:rFonts w:hint="eastAsia" w:ascii="宋体" w:hAnsi="宋体"/>
        </w:rPr>
        <w:t>7.2  国产的货物及其有关服务必须符合中华人民共和国的设计、制造生产标准及行业标准。招标公告有其他要求的，亦应符合其要求。</w:t>
      </w:r>
    </w:p>
    <w:p>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55"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5"/>
    </w:p>
    <w:p>
      <w:pPr>
        <w:ind w:firstLine="411" w:firstLineChars="196"/>
        <w:rPr>
          <w:rFonts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11" w:firstLineChars="196"/>
        <w:rPr>
          <w:rFonts w:ascii="宋体" w:hAnsi="宋体"/>
        </w:rPr>
      </w:pPr>
      <w:r>
        <w:rPr>
          <w:rFonts w:hint="eastAsia" w:ascii="宋体" w:hAnsi="宋体"/>
        </w:rPr>
        <w:t>7.6  工期要求：投标人在投标时对其所投项目应提交交货进度、交货计划等，在合同规定的时间内完成项目实施工作。</w:t>
      </w:r>
    </w:p>
    <w:p>
      <w:pPr>
        <w:ind w:firstLine="411" w:firstLineChars="196"/>
        <w:rPr>
          <w:rFonts w:ascii="宋体" w:hAnsi="宋体"/>
        </w:rPr>
      </w:pPr>
      <w:r>
        <w:rPr>
          <w:rFonts w:hint="eastAsia" w:ascii="宋体" w:hAnsi="宋体"/>
        </w:rPr>
        <w:t>7.7  投标人必须承担设备运输、安装调试、验收检测和提供设备操作说明书、图纸等其他相关及类似的义务。</w:t>
      </w:r>
    </w:p>
    <w:p>
      <w:pPr>
        <w:rPr>
          <w:rFonts w:ascii="黑体" w:hAnsi="宋体" w:eastAsia="黑体"/>
          <w:sz w:val="24"/>
        </w:rPr>
      </w:pPr>
      <w:r>
        <w:rPr>
          <w:rFonts w:hint="eastAsia" w:ascii="黑体" w:hAnsi="宋体" w:eastAsia="黑体"/>
          <w:sz w:val="24"/>
        </w:rPr>
        <w:t>8.投标费用</w:t>
      </w:r>
    </w:p>
    <w:p>
      <w:pPr>
        <w:ind w:firstLine="411" w:firstLineChars="196"/>
        <w:rPr>
          <w:rFonts w:ascii="宋体" w:hAnsi="宋体"/>
          <w:szCs w:val="21"/>
        </w:rPr>
      </w:pPr>
      <w:r>
        <w:rPr>
          <w:rFonts w:hint="eastAsia" w:ascii="宋体" w:hAnsi="宋体"/>
          <w:szCs w:val="21"/>
        </w:rPr>
        <w:t>不论投标结果如何，投标人应承担其编制投标文件与递交投标文件所涉及的一切费用。</w:t>
      </w:r>
    </w:p>
    <w:p>
      <w:pPr>
        <w:rPr>
          <w:rFonts w:ascii="黑体" w:hAnsi="宋体" w:eastAsia="黑体"/>
          <w:sz w:val="24"/>
        </w:rPr>
      </w:pPr>
      <w:r>
        <w:rPr>
          <w:rFonts w:hint="eastAsia" w:ascii="黑体" w:hAnsi="宋体" w:eastAsia="黑体"/>
          <w:sz w:val="24"/>
        </w:rPr>
        <w:t>9.踏勘现场</w:t>
      </w:r>
    </w:p>
    <w:p>
      <w:pPr>
        <w:ind w:firstLine="411" w:firstLineChars="196"/>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11" w:firstLineChars="196"/>
        <w:rPr>
          <w:rFonts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pPr>
        <w:ind w:firstLine="411" w:firstLineChars="196"/>
        <w:rPr>
          <w:rFonts w:ascii="宋体" w:hAnsi="宋体"/>
        </w:rPr>
      </w:pPr>
      <w:r>
        <w:rPr>
          <w:rFonts w:hint="eastAsia" w:ascii="宋体" w:hAnsi="宋体"/>
        </w:rPr>
        <w:t>9.3采购人应当通过政府集中采购机构向投标人提供有关现场的书面资料和数据。</w:t>
      </w:r>
    </w:p>
    <w:p>
      <w:pPr>
        <w:ind w:firstLine="411" w:firstLineChars="196"/>
        <w:rPr>
          <w:rFonts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pPr>
        <w:ind w:firstLine="411" w:firstLineChars="196"/>
        <w:rPr>
          <w:rFonts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rPr>
          <w:rFonts w:ascii="宋体" w:hAnsi="宋体"/>
          <w:szCs w:val="21"/>
        </w:rPr>
      </w:pPr>
      <w:r>
        <w:rPr>
          <w:rFonts w:hint="eastAsia" w:ascii="黑体" w:hAnsi="宋体" w:eastAsia="黑体"/>
          <w:sz w:val="24"/>
        </w:rPr>
        <w:t>10.标前会议</w:t>
      </w:r>
    </w:p>
    <w:p>
      <w:pPr>
        <w:ind w:firstLine="411" w:firstLineChars="196"/>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11" w:firstLineChars="196"/>
        <w:rPr>
          <w:rFonts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pPr>
        <w:ind w:firstLine="411" w:firstLineChars="196"/>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54"/>
    <w:p>
      <w:pPr>
        <w:ind w:firstLine="411" w:firstLineChars="196"/>
        <w:rPr>
          <w:rFonts w:ascii="宋体" w:hAnsi="宋体"/>
        </w:rPr>
      </w:pPr>
    </w:p>
    <w:p>
      <w:pPr>
        <w:pStyle w:val="7"/>
        <w:numPr>
          <w:ilvl w:val="0"/>
          <w:numId w:val="113"/>
        </w:numPr>
        <w:spacing w:before="120" w:beforeLines="50" w:after="120" w:afterLines="50"/>
        <w:ind w:left="562" w:hanging="562"/>
        <w:rPr>
          <w:sz w:val="28"/>
          <w:szCs w:val="28"/>
        </w:rPr>
      </w:pPr>
      <w:r>
        <w:rPr>
          <w:rFonts w:hint="eastAsia"/>
          <w:sz w:val="28"/>
          <w:szCs w:val="28"/>
        </w:rPr>
        <w:t>招标文件</w:t>
      </w:r>
    </w:p>
    <w:p>
      <w:pPr>
        <w:rPr>
          <w:rFonts w:ascii="黑体" w:hAnsi="宋体" w:eastAsia="黑体"/>
          <w:sz w:val="24"/>
        </w:rPr>
      </w:pPr>
      <w:r>
        <w:rPr>
          <w:rFonts w:hint="eastAsia" w:ascii="黑体" w:hAnsi="宋体" w:eastAsia="黑体"/>
          <w:sz w:val="24"/>
        </w:rPr>
        <w:t>11.</w:t>
      </w:r>
      <w:bookmarkStart w:id="56" w:name="_Hlk72399819"/>
      <w:r>
        <w:rPr>
          <w:rFonts w:hint="eastAsia" w:ascii="黑体" w:hAnsi="宋体" w:eastAsia="黑体"/>
          <w:sz w:val="24"/>
        </w:rPr>
        <w:t>招标文件的编制与组成</w:t>
      </w:r>
    </w:p>
    <w:p>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11" w:firstLineChars="196"/>
        <w:rPr>
          <w:rFonts w:ascii="宋体" w:hAnsi="宋体"/>
          <w:szCs w:val="21"/>
        </w:rPr>
      </w:pPr>
      <w:r>
        <w:rPr>
          <w:rFonts w:hint="eastAsia" w:ascii="宋体" w:hAnsi="宋体"/>
          <w:szCs w:val="21"/>
        </w:rPr>
        <w:t>招标文件包括下列内容：</w:t>
      </w:r>
    </w:p>
    <w:p>
      <w:pPr>
        <w:ind w:left="420" w:leftChars="200" w:firstLine="413" w:firstLineChars="196"/>
        <w:rPr>
          <w:rFonts w:ascii="宋体" w:hAnsi="宋体"/>
          <w:b/>
          <w:szCs w:val="21"/>
        </w:rPr>
      </w:pPr>
      <w:r>
        <w:rPr>
          <w:rFonts w:hint="eastAsia" w:ascii="宋体" w:hAnsi="宋体"/>
          <w:b/>
          <w:szCs w:val="21"/>
        </w:rPr>
        <w:t>第一册  专用条款</w:t>
      </w:r>
    </w:p>
    <w:p>
      <w:pPr>
        <w:ind w:left="1079" w:leftChars="514"/>
        <w:rPr>
          <w:rFonts w:ascii="宋体" w:hAnsi="宋体"/>
          <w:b/>
          <w:szCs w:val="21"/>
        </w:rPr>
      </w:pPr>
      <w:r>
        <w:rPr>
          <w:rFonts w:hint="eastAsia" w:ascii="宋体" w:hAnsi="宋体"/>
          <w:b/>
          <w:szCs w:val="21"/>
        </w:rPr>
        <w:t>关键信息</w:t>
      </w:r>
    </w:p>
    <w:p>
      <w:pPr>
        <w:ind w:left="630" w:leftChars="300" w:firstLine="411" w:firstLineChars="196"/>
        <w:rPr>
          <w:rFonts w:ascii="宋体" w:hAnsi="宋体"/>
          <w:szCs w:val="21"/>
        </w:rPr>
      </w:pPr>
      <w:r>
        <w:rPr>
          <w:rFonts w:hint="eastAsia" w:ascii="宋体" w:hAnsi="宋体"/>
          <w:szCs w:val="21"/>
        </w:rPr>
        <w:t>第一章  招标公告</w:t>
      </w:r>
    </w:p>
    <w:p>
      <w:pPr>
        <w:ind w:left="630" w:leftChars="300" w:firstLine="411" w:firstLineChars="196"/>
        <w:rPr>
          <w:rFonts w:ascii="宋体" w:hAnsi="宋体"/>
          <w:szCs w:val="21"/>
        </w:rPr>
      </w:pPr>
      <w:r>
        <w:rPr>
          <w:rFonts w:hint="eastAsia" w:ascii="宋体" w:hAnsi="宋体"/>
          <w:szCs w:val="21"/>
        </w:rPr>
        <w:t>第二章  对通用条款的补充内容及其他关键信息</w:t>
      </w:r>
    </w:p>
    <w:p>
      <w:pPr>
        <w:ind w:left="630" w:leftChars="300" w:firstLine="411" w:firstLineChars="196"/>
        <w:rPr>
          <w:rFonts w:ascii="宋体" w:hAnsi="宋体"/>
          <w:szCs w:val="21"/>
        </w:rPr>
      </w:pPr>
      <w:r>
        <w:rPr>
          <w:rFonts w:hint="eastAsia" w:ascii="宋体" w:hAnsi="宋体"/>
          <w:szCs w:val="21"/>
        </w:rPr>
        <w:t>第三章  用户需求书</w:t>
      </w:r>
    </w:p>
    <w:p>
      <w:pPr>
        <w:ind w:left="630" w:leftChars="300" w:firstLine="411" w:firstLineChars="196"/>
        <w:rPr>
          <w:rFonts w:ascii="宋体" w:hAnsi="宋体"/>
          <w:szCs w:val="21"/>
        </w:rPr>
      </w:pPr>
      <w:r>
        <w:rPr>
          <w:rFonts w:hint="eastAsia"/>
        </w:rPr>
        <w:t xml:space="preserve">第四章 </w:t>
      </w:r>
      <w:r>
        <w:t xml:space="preserve"> </w:t>
      </w:r>
      <w:r>
        <w:rPr>
          <w:rFonts w:hint="eastAsia"/>
        </w:rPr>
        <w:t>投标文件格式及附件</w:t>
      </w:r>
    </w:p>
    <w:p>
      <w:pPr>
        <w:ind w:left="630" w:leftChars="300" w:firstLine="411" w:firstLineChars="196"/>
        <w:rPr>
          <w:rFonts w:ascii="宋体" w:hAnsi="宋体"/>
          <w:szCs w:val="21"/>
        </w:rPr>
      </w:pPr>
      <w:r>
        <w:rPr>
          <w:rFonts w:hint="eastAsia" w:ascii="宋体" w:hAnsi="宋体"/>
          <w:szCs w:val="21"/>
        </w:rPr>
        <w:t>第五章  合同条款及格式</w:t>
      </w:r>
    </w:p>
    <w:p>
      <w:pPr>
        <w:ind w:left="420" w:leftChars="200" w:firstLine="413" w:firstLineChars="196"/>
        <w:rPr>
          <w:rFonts w:ascii="宋体" w:hAnsi="宋体"/>
          <w:b/>
          <w:szCs w:val="21"/>
        </w:rPr>
      </w:pPr>
      <w:r>
        <w:rPr>
          <w:rFonts w:hint="eastAsia" w:ascii="宋体" w:hAnsi="宋体"/>
          <w:b/>
          <w:szCs w:val="21"/>
        </w:rPr>
        <w:t>第二册  通用条款</w:t>
      </w:r>
    </w:p>
    <w:p>
      <w:pPr>
        <w:ind w:left="630" w:leftChars="300" w:firstLine="411" w:firstLineChars="196"/>
        <w:rPr>
          <w:rFonts w:ascii="宋体" w:hAnsi="宋体"/>
          <w:szCs w:val="21"/>
        </w:rPr>
      </w:pPr>
      <w:r>
        <w:rPr>
          <w:rFonts w:hint="eastAsia" w:ascii="宋体" w:hAnsi="宋体"/>
          <w:szCs w:val="21"/>
        </w:rPr>
        <w:t>第一章  总则</w:t>
      </w:r>
    </w:p>
    <w:p>
      <w:pPr>
        <w:ind w:left="630" w:leftChars="300" w:firstLine="411" w:firstLineChars="196"/>
        <w:rPr>
          <w:rFonts w:ascii="宋体" w:hAnsi="宋体"/>
          <w:szCs w:val="21"/>
        </w:rPr>
      </w:pPr>
      <w:r>
        <w:rPr>
          <w:rFonts w:hint="eastAsia" w:ascii="宋体" w:hAnsi="宋体"/>
          <w:szCs w:val="21"/>
        </w:rPr>
        <w:t>第二章  招标文件</w:t>
      </w:r>
    </w:p>
    <w:p>
      <w:pPr>
        <w:ind w:left="630" w:leftChars="300" w:firstLine="411" w:firstLineChars="196"/>
        <w:rPr>
          <w:rFonts w:ascii="宋体" w:hAnsi="宋体"/>
          <w:szCs w:val="21"/>
        </w:rPr>
      </w:pPr>
      <w:r>
        <w:rPr>
          <w:rFonts w:hint="eastAsia" w:ascii="宋体" w:hAnsi="宋体"/>
          <w:szCs w:val="21"/>
        </w:rPr>
        <w:t>第三章  投标文件的编制</w:t>
      </w:r>
    </w:p>
    <w:p>
      <w:pPr>
        <w:ind w:left="630" w:leftChars="300" w:firstLine="411" w:firstLineChars="196"/>
        <w:rPr>
          <w:rFonts w:ascii="宋体" w:hAnsi="宋体"/>
          <w:szCs w:val="21"/>
        </w:rPr>
      </w:pPr>
      <w:r>
        <w:rPr>
          <w:rFonts w:hint="eastAsia" w:ascii="宋体" w:hAnsi="宋体"/>
          <w:szCs w:val="21"/>
        </w:rPr>
        <w:t>第四章  投标文件的递交</w:t>
      </w:r>
    </w:p>
    <w:p>
      <w:pPr>
        <w:ind w:left="630" w:leftChars="300" w:firstLine="411" w:firstLineChars="196"/>
        <w:rPr>
          <w:rFonts w:ascii="宋体" w:hAnsi="宋体"/>
          <w:szCs w:val="21"/>
        </w:rPr>
      </w:pPr>
      <w:r>
        <w:rPr>
          <w:rFonts w:hint="eastAsia" w:ascii="宋体" w:hAnsi="宋体"/>
          <w:szCs w:val="21"/>
        </w:rPr>
        <w:t>第五章  开标</w:t>
      </w:r>
    </w:p>
    <w:p>
      <w:pPr>
        <w:ind w:left="630" w:leftChars="300" w:firstLine="411" w:firstLineChars="196"/>
        <w:rPr>
          <w:rFonts w:ascii="宋体" w:hAnsi="宋体"/>
          <w:szCs w:val="21"/>
        </w:rPr>
      </w:pPr>
      <w:r>
        <w:rPr>
          <w:rFonts w:hint="eastAsia" w:ascii="宋体" w:hAnsi="宋体"/>
          <w:szCs w:val="21"/>
        </w:rPr>
        <w:t>第六章  评审要求</w:t>
      </w:r>
    </w:p>
    <w:p>
      <w:pPr>
        <w:ind w:left="630" w:leftChars="300" w:firstLine="411" w:firstLineChars="196"/>
        <w:rPr>
          <w:rFonts w:ascii="宋体" w:hAnsi="宋体"/>
          <w:szCs w:val="21"/>
        </w:rPr>
      </w:pPr>
      <w:r>
        <w:rPr>
          <w:rFonts w:hint="eastAsia" w:ascii="宋体" w:hAnsi="宋体"/>
          <w:szCs w:val="21"/>
        </w:rPr>
        <w:t>第七章  评审程序及评审方法</w:t>
      </w:r>
    </w:p>
    <w:p>
      <w:pPr>
        <w:ind w:left="630" w:leftChars="300" w:firstLine="411" w:firstLineChars="196"/>
        <w:rPr>
          <w:rFonts w:ascii="宋体" w:hAnsi="宋体"/>
          <w:szCs w:val="21"/>
        </w:rPr>
      </w:pPr>
      <w:r>
        <w:rPr>
          <w:rFonts w:hint="eastAsia" w:ascii="宋体" w:hAnsi="宋体"/>
          <w:szCs w:val="21"/>
        </w:rPr>
        <w:t>第八章  定标及公示</w:t>
      </w:r>
    </w:p>
    <w:p>
      <w:pPr>
        <w:ind w:left="630" w:leftChars="300" w:firstLine="411" w:firstLineChars="196"/>
        <w:rPr>
          <w:rFonts w:ascii="宋体" w:hAnsi="宋体"/>
          <w:szCs w:val="21"/>
        </w:rPr>
      </w:pPr>
      <w:r>
        <w:rPr>
          <w:rFonts w:hint="eastAsia" w:ascii="宋体" w:hAnsi="宋体"/>
          <w:szCs w:val="21"/>
        </w:rPr>
        <w:t>第九章  公开招标失败的后续处理</w:t>
      </w:r>
    </w:p>
    <w:p>
      <w:pPr>
        <w:ind w:left="630" w:leftChars="300" w:firstLine="411" w:firstLineChars="196"/>
        <w:rPr>
          <w:rFonts w:ascii="宋体" w:hAnsi="宋体"/>
          <w:szCs w:val="21"/>
        </w:rPr>
      </w:pPr>
      <w:r>
        <w:rPr>
          <w:rFonts w:hint="eastAsia" w:ascii="宋体" w:hAnsi="宋体"/>
          <w:szCs w:val="21"/>
        </w:rPr>
        <w:t>第十章  合同的授予与备案</w:t>
      </w:r>
    </w:p>
    <w:p>
      <w:pPr>
        <w:ind w:left="630" w:leftChars="300" w:firstLine="411" w:firstLineChars="196"/>
        <w:rPr>
          <w:rFonts w:ascii="宋体" w:hAnsi="宋体"/>
          <w:szCs w:val="21"/>
        </w:rPr>
      </w:pPr>
      <w:r>
        <w:rPr>
          <w:rFonts w:hint="eastAsia" w:ascii="宋体" w:hAnsi="宋体"/>
          <w:szCs w:val="21"/>
        </w:rPr>
        <w:t>第十一章  质疑处理</w:t>
      </w:r>
    </w:p>
    <w:p>
      <w:pPr>
        <w:ind w:firstLine="411" w:firstLineChars="196"/>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w:t>
      </w:r>
      <w:r>
        <w:rPr>
          <w:rFonts w:hint="eastAsia" w:ascii="宋体" w:hAnsi="宋体"/>
          <w:color w:val="FF0000"/>
          <w:szCs w:val="21"/>
        </w:rPr>
        <w:t>登录深圳政府采购智慧平台（http://zfcg.szggzy.com:8081/）</w:t>
      </w:r>
      <w:r>
        <w:rPr>
          <w:rFonts w:hint="eastAsia" w:ascii="宋体" w:hAnsi="宋体"/>
          <w:szCs w:val="21"/>
        </w:rPr>
        <w:t>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11" w:firstLineChars="196"/>
        <w:rPr>
          <w:rFonts w:ascii="宋体" w:hAnsi="宋体"/>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pStyle w:val="2"/>
        <w:ind w:firstLine="420" w:firstLineChars="200"/>
      </w:pPr>
      <w:r>
        <w:rPr>
          <w:rFonts w:hint="eastAsia" w:ascii="宋体" w:hAnsi="宋体"/>
          <w:b w:val="0"/>
          <w:bCs w:val="0"/>
          <w:sz w:val="21"/>
        </w:rPr>
        <w:t>11.4招标文件所称“原件备查”，是指在项目产生质疑、投诉等阶段，主管部门、采购人、代理机构、评审委员会等可以要求供应商提供原件进行核查。</w:t>
      </w:r>
    </w:p>
    <w:p>
      <w:pPr>
        <w:rPr>
          <w:rFonts w:ascii="黑体" w:hAnsi="宋体" w:eastAsia="黑体"/>
          <w:sz w:val="24"/>
        </w:rPr>
      </w:pPr>
      <w:r>
        <w:rPr>
          <w:rFonts w:hint="eastAsia" w:ascii="黑体" w:hAnsi="宋体" w:eastAsia="黑体"/>
          <w:sz w:val="24"/>
        </w:rPr>
        <w:t>12.招标文件的澄清</w:t>
      </w:r>
    </w:p>
    <w:p>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.2投标人如对招标文件内容有疑问，应当在招标公告规定的澄清（提问）截止时间前以网上提问的形式通过网上政府采购系统提交政府集中采购机构。</w:t>
      </w:r>
    </w:p>
    <w:p>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rPr>
          <w:rFonts w:ascii="黑体" w:hAnsi="宋体" w:eastAsia="黑体"/>
          <w:sz w:val="24"/>
        </w:rPr>
      </w:pPr>
      <w:r>
        <w:rPr>
          <w:rFonts w:hint="eastAsia" w:ascii="黑体" w:hAnsi="宋体" w:eastAsia="黑体"/>
          <w:sz w:val="24"/>
        </w:rPr>
        <w:t>13.招标文件的修改</w:t>
      </w:r>
    </w:p>
    <w:p>
      <w:pPr>
        <w:ind w:firstLine="411" w:firstLineChars="196"/>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11" w:firstLineChars="196"/>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11" w:firstLineChars="196"/>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w:t>
      </w:r>
      <w:r>
        <w:rPr>
          <w:rFonts w:hint="eastAsia" w:ascii="宋体" w:hAnsi="宋体"/>
          <w:color w:val="FF0000"/>
          <w:szCs w:val="21"/>
        </w:rPr>
        <w:t>，投标人应当登录深圳政府采购智慧平台（http://zfcg.szggzy.com:8081/）下载最新的招标文件</w:t>
      </w:r>
      <w:r>
        <w:rPr>
          <w:rFonts w:hint="eastAsia" w:ascii="宋体" w:hAnsi="宋体"/>
          <w:szCs w:val="21"/>
        </w:rPr>
        <w:t>。当招标文件、修改补充通知、招标文件澄清答复内容相互矛盾时，以最后发出的内容为准。</w:t>
      </w:r>
    </w:p>
    <w:p>
      <w:pPr>
        <w:ind w:firstLine="411" w:firstLineChars="196"/>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6"/>
    </w:p>
    <w:p>
      <w:pPr>
        <w:rPr>
          <w:rFonts w:ascii="宋体" w:hAnsi="宋体"/>
          <w:szCs w:val="21"/>
        </w:rPr>
      </w:pPr>
    </w:p>
    <w:p>
      <w:pPr>
        <w:pStyle w:val="7"/>
        <w:numPr>
          <w:ilvl w:val="0"/>
          <w:numId w:val="113"/>
        </w:numPr>
        <w:spacing w:before="120" w:beforeLines="50" w:after="120" w:afterLines="50"/>
        <w:ind w:left="562" w:hanging="562"/>
        <w:rPr>
          <w:sz w:val="28"/>
          <w:szCs w:val="28"/>
        </w:rPr>
      </w:pPr>
      <w:r>
        <w:rPr>
          <w:rFonts w:hint="eastAsia"/>
          <w:sz w:val="28"/>
          <w:szCs w:val="28"/>
        </w:rPr>
        <w:t>投标文件的编制</w:t>
      </w:r>
    </w:p>
    <w:p>
      <w:pPr>
        <w:rPr>
          <w:rFonts w:ascii="黑体" w:hAnsi="宋体" w:eastAsia="黑体"/>
          <w:sz w:val="24"/>
        </w:rPr>
      </w:pPr>
      <w:r>
        <w:rPr>
          <w:rFonts w:hint="eastAsia" w:ascii="黑体" w:hAnsi="宋体" w:eastAsia="黑体"/>
          <w:sz w:val="24"/>
        </w:rPr>
        <w:t>14.</w:t>
      </w:r>
      <w:bookmarkStart w:id="57" w:name="_Hlk72400236"/>
      <w:r>
        <w:rPr>
          <w:rFonts w:hint="eastAsia" w:ascii="黑体" w:hAnsi="宋体" w:eastAsia="黑体"/>
          <w:sz w:val="24"/>
        </w:rPr>
        <w:t>投标文件的语言及度量单位</w:t>
      </w:r>
    </w:p>
    <w:p>
      <w:pPr>
        <w:ind w:firstLine="411" w:firstLineChars="196"/>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w:t>
      </w:r>
    </w:p>
    <w:p>
      <w:pPr>
        <w:ind w:firstLine="411" w:firstLineChars="196"/>
        <w:rPr>
          <w:rFonts w:ascii="宋体" w:hAnsi="宋体"/>
          <w:szCs w:val="21"/>
        </w:rPr>
      </w:pPr>
      <w:r>
        <w:rPr>
          <w:rFonts w:hint="eastAsia" w:ascii="宋体" w:hAnsi="宋体"/>
          <w:szCs w:val="21"/>
        </w:rPr>
        <w:t>14.2 除技术规范另有规定外，投标文件使用的度量单位，均采用中华人民共和国法定计量单位。</w:t>
      </w:r>
    </w:p>
    <w:bookmarkEnd w:id="57"/>
    <w:p>
      <w:pPr>
        <w:rPr>
          <w:rFonts w:ascii="黑体" w:hAnsi="宋体" w:eastAsia="黑体"/>
          <w:sz w:val="24"/>
        </w:rPr>
      </w:pPr>
      <w:r>
        <w:rPr>
          <w:rFonts w:hint="eastAsia" w:ascii="黑体" w:hAnsi="宋体" w:eastAsia="黑体"/>
          <w:sz w:val="24"/>
        </w:rPr>
        <w:t>15.</w:t>
      </w:r>
      <w:bookmarkStart w:id="58" w:name="_Hlk72401567"/>
      <w:r>
        <w:rPr>
          <w:rFonts w:hint="eastAsia" w:ascii="黑体" w:hAnsi="宋体" w:eastAsia="黑体"/>
          <w:sz w:val="24"/>
        </w:rPr>
        <w:t>投标文件的组成</w:t>
      </w:r>
    </w:p>
    <w:p>
      <w:pPr>
        <w:ind w:firstLine="411" w:firstLineChars="196"/>
        <w:rPr>
          <w:rFonts w:ascii="宋体" w:hAnsi="宋体"/>
          <w:szCs w:val="21"/>
        </w:rPr>
      </w:pPr>
      <w:r>
        <w:rPr>
          <w:rFonts w:hint="eastAsia" w:ascii="宋体" w:hAnsi="宋体"/>
          <w:szCs w:val="21"/>
        </w:rPr>
        <w:t>具体内容在招标文件专用条款中进行规定。</w:t>
      </w:r>
    </w:p>
    <w:p>
      <w:pPr>
        <w:rPr>
          <w:rFonts w:ascii="黑体" w:hAnsi="宋体" w:eastAsia="黑体"/>
          <w:sz w:val="24"/>
        </w:rPr>
      </w:pPr>
      <w:r>
        <w:rPr>
          <w:rFonts w:hint="eastAsia" w:ascii="黑体" w:hAnsi="宋体" w:eastAsia="黑体"/>
          <w:sz w:val="24"/>
        </w:rPr>
        <w:t>16.</w:t>
      </w:r>
      <w:r>
        <w:rPr>
          <w:rFonts w:ascii="黑体" w:hAnsi="宋体" w:eastAsia="黑体"/>
          <w:sz w:val="24"/>
        </w:rPr>
        <w:t>投标文件格式</w:t>
      </w:r>
    </w:p>
    <w:p>
      <w:pPr>
        <w:ind w:firstLine="411" w:firstLineChars="196"/>
        <w:rPr>
          <w:rFonts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rPr>
          <w:rFonts w:ascii="黑体" w:hAnsi="宋体" w:eastAsia="黑体"/>
          <w:sz w:val="24"/>
        </w:rPr>
      </w:pPr>
      <w:r>
        <w:rPr>
          <w:rFonts w:hint="eastAsia" w:ascii="黑体" w:hAnsi="宋体" w:eastAsia="黑体"/>
          <w:sz w:val="24"/>
        </w:rPr>
        <w:t>17.投标货币</w:t>
      </w:r>
    </w:p>
    <w:p>
      <w:pPr>
        <w:ind w:firstLine="411" w:firstLineChars="196"/>
        <w:rPr>
          <w:rFonts w:ascii="宋体" w:hAnsi="宋体"/>
          <w:szCs w:val="21"/>
        </w:rPr>
      </w:pPr>
      <w:r>
        <w:rPr>
          <w:rFonts w:hint="eastAsia" w:ascii="宋体" w:hAnsi="宋体"/>
          <w:szCs w:val="21"/>
        </w:rPr>
        <w:t>本项目的投标报价应以人民币计。</w:t>
      </w:r>
    </w:p>
    <w:bookmarkEnd w:id="58"/>
    <w:p>
      <w:pPr>
        <w:rPr>
          <w:rFonts w:ascii="黑体" w:hAnsi="宋体" w:eastAsia="黑体"/>
          <w:sz w:val="24"/>
        </w:rPr>
      </w:pPr>
      <w:r>
        <w:rPr>
          <w:rFonts w:hint="eastAsia" w:ascii="黑体" w:hAnsi="宋体" w:eastAsia="黑体"/>
          <w:sz w:val="24"/>
        </w:rPr>
        <w:t>18.</w:t>
      </w:r>
      <w:bookmarkStart w:id="59" w:name="_Hlk72401735"/>
      <w:r>
        <w:rPr>
          <w:rFonts w:hint="eastAsia" w:ascii="黑体" w:hAnsi="宋体" w:eastAsia="黑体"/>
          <w:sz w:val="24"/>
        </w:rPr>
        <w:t>证明投标文件投标技术方案的合格性和符合招标文件规定的文件要求</w:t>
      </w:r>
    </w:p>
    <w:p>
      <w:pPr>
        <w:ind w:firstLine="411" w:firstLineChars="196"/>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11" w:firstLineChars="196"/>
        <w:rPr>
          <w:rFonts w:ascii="宋体" w:hAnsi="宋体"/>
          <w:szCs w:val="21"/>
        </w:rPr>
      </w:pPr>
      <w:r>
        <w:rPr>
          <w:rFonts w:hint="eastAsia" w:ascii="宋体" w:hAnsi="宋体"/>
          <w:szCs w:val="21"/>
        </w:rPr>
        <w:t>18.2.1主要技术指标和性能的详细说明。</w:t>
      </w:r>
    </w:p>
    <w:p>
      <w:pPr>
        <w:ind w:firstLine="411" w:firstLineChars="196"/>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11" w:firstLineChars="196"/>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11" w:firstLineChars="196"/>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pPr>
        <w:ind w:firstLine="411" w:firstLineChars="196"/>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11" w:firstLineChars="196"/>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pPr>
        <w:ind w:firstLine="411" w:firstLineChars="196"/>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59"/>
    <w:p>
      <w:pPr>
        <w:rPr>
          <w:rFonts w:ascii="黑体" w:hAnsi="宋体" w:eastAsia="黑体"/>
          <w:sz w:val="24"/>
        </w:rPr>
      </w:pPr>
      <w:r>
        <w:rPr>
          <w:rFonts w:hint="eastAsia" w:ascii="黑体" w:hAnsi="宋体" w:eastAsia="黑体"/>
          <w:sz w:val="24"/>
        </w:rPr>
        <w:t>19.</w:t>
      </w:r>
      <w:bookmarkStart w:id="60" w:name="_Hlk72402034"/>
      <w:r>
        <w:rPr>
          <w:rFonts w:hint="eastAsia" w:ascii="黑体" w:hAnsi="宋体" w:eastAsia="黑体"/>
          <w:sz w:val="24"/>
        </w:rPr>
        <w:t>投标文件其他证明文件的要求</w:t>
      </w:r>
    </w:p>
    <w:p>
      <w:pPr>
        <w:rPr>
          <w:rFonts w:ascii="宋体" w:hAnsi="宋体"/>
          <w:color w:val="FF0000"/>
          <w:szCs w:val="21"/>
        </w:rPr>
      </w:pPr>
      <w:r>
        <w:rPr>
          <w:rFonts w:hint="eastAsia" w:ascii="黑体" w:hAnsi="宋体" w:eastAsia="黑体"/>
          <w:sz w:val="24"/>
        </w:rPr>
        <w:t xml:space="preserve">    </w:t>
      </w: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61" w:name="_Hlk71407299"/>
      <w:r>
        <w:rPr>
          <w:rFonts w:hint="eastAsia" w:ascii="宋体" w:hAnsi="宋体"/>
          <w:szCs w:val="21"/>
        </w:rPr>
        <w:t>若投标人未按要求提供证明材料或提供的是部分证明材料或提供不清晰的扫描件（或照片）的，采购人、代理机构以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61"/>
    <w:p>
      <w:pPr>
        <w:ind w:firstLine="411" w:firstLineChars="196"/>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内不需提供的，供应商应做书面说明并提供证明文件，否则该证书无效），则该投标人提供年审证明的可按原资质（资格）投标；若投标人正在申报上一级别资质（资格），在未获批准之前，仍按原级别资质（资格）投标。</w:t>
      </w:r>
    </w:p>
    <w:p>
      <w:pPr>
        <w:rPr>
          <w:rFonts w:ascii="黑体" w:hAnsi="宋体" w:eastAsia="黑体"/>
          <w:sz w:val="24"/>
        </w:rPr>
      </w:pPr>
      <w:r>
        <w:rPr>
          <w:rFonts w:hint="eastAsia" w:ascii="黑体" w:hAnsi="宋体" w:eastAsia="黑体"/>
          <w:sz w:val="24"/>
        </w:rPr>
        <w:t>20.投标有效期</w:t>
      </w:r>
    </w:p>
    <w:bookmarkEnd w:id="60"/>
    <w:p>
      <w:pPr>
        <w:ind w:firstLine="411" w:firstLineChars="196"/>
        <w:rPr>
          <w:rFonts w:ascii="宋体" w:hAnsi="宋体"/>
          <w:szCs w:val="21"/>
        </w:rPr>
      </w:pPr>
      <w:bookmarkStart w:id="62"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11" w:firstLineChars="196"/>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11" w:firstLineChars="196"/>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2"/>
    <w:p>
      <w:pPr>
        <w:rPr>
          <w:rFonts w:ascii="黑体" w:hAnsi="宋体" w:eastAsia="黑体"/>
          <w:sz w:val="24"/>
        </w:rPr>
      </w:pPr>
      <w:r>
        <w:rPr>
          <w:rFonts w:hint="eastAsia" w:ascii="黑体" w:hAnsi="宋体" w:eastAsia="黑体"/>
          <w:sz w:val="24"/>
        </w:rPr>
        <w:t>21.</w:t>
      </w:r>
      <w:bookmarkStart w:id="63" w:name="_Hlk72402325"/>
      <w:r>
        <w:rPr>
          <w:rFonts w:hint="eastAsia" w:ascii="黑体" w:hAnsi="宋体" w:eastAsia="黑体"/>
          <w:sz w:val="24"/>
        </w:rPr>
        <w:t xml:space="preserve">关于投标保证金 </w:t>
      </w:r>
    </w:p>
    <w:p>
      <w:pPr>
        <w:rPr>
          <w:rFonts w:ascii="宋体" w:hAnsi="宋体"/>
          <w:szCs w:val="21"/>
        </w:rPr>
      </w:pPr>
      <w:r>
        <w:rPr>
          <w:rFonts w:hint="eastAsia" w:ascii="宋体" w:hAnsi="宋体"/>
          <w:szCs w:val="21"/>
        </w:rPr>
        <w:t xml:space="preserve">    21.1 </w:t>
      </w:r>
      <w:r>
        <w:rPr>
          <w:rFonts w:hint="eastAsia"/>
        </w:rPr>
        <w:t>根据《深圳市财政局关于调整政府采购投标（响应）保证金管理政策的通知》（深财购〔2021〕51号）的规定，本项目不收取投标保证金。</w:t>
      </w:r>
    </w:p>
    <w:p>
      <w:pPr>
        <w:rPr>
          <w:rFonts w:ascii="黑体" w:hAnsi="宋体" w:eastAsia="黑体"/>
          <w:sz w:val="24"/>
        </w:rPr>
      </w:pPr>
      <w:r>
        <w:rPr>
          <w:rFonts w:hint="eastAsia" w:ascii="黑体" w:hAnsi="宋体" w:eastAsia="黑体"/>
          <w:sz w:val="24"/>
        </w:rPr>
        <w:t>22.投标人的替代方案</w:t>
      </w:r>
    </w:p>
    <w:p>
      <w:pPr>
        <w:ind w:firstLine="411" w:firstLineChars="196"/>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11" w:firstLineChars="196"/>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3"/>
    <w:p>
      <w:pPr>
        <w:rPr>
          <w:rFonts w:ascii="黑体" w:hAnsi="宋体" w:eastAsia="黑体"/>
          <w:sz w:val="24"/>
        </w:rPr>
      </w:pPr>
      <w:r>
        <w:rPr>
          <w:rFonts w:hint="eastAsia" w:ascii="黑体" w:hAnsi="宋体" w:eastAsia="黑体"/>
          <w:sz w:val="24"/>
        </w:rPr>
        <w:t>23.</w:t>
      </w:r>
      <w:bookmarkStart w:id="64"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pPr>
        <w:ind w:firstLine="411" w:firstLineChars="196"/>
        <w:rPr>
          <w:rFonts w:ascii="宋体" w:hAnsi="宋体"/>
        </w:rPr>
      </w:pPr>
      <w:r>
        <w:rPr>
          <w:rFonts w:hint="eastAsia" w:ascii="宋体" w:hAnsi="宋体"/>
        </w:rPr>
        <w:t>23.1投标人应准备所投项目的电子投标文件一份。此电子投标文件须由投标人根据政府集中采购机构提供的后缀名为.</w:t>
      </w:r>
      <w:r>
        <w:rPr>
          <w:rFonts w:ascii="宋体" w:hAnsi="宋体"/>
        </w:rPr>
        <w:t>szczf</w:t>
      </w:r>
      <w:r>
        <w:rPr>
          <w:rFonts w:hint="eastAsia" w:ascii="宋体" w:hAnsi="宋体"/>
        </w:rPr>
        <w:t>的电子招标文件，下载并使用相应的深圳智慧采购平台投标文件制作专用软件打开招标文件（.szczf格式）【下载地址：</w:t>
      </w:r>
      <w:r>
        <w:rPr>
          <w:rFonts w:ascii="宋体" w:hAnsi="宋体"/>
        </w:rPr>
        <w:t>http://zfcg.szggzy.com:8081/cgxy/013002/list.html</w:t>
      </w:r>
      <w:r>
        <w:rPr>
          <w:rFonts w:hint="eastAsia" w:ascii="宋体" w:hAnsi="宋体"/>
        </w:rPr>
        <w:t>深圳智慧采购平台投标文件制作专用软件.zip】。</w:t>
      </w:r>
    </w:p>
    <w:p>
      <w:pPr>
        <w:ind w:firstLine="411" w:firstLineChars="196"/>
        <w:rPr>
          <w:rFonts w:ascii="宋体" w:hAnsi="宋体"/>
        </w:rPr>
      </w:pPr>
      <w:r>
        <w:rPr>
          <w:rFonts w:hint="eastAsia" w:ascii="宋体" w:hAnsi="宋体"/>
        </w:rPr>
        <w:t>23.2投标人在使用《投标书编制软件》编制投标书时须注意：</w:t>
      </w:r>
    </w:p>
    <w:p>
      <w:pPr>
        <w:ind w:firstLine="411" w:firstLineChars="196"/>
        <w:rPr>
          <w:rFonts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pPr>
        <w:ind w:firstLine="411" w:firstLineChars="196"/>
        <w:rPr>
          <w:rFonts w:ascii="宋体" w:hAnsi="宋体"/>
        </w:rPr>
      </w:pPr>
      <w:r>
        <w:rPr>
          <w:rFonts w:hint="eastAsia" w:ascii="宋体" w:hAnsi="宋体"/>
        </w:rPr>
        <w:t>23.2.2不能用非本公司的电子密钥加密本公司的投标文件，或者用其它公司的登录用户上传本公司的投标文件。</w:t>
      </w:r>
    </w:p>
    <w:p>
      <w:pPr>
        <w:ind w:firstLine="411" w:firstLineChars="196"/>
        <w:rPr>
          <w:rFonts w:ascii="宋体" w:hAnsi="宋体"/>
        </w:rPr>
      </w:pPr>
      <w:r>
        <w:rPr>
          <w:rFonts w:hint="eastAsia" w:ascii="宋体" w:hAnsi="宋体"/>
        </w:rPr>
        <w:t>23.2.3要求用《投标书编制软件》编制投标书的包，不能用其它方式编制投标书。编制投标文件时，电脑须连通互联网。</w:t>
      </w:r>
    </w:p>
    <w:p>
      <w:pPr>
        <w:ind w:firstLine="411" w:firstLineChars="196"/>
        <w:rPr>
          <w:rFonts w:ascii="宋体" w:hAnsi="宋体"/>
        </w:rPr>
      </w:pPr>
      <w:r>
        <w:rPr>
          <w:rFonts w:hint="eastAsia" w:ascii="宋体" w:hAnsi="宋体"/>
        </w:rPr>
        <w:t>23.2.4投标文件不能带病毒。政府集中采购机构将用专业杀毒软件对投标文件进行病毒检测，如果发现病毒，则政府集中采购机构认为该投标文件带病毒。</w:t>
      </w:r>
    </w:p>
    <w:p>
      <w:pPr>
        <w:ind w:firstLine="411" w:firstLineChars="196"/>
        <w:rPr>
          <w:rFonts w:ascii="宋体" w:hAnsi="宋体"/>
        </w:rPr>
      </w:pPr>
      <w:r>
        <w:rPr>
          <w:rFonts w:hint="eastAsia" w:ascii="宋体" w:hAnsi="宋体"/>
        </w:rPr>
        <w:t>23.2.5完整填写“投标关键信息”，如下图所示：</w:t>
      </w:r>
    </w:p>
    <w:p>
      <w:pPr>
        <w:ind w:firstLine="411" w:firstLineChars="196"/>
        <w:rPr>
          <w:rFonts w:ascii="宋体" w:hAnsi="宋体"/>
        </w:rPr>
      </w:pPr>
      <w:r>
        <w:rPr>
          <w:rFonts w:ascii="宋体" w:hAnsi="宋体"/>
        </w:rPr>
        <w:drawing>
          <wp:inline distT="0" distB="0" distL="0" distR="0">
            <wp:extent cx="5279390" cy="2719070"/>
            <wp:effectExtent l="0" t="0" r="3810" b="11430"/>
            <wp:docPr id="7" name="图片 9"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图形用户界面, 应用程序&#10;&#10;描述已自动生成"/>
                    <pic:cNvPicPr>
                      <a:picLocks noChangeAspect="1" noChangeArrowheads="1"/>
                    </pic:cNvPicPr>
                  </pic:nvPicPr>
                  <pic:blipFill>
                    <a:blip r:embed="rId11"/>
                    <a:srcRect/>
                    <a:stretch>
                      <a:fillRect/>
                    </a:stretch>
                  </pic:blipFill>
                  <pic:spPr>
                    <a:xfrm>
                      <a:off x="0" y="0"/>
                      <a:ext cx="5279390" cy="2719070"/>
                    </a:xfrm>
                    <a:prstGeom prst="rect">
                      <a:avLst/>
                    </a:prstGeom>
                    <a:noFill/>
                    <a:ln w="9525">
                      <a:noFill/>
                      <a:miter lim="800000"/>
                      <a:headEnd/>
                      <a:tailEnd/>
                    </a:ln>
                  </pic:spPr>
                </pic:pic>
              </a:graphicData>
            </a:graphic>
          </wp:inline>
        </w:drawing>
      </w:r>
    </w:p>
    <w:p>
      <w:pPr>
        <w:widowControl/>
        <w:jc w:val="left"/>
        <w:rPr>
          <w:rFonts w:ascii="宋体" w:hAnsi="宋体" w:cs="宋体"/>
          <w:kern w:val="0"/>
          <w:sz w:val="24"/>
        </w:rPr>
      </w:pPr>
    </w:p>
    <w:p>
      <w:pPr>
        <w:ind w:firstLine="413" w:firstLineChars="196"/>
        <w:rPr>
          <w:rFonts w:ascii="宋体" w:hAnsi="宋体"/>
          <w:b/>
        </w:rPr>
      </w:pPr>
      <w:r>
        <w:rPr>
          <w:rFonts w:hint="eastAsia" w:ascii="宋体" w:hAnsi="宋体"/>
          <w:b/>
        </w:rPr>
        <w:t>备注：上述“开标一览表”中的“投标报价”将作为价格分计算依据；其它信息仅是对投标文件相关内容的概括性表述，不作为评审依据。</w:t>
      </w:r>
    </w:p>
    <w:p>
      <w:pPr>
        <w:ind w:firstLine="411" w:firstLineChars="196"/>
        <w:rPr>
          <w:rFonts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pPr>
        <w:ind w:firstLine="411" w:firstLineChars="196"/>
        <w:rPr>
          <w:rFonts w:ascii="宋体" w:hAnsi="宋体"/>
        </w:rPr>
      </w:pPr>
      <w:r>
        <w:rPr>
          <w:rFonts w:hint="eastAsia" w:ascii="宋体" w:hAnsi="宋体"/>
        </w:rPr>
        <w:t>23.2.7投标文件编写完成后，</w:t>
      </w:r>
      <w:r>
        <w:rPr>
          <w:rFonts w:hint="eastAsia" w:ascii="宋体" w:hAnsi="宋体"/>
          <w:b/>
        </w:rPr>
        <w:t>必须用属于投标人的电子密钥或电子营业执照进行加密，否则视同未盖公章，将导致投标文件无效。</w:t>
      </w:r>
    </w:p>
    <w:p>
      <w:pPr>
        <w:ind w:firstLine="411" w:firstLineChars="196"/>
        <w:rPr>
          <w:rFonts w:ascii="宋体" w:hAnsi="宋体"/>
        </w:rPr>
      </w:pPr>
      <w:r>
        <w:rPr>
          <w:rFonts w:hint="eastAsia" w:ascii="宋体" w:hAnsi="宋体"/>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11" w:firstLineChars="196"/>
        <w:rPr>
          <w:rFonts w:ascii="宋体" w:hAnsi="宋体"/>
        </w:rPr>
      </w:pPr>
      <w:r>
        <w:rPr>
          <w:rFonts w:hint="eastAsia" w:ascii="宋体" w:hAnsi="宋体"/>
        </w:rPr>
        <w:t>23.2.9如果开标时出现网络故障、技术故障，影响了政府采购活动，政府集中采购机构有权采取措施如延期、接受无法从网上上传的投标书等，以保障政府采购活动的公开、公平和公正。</w:t>
      </w:r>
    </w:p>
    <w:p>
      <w:pPr>
        <w:ind w:firstLine="411" w:firstLineChars="196"/>
        <w:rPr>
          <w:rFonts w:ascii="宋体" w:hAnsi="宋体"/>
        </w:rPr>
      </w:pPr>
      <w:r>
        <w:rPr>
          <w:rFonts w:hint="eastAsia" w:ascii="宋体" w:hAnsi="宋体"/>
        </w:rPr>
        <w:t>23.3电报、电话、传真形式的投标概不接受。</w:t>
      </w:r>
    </w:p>
    <w:p>
      <w:pPr>
        <w:ind w:firstLine="413" w:firstLineChars="196"/>
        <w:rPr>
          <w:rFonts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pPr>
        <w:ind w:firstLine="413" w:firstLineChars="196"/>
        <w:rPr>
          <w:rFonts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64"/>
    </w:p>
    <w:p>
      <w:pPr>
        <w:ind w:firstLine="411" w:firstLineChars="196"/>
        <w:rPr>
          <w:rFonts w:ascii="宋体" w:hAnsi="宋体"/>
          <w:szCs w:val="21"/>
        </w:rPr>
      </w:pPr>
    </w:p>
    <w:p>
      <w:pPr>
        <w:pStyle w:val="7"/>
        <w:numPr>
          <w:ilvl w:val="0"/>
          <w:numId w:val="113"/>
        </w:numPr>
        <w:spacing w:before="120" w:beforeLines="50" w:after="120" w:afterLines="50"/>
        <w:ind w:left="562" w:hanging="562"/>
        <w:rPr>
          <w:sz w:val="28"/>
          <w:szCs w:val="28"/>
        </w:rPr>
      </w:pPr>
      <w:r>
        <w:rPr>
          <w:rFonts w:hint="eastAsia"/>
          <w:sz w:val="28"/>
          <w:szCs w:val="28"/>
        </w:rPr>
        <w:t>投标文件的递交</w:t>
      </w:r>
    </w:p>
    <w:p>
      <w:pPr>
        <w:rPr>
          <w:rFonts w:ascii="黑体" w:hAnsi="宋体" w:eastAsia="黑体"/>
          <w:sz w:val="24"/>
        </w:rPr>
      </w:pPr>
      <w:bookmarkStart w:id="65" w:name="_Hlk72405459"/>
      <w:r>
        <w:rPr>
          <w:rFonts w:hint="eastAsia" w:ascii="黑体" w:hAnsi="宋体" w:eastAsia="黑体"/>
          <w:sz w:val="24"/>
        </w:rPr>
        <w:t>24.投标文件的保密</w:t>
      </w:r>
    </w:p>
    <w:p>
      <w:pPr>
        <w:ind w:firstLine="411" w:firstLineChars="196"/>
        <w:rPr>
          <w:rFonts w:ascii="宋体" w:hAnsi="宋体"/>
        </w:rPr>
      </w:pPr>
      <w:r>
        <w:rPr>
          <w:rFonts w:hint="eastAsia" w:ascii="宋体" w:hAnsi="宋体"/>
        </w:rPr>
        <w:t>24.1在投标文件制作完成后，在投标书编制软件点击【生成标书】按钮进入【填写开标一览表界面】界面，在该界面填写完开标一览表信息后点击【确定】，进入投标文件生成环节。投标文件制作软件会在投标文件生成过程中，提示用户输入密码，输入密码后对投标文件自动进行加密，此加密程序确保投标文件在到达投标截止时间后才能解密查看。在加密过程中，请按照软件提示进行操作。加密界面如下图所示：</w:t>
      </w:r>
    </w:p>
    <w:p>
      <w:pPr>
        <w:ind w:firstLine="411" w:firstLineChars="196"/>
        <w:rPr>
          <w:rFonts w:ascii="宋体" w:hAnsi="宋体"/>
        </w:rPr>
      </w:pPr>
    </w:p>
    <w:p>
      <w:pPr>
        <w:ind w:firstLine="411" w:firstLineChars="196"/>
        <w:rPr>
          <w:rFonts w:ascii="宋体" w:hAnsi="宋体"/>
        </w:rPr>
      </w:pPr>
      <w:r>
        <w:rPr>
          <w:rFonts w:ascii="宋体" w:hAnsi="宋体"/>
        </w:rPr>
        <w:drawing>
          <wp:inline distT="0" distB="0" distL="0" distR="0">
            <wp:extent cx="5279390" cy="2719070"/>
            <wp:effectExtent l="0" t="0" r="3810" b="11430"/>
            <wp:docPr id="10" name="图片 7"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图形用户界面, 应用程序&#10;&#10;描述已自动生成"/>
                    <pic:cNvPicPr>
                      <a:picLocks noChangeAspect="1" noChangeArrowheads="1"/>
                    </pic:cNvPicPr>
                  </pic:nvPicPr>
                  <pic:blipFill>
                    <a:blip r:embed="rId11"/>
                    <a:srcRect/>
                    <a:stretch>
                      <a:fillRect/>
                    </a:stretch>
                  </pic:blipFill>
                  <pic:spPr>
                    <a:xfrm>
                      <a:off x="0" y="0"/>
                      <a:ext cx="5279390" cy="2719070"/>
                    </a:xfrm>
                    <a:prstGeom prst="rect">
                      <a:avLst/>
                    </a:prstGeom>
                    <a:noFill/>
                    <a:ln w="9525">
                      <a:noFill/>
                      <a:miter lim="800000"/>
                      <a:headEnd/>
                      <a:tailEnd/>
                    </a:ln>
                  </pic:spPr>
                </pic:pic>
              </a:graphicData>
            </a:graphic>
          </wp:inline>
        </w:drawing>
      </w:r>
    </w:p>
    <w:p>
      <w:pPr>
        <w:ind w:firstLine="411" w:firstLineChars="196"/>
        <w:rPr>
          <w:rFonts w:ascii="宋体" w:hAnsi="宋体"/>
        </w:rPr>
      </w:pPr>
    </w:p>
    <w:p>
      <w:pPr>
        <w:ind w:firstLine="411" w:firstLineChars="196"/>
        <w:rPr>
          <w:rFonts w:ascii="宋体" w:hAnsi="宋体"/>
        </w:rPr>
      </w:pPr>
      <w:r>
        <w:rPr>
          <w:rFonts w:ascii="宋体" w:hAnsi="宋体"/>
        </w:rPr>
        <w:drawing>
          <wp:inline distT="0" distB="0" distL="0" distR="0">
            <wp:extent cx="5279390" cy="2727325"/>
            <wp:effectExtent l="0" t="0" r="3810" b="3175"/>
            <wp:docPr id="13" name="图片 8"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图形用户界面&#10;&#10;描述已自动生成"/>
                    <pic:cNvPicPr>
                      <a:picLocks noChangeAspect="1" noChangeArrowheads="1"/>
                    </pic:cNvPicPr>
                  </pic:nvPicPr>
                  <pic:blipFill>
                    <a:blip r:embed="rId12"/>
                    <a:srcRect/>
                    <a:stretch>
                      <a:fillRect/>
                    </a:stretch>
                  </pic:blipFill>
                  <pic:spPr>
                    <a:xfrm>
                      <a:off x="0" y="0"/>
                      <a:ext cx="5279390" cy="2727325"/>
                    </a:xfrm>
                    <a:prstGeom prst="rect">
                      <a:avLst/>
                    </a:prstGeom>
                    <a:noFill/>
                    <a:ln w="9525">
                      <a:noFill/>
                      <a:miter lim="800000"/>
                      <a:headEnd/>
                      <a:tailEnd/>
                    </a:ln>
                  </pic:spPr>
                </pic:pic>
              </a:graphicData>
            </a:graphic>
          </wp:inline>
        </w:drawing>
      </w:r>
    </w:p>
    <w:p>
      <w:pPr>
        <w:ind w:firstLine="411" w:firstLineChars="196"/>
        <w:rPr>
          <w:rFonts w:ascii="宋体" w:hAnsi="宋体"/>
        </w:rPr>
      </w:pPr>
    </w:p>
    <w:p>
      <w:pPr>
        <w:widowControl/>
        <w:jc w:val="left"/>
        <w:rPr>
          <w:sz w:val="24"/>
        </w:rPr>
      </w:pPr>
    </w:p>
    <w:p>
      <w:pPr>
        <w:rPr>
          <w:rFonts w:ascii="宋体" w:hAnsi="宋体"/>
          <w:b/>
        </w:rPr>
      </w:pPr>
      <w:r>
        <w:rPr>
          <w:rFonts w:hint="eastAsia" w:ascii="宋体" w:hAnsi="宋体"/>
        </w:rPr>
        <w:t xml:space="preserve">   </w:t>
      </w:r>
      <w:r>
        <w:rPr>
          <w:rFonts w:hint="eastAsia" w:ascii="宋体" w:hAnsi="宋体"/>
          <w:b/>
        </w:rPr>
        <w:t xml:space="preserve"> 24.2若采购项目出现延期情况：</w:t>
      </w:r>
    </w:p>
    <w:p>
      <w:pPr>
        <w:ind w:firstLine="421" w:firstLineChars="200"/>
        <w:rPr>
          <w:rFonts w:ascii="黑体" w:hAnsi="宋体" w:eastAsia="黑体"/>
          <w:b/>
          <w:sz w:val="24"/>
        </w:rPr>
      </w:pPr>
      <w:r>
        <w:rPr>
          <w:rFonts w:hint="eastAsia" w:ascii="宋体" w:hAnsi="宋体"/>
          <w:b/>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w:t>
      </w:r>
      <w:r>
        <w:rPr>
          <w:rFonts w:hint="eastAsia" w:ascii="宋体" w:hAnsi="宋体"/>
          <w:b/>
          <w:bCs/>
        </w:rPr>
        <w:t>况确</w:t>
      </w:r>
      <w:r>
        <w:rPr>
          <w:rFonts w:hint="eastAsia" w:ascii="宋体" w:hAnsi="宋体"/>
          <w:b/>
        </w:rPr>
        <w:t>定）。否则，投标人自行承担投标文件无法解密导致投标无效的后果。</w:t>
      </w:r>
    </w:p>
    <w:p>
      <w:pPr>
        <w:rPr>
          <w:rFonts w:ascii="黑体" w:hAnsi="宋体" w:eastAsia="黑体"/>
          <w:sz w:val="24"/>
        </w:rPr>
      </w:pPr>
      <w:r>
        <w:rPr>
          <w:rFonts w:hint="eastAsia" w:ascii="黑体" w:hAnsi="宋体" w:eastAsia="黑体"/>
          <w:sz w:val="24"/>
        </w:rPr>
        <w:t>25.上传投标文件及投标截止日期</w:t>
      </w:r>
    </w:p>
    <w:p>
      <w:pPr>
        <w:ind w:firstLine="411" w:firstLineChars="196"/>
        <w:rPr>
          <w:rFonts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政府采购智慧平台用户网上办事子系统（http://zfcg.szggzy.com:8081/TPBidder/memberLogin）”，用“【我的项目】→【项目流程】→【递交投标(应答)文件】”功能点上传投标文件。如上传过程中遇到问题，可拨打采购公告中的技术支持电话。如多次上传均告失败，请在投标截止时间之前携带加密后的电子投标文件送达</w:t>
      </w:r>
      <w:r>
        <w:rPr>
          <w:rFonts w:hint="eastAsia" w:ascii="宋体" w:hAnsi="宋体"/>
          <w:b/>
          <w:bCs/>
          <w:szCs w:val="21"/>
        </w:rPr>
        <w:t>深圳公共资源交易中心（深圳交易集团有限公司</w:t>
      </w:r>
      <w:r>
        <w:rPr>
          <w:rFonts w:hint="eastAsia" w:ascii="宋体" w:hAnsi="宋体"/>
          <w:b/>
          <w:bCs/>
          <w:szCs w:val="21"/>
          <w:lang w:eastAsia="zh-CN"/>
        </w:rPr>
        <w:t>盐田</w:t>
      </w:r>
      <w:r>
        <w:rPr>
          <w:rFonts w:hint="eastAsia" w:ascii="宋体" w:hAnsi="宋体"/>
          <w:b/>
          <w:bCs/>
          <w:szCs w:val="21"/>
        </w:rPr>
        <w:t>分公司）</w:t>
      </w:r>
      <w:r>
        <w:rPr>
          <w:rFonts w:hint="eastAsia" w:ascii="宋体" w:hAnsi="宋体"/>
          <w:b/>
          <w:bCs/>
        </w:rPr>
        <w:t>（地址：深圳市盐田区海景二路1025号壹海国际中心9楼901）</w:t>
      </w:r>
      <w:r>
        <w:rPr>
          <w:rFonts w:ascii="宋体" w:hAnsi="宋体"/>
          <w:b/>
          <w:bCs/>
        </w:rPr>
        <w:t>协助上传</w:t>
      </w:r>
      <w:r>
        <w:rPr>
          <w:rFonts w:hint="eastAsia" w:ascii="宋体" w:hAnsi="宋体"/>
          <w:b/>
          <w:bCs/>
        </w:rPr>
        <w:t>，</w:t>
      </w:r>
      <w:r>
        <w:rPr>
          <w:rFonts w:ascii="宋体" w:hAnsi="宋体"/>
          <w:b/>
          <w:bCs/>
        </w:rPr>
        <w:t>但上传过程</w:t>
      </w:r>
      <w:r>
        <w:rPr>
          <w:rFonts w:hint="eastAsia" w:ascii="宋体" w:hAnsi="宋体"/>
          <w:b/>
          <w:bCs/>
        </w:rPr>
        <w:t>中</w:t>
      </w:r>
      <w:r>
        <w:rPr>
          <w:rFonts w:ascii="宋体" w:hAnsi="宋体"/>
          <w:b/>
          <w:bCs/>
        </w:rPr>
        <w:t>投标截止时间到达仍无法上传成功的，由投标人自行负责</w:t>
      </w:r>
      <w:r>
        <w:rPr>
          <w:rFonts w:hint="eastAsia" w:ascii="宋体" w:hAnsi="宋体"/>
        </w:rPr>
        <w:t>。</w:t>
      </w:r>
    </w:p>
    <w:p>
      <w:pPr>
        <w:ind w:firstLine="411" w:firstLineChars="196"/>
        <w:rPr>
          <w:rFonts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11" w:firstLineChars="196"/>
        <w:rPr>
          <w:rFonts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pPr>
        <w:ind w:firstLine="411" w:firstLineChars="196"/>
        <w:rPr>
          <w:rFonts w:ascii="宋体" w:hAnsi="宋体"/>
        </w:rPr>
      </w:pPr>
    </w:p>
    <w:bookmarkEnd w:id="65"/>
    <w:p>
      <w:pPr>
        <w:rPr>
          <w:rFonts w:ascii="黑体" w:hAnsi="宋体" w:eastAsia="黑体"/>
          <w:sz w:val="24"/>
        </w:rPr>
      </w:pPr>
      <w:r>
        <w:rPr>
          <w:rFonts w:hint="eastAsia" w:ascii="黑体" w:hAnsi="宋体" w:eastAsia="黑体"/>
          <w:sz w:val="24"/>
        </w:rPr>
        <w:t>26. 样品、现场演示、方案讲解</w:t>
      </w:r>
    </w:p>
    <w:p>
      <w:pPr>
        <w:ind w:firstLine="411" w:firstLineChars="196"/>
        <w:rPr>
          <w:rFonts w:ascii="宋体" w:hAnsi="宋体"/>
          <w:szCs w:val="21"/>
        </w:rPr>
      </w:pPr>
      <w:r>
        <w:rPr>
          <w:rFonts w:hint="eastAsia" w:ascii="宋体" w:hAnsi="宋体"/>
          <w:szCs w:val="21"/>
        </w:rPr>
        <w:t>26.1 样品、现场演示、方案讲解等事项在招标文件专用条款中进行规定。</w:t>
      </w:r>
    </w:p>
    <w:p>
      <w:pPr>
        <w:rPr>
          <w:rFonts w:ascii="黑体" w:hAnsi="宋体" w:eastAsia="黑体"/>
          <w:sz w:val="24"/>
        </w:rPr>
      </w:pPr>
      <w:bookmarkStart w:id="66" w:name="_Hlk72428346"/>
      <w:r>
        <w:rPr>
          <w:rFonts w:hint="eastAsia" w:ascii="黑体" w:hAnsi="宋体" w:eastAsia="黑体"/>
          <w:sz w:val="24"/>
        </w:rPr>
        <w:t>27.</w:t>
      </w:r>
      <w:r>
        <w:rPr>
          <w:rFonts w:ascii="黑体" w:hAnsi="宋体" w:eastAsia="黑体"/>
          <w:sz w:val="24"/>
        </w:rPr>
        <w:t>投标文件的修改和撤销</w:t>
      </w:r>
    </w:p>
    <w:p>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pPr>
        <w:ind w:firstLine="411" w:firstLineChars="196"/>
        <w:rPr>
          <w:rFonts w:ascii="宋体" w:hAnsi="宋体"/>
          <w:szCs w:val="21"/>
        </w:rPr>
      </w:pPr>
      <w:r>
        <w:rPr>
          <w:rFonts w:hint="eastAsia" w:ascii="宋体" w:hAnsi="宋体"/>
          <w:szCs w:val="21"/>
        </w:rPr>
        <w:t>27.4政府集中采购机构不退还投标文件，专用条款另有规定的除外。</w:t>
      </w:r>
    </w:p>
    <w:bookmarkEnd w:id="66"/>
    <w:p>
      <w:pPr>
        <w:pStyle w:val="7"/>
        <w:numPr>
          <w:ilvl w:val="0"/>
          <w:numId w:val="113"/>
        </w:numPr>
        <w:spacing w:before="120" w:beforeLines="50" w:after="120" w:afterLines="50"/>
        <w:ind w:left="562" w:hanging="562"/>
        <w:rPr>
          <w:sz w:val="28"/>
          <w:szCs w:val="28"/>
        </w:rPr>
      </w:pPr>
      <w:r>
        <w:rPr>
          <w:rFonts w:hint="eastAsia"/>
          <w:sz w:val="28"/>
          <w:szCs w:val="28"/>
        </w:rPr>
        <w:t>开标</w:t>
      </w:r>
    </w:p>
    <w:p>
      <w:pPr>
        <w:rPr>
          <w:rFonts w:ascii="黑体" w:hAnsi="宋体" w:eastAsia="黑体"/>
          <w:sz w:val="24"/>
        </w:rPr>
      </w:pPr>
      <w:r>
        <w:rPr>
          <w:rFonts w:hint="eastAsia" w:ascii="黑体" w:hAnsi="宋体" w:eastAsia="黑体"/>
          <w:sz w:val="24"/>
        </w:rPr>
        <w:t>28.开标</w:t>
      </w:r>
    </w:p>
    <w:p>
      <w:pPr>
        <w:ind w:firstLine="315" w:firstLineChars="150"/>
        <w:rPr>
          <w:rFonts w:ascii="宋体" w:hAnsi="宋体"/>
          <w:szCs w:val="21"/>
        </w:rPr>
      </w:pPr>
      <w:r>
        <w:rPr>
          <w:rFonts w:hint="eastAsia" w:ascii="宋体" w:hAnsi="宋体"/>
          <w:szCs w:val="21"/>
        </w:rPr>
        <w:t>28.1投标人须在开标当日的开标时间至解密截止时间内进行解密，逾期未解密的作无效处理。解密方法：登录“深圳政府采购智慧平台用户网上办事子系统（http://zfcg.szggzy.com:8081/TPBidder/memberLogin）”，使用本单位制作电子投标文件同一个电子密钥，在“【我的项目】→【项目流程】→【开标及解密】”进行在线解密、查询开标情况。</w:t>
      </w:r>
    </w:p>
    <w:p>
      <w:pPr>
        <w:ind w:firstLine="315" w:firstLineChars="150"/>
        <w:rPr>
          <w:rFonts w:ascii="宋体" w:hAnsi="宋体"/>
          <w:szCs w:val="21"/>
        </w:rPr>
      </w:pPr>
      <w:r>
        <w:rPr>
          <w:rFonts w:hint="eastAsia" w:ascii="宋体" w:hAnsi="宋体"/>
          <w:szCs w:val="21"/>
        </w:rPr>
        <w:t>28.2 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ascii="宋体" w:hAnsi="宋体"/>
          <w:szCs w:val="21"/>
        </w:rPr>
      </w:pPr>
    </w:p>
    <w:p>
      <w:pPr>
        <w:pStyle w:val="7"/>
        <w:numPr>
          <w:ilvl w:val="0"/>
          <w:numId w:val="113"/>
        </w:numPr>
        <w:spacing w:before="120" w:beforeLines="50" w:after="120" w:afterLines="50"/>
        <w:ind w:left="562" w:hanging="562"/>
        <w:rPr>
          <w:sz w:val="28"/>
          <w:szCs w:val="28"/>
        </w:rPr>
      </w:pPr>
      <w:r>
        <w:rPr>
          <w:rFonts w:hint="eastAsia"/>
          <w:sz w:val="28"/>
          <w:szCs w:val="28"/>
        </w:rPr>
        <w:t>评审要求</w:t>
      </w:r>
    </w:p>
    <w:p>
      <w:pPr>
        <w:rPr>
          <w:rFonts w:ascii="黑体" w:hAnsi="宋体" w:eastAsia="黑体"/>
          <w:sz w:val="24"/>
        </w:rPr>
      </w:pPr>
      <w:r>
        <w:rPr>
          <w:rFonts w:hint="eastAsia" w:ascii="黑体" w:hAnsi="宋体" w:eastAsia="黑体"/>
          <w:sz w:val="24"/>
        </w:rPr>
        <w:t>29.评审委员会组成</w:t>
      </w:r>
    </w:p>
    <w:p>
      <w:pPr>
        <w:ind w:firstLine="411" w:firstLineChars="196"/>
        <w:rPr>
          <w:rFonts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pPr>
        <w:ind w:firstLine="411" w:firstLineChars="196"/>
        <w:rPr>
          <w:rFonts w:ascii="宋体" w:hAnsi="宋体"/>
        </w:rPr>
      </w:pPr>
      <w:bookmarkStart w:id="67" w:name="_Hlk72436580"/>
      <w:r>
        <w:rPr>
          <w:rFonts w:hint="eastAsia" w:ascii="宋体" w:hAnsi="宋体"/>
        </w:rPr>
        <w:t>评审委员会由采购人代表和评审专家组成，成员人数应当为5人以上单数（部分条件下为7人以上单数），其中评审专家不得少于成员总数的三分之二。</w:t>
      </w:r>
      <w:bookmarkEnd w:id="67"/>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pPr>
        <w:ind w:firstLine="411" w:firstLineChars="196"/>
        <w:rPr>
          <w:rFonts w:ascii="宋体" w:hAnsi="宋体"/>
        </w:rPr>
      </w:pPr>
      <w:r>
        <w:rPr>
          <w:rFonts w:hint="eastAsia" w:ascii="宋体" w:hAnsi="宋体"/>
        </w:rPr>
        <w:t>29.2评审定标应当遵循公平、公正、科学、择优的原则。</w:t>
      </w:r>
    </w:p>
    <w:p>
      <w:pPr>
        <w:ind w:firstLine="411" w:firstLineChars="196"/>
        <w:rPr>
          <w:rFonts w:ascii="宋体" w:hAnsi="宋体"/>
        </w:rPr>
      </w:pPr>
      <w:r>
        <w:rPr>
          <w:rFonts w:hint="eastAsia" w:ascii="宋体" w:hAnsi="宋体"/>
        </w:rPr>
        <w:t>29.3评审活动依法进行，任何单位和个人不得非法干预评标过程和结果。</w:t>
      </w:r>
    </w:p>
    <w:p>
      <w:pPr>
        <w:ind w:firstLine="411" w:firstLineChars="196"/>
        <w:rPr>
          <w:rFonts w:ascii="宋体" w:hAnsi="宋体"/>
        </w:rPr>
      </w:pPr>
      <w:r>
        <w:rPr>
          <w:rFonts w:hint="eastAsia" w:ascii="宋体" w:hAnsi="宋体"/>
        </w:rPr>
        <w:t>29.4评审过程中不允许违背评标程序或采用招标文件未载明的评标方法或评标因素进行评标。</w:t>
      </w:r>
    </w:p>
    <w:p>
      <w:pPr>
        <w:ind w:firstLine="411" w:firstLineChars="196"/>
        <w:rPr>
          <w:rFonts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pPr>
        <w:rPr>
          <w:rFonts w:ascii="黑体" w:hAnsi="宋体" w:eastAsia="黑体"/>
          <w:sz w:val="24"/>
        </w:rPr>
      </w:pPr>
      <w:r>
        <w:rPr>
          <w:rFonts w:hint="eastAsia" w:ascii="黑体" w:hAnsi="宋体" w:eastAsia="黑体"/>
          <w:sz w:val="24"/>
        </w:rPr>
        <w:t>30.向评审委员会提供的资料</w:t>
      </w:r>
    </w:p>
    <w:p>
      <w:pPr>
        <w:ind w:firstLine="411" w:firstLineChars="196"/>
        <w:rPr>
          <w:rFonts w:ascii="宋体" w:hAnsi="宋体"/>
        </w:rPr>
      </w:pPr>
      <w:r>
        <w:rPr>
          <w:rFonts w:hint="eastAsia" w:ascii="宋体" w:hAnsi="宋体"/>
        </w:rPr>
        <w:t>30.1公开发布的招标文件，包括图纸、服务清单、答疑文件等；</w:t>
      </w:r>
    </w:p>
    <w:p>
      <w:pPr>
        <w:ind w:firstLine="411" w:firstLineChars="196"/>
        <w:rPr>
          <w:rFonts w:ascii="宋体" w:hAnsi="宋体"/>
        </w:rPr>
      </w:pPr>
      <w:r>
        <w:rPr>
          <w:rFonts w:hint="eastAsia" w:ascii="宋体" w:hAnsi="宋体"/>
        </w:rPr>
        <w:t>30.2其他评标必需的资料。</w:t>
      </w:r>
    </w:p>
    <w:p>
      <w:pPr>
        <w:ind w:firstLine="411" w:firstLineChars="196"/>
        <w:rPr>
          <w:rFonts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pPr>
        <w:ind w:firstLine="411" w:firstLineChars="196"/>
        <w:rPr>
          <w:rFonts w:ascii="宋体" w:hAnsi="宋体"/>
        </w:rPr>
      </w:pPr>
      <w:r>
        <w:rPr>
          <w:rFonts w:hint="eastAsia" w:ascii="宋体" w:hAnsi="宋体"/>
        </w:rPr>
        <w:t>（1）招标的目的；</w:t>
      </w:r>
    </w:p>
    <w:p>
      <w:pPr>
        <w:ind w:firstLine="411" w:firstLineChars="196"/>
        <w:rPr>
          <w:rFonts w:ascii="宋体" w:hAnsi="宋体"/>
        </w:rPr>
      </w:pPr>
      <w:r>
        <w:rPr>
          <w:rFonts w:hint="eastAsia" w:ascii="宋体" w:hAnsi="宋体"/>
        </w:rPr>
        <w:t>（2）招标项目需求的范围和性质；</w:t>
      </w:r>
    </w:p>
    <w:p>
      <w:pPr>
        <w:ind w:firstLine="411" w:firstLineChars="196"/>
        <w:rPr>
          <w:rFonts w:ascii="宋体" w:hAnsi="宋体"/>
        </w:rPr>
      </w:pPr>
      <w:r>
        <w:rPr>
          <w:rFonts w:hint="eastAsia" w:ascii="宋体" w:hAnsi="宋体"/>
        </w:rPr>
        <w:t>（3）招标文件规定的投标人的资格、财政预算限额、商务条款；</w:t>
      </w:r>
    </w:p>
    <w:p>
      <w:pPr>
        <w:ind w:firstLine="411" w:firstLineChars="196"/>
        <w:rPr>
          <w:rFonts w:ascii="宋体" w:hAnsi="宋体"/>
        </w:rPr>
      </w:pPr>
      <w:r>
        <w:rPr>
          <w:rFonts w:hint="eastAsia" w:ascii="宋体" w:hAnsi="宋体"/>
        </w:rPr>
        <w:t>（4）招标文件规定的评标程序、评标方法和评标因素；</w:t>
      </w:r>
    </w:p>
    <w:p>
      <w:pPr>
        <w:ind w:firstLine="411" w:firstLineChars="196"/>
        <w:rPr>
          <w:rFonts w:ascii="宋体" w:hAnsi="宋体"/>
        </w:rPr>
      </w:pPr>
      <w:r>
        <w:rPr>
          <w:rFonts w:hint="eastAsia" w:ascii="宋体" w:hAnsi="宋体"/>
        </w:rPr>
        <w:t>（5）招标文件所列示的资格性审查表及符合性审查表。</w:t>
      </w:r>
    </w:p>
    <w:p>
      <w:pPr>
        <w:rPr>
          <w:rFonts w:ascii="黑体" w:hAnsi="宋体" w:eastAsia="黑体"/>
          <w:sz w:val="24"/>
        </w:rPr>
      </w:pPr>
      <w:r>
        <w:rPr>
          <w:rFonts w:hint="eastAsia" w:ascii="黑体" w:hAnsi="宋体" w:eastAsia="黑体"/>
          <w:sz w:val="24"/>
        </w:rPr>
        <w:t>31.独立评审</w:t>
      </w:r>
    </w:p>
    <w:p>
      <w:pPr>
        <w:ind w:firstLine="411" w:firstLineChars="196"/>
        <w:rPr>
          <w:rFonts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pPr>
        <w:ind w:firstLine="411" w:firstLineChars="196"/>
        <w:rPr>
          <w:rFonts w:ascii="宋体" w:hAnsi="宋体"/>
          <w:bCs/>
          <w:szCs w:val="21"/>
        </w:rPr>
      </w:pPr>
    </w:p>
    <w:p>
      <w:pPr>
        <w:pStyle w:val="7"/>
        <w:numPr>
          <w:ilvl w:val="0"/>
          <w:numId w:val="113"/>
        </w:numPr>
        <w:spacing w:before="120" w:beforeLines="50" w:after="120" w:afterLines="50"/>
        <w:ind w:left="562" w:hanging="562"/>
        <w:rPr>
          <w:sz w:val="28"/>
          <w:szCs w:val="28"/>
        </w:rPr>
      </w:pPr>
      <w:r>
        <w:rPr>
          <w:rFonts w:hint="eastAsia"/>
          <w:sz w:val="28"/>
          <w:szCs w:val="28"/>
        </w:rPr>
        <w:t>评审程序及评审方法</w:t>
      </w:r>
    </w:p>
    <w:p>
      <w:pPr>
        <w:rPr>
          <w:rFonts w:ascii="黑体" w:hAnsi="宋体" w:eastAsia="黑体"/>
          <w:sz w:val="24"/>
        </w:rPr>
      </w:pPr>
      <w:r>
        <w:rPr>
          <w:rFonts w:hint="eastAsia" w:ascii="黑体" w:hAnsi="宋体" w:eastAsia="黑体"/>
          <w:sz w:val="24"/>
        </w:rPr>
        <w:t>32.投标文件初审</w:t>
      </w:r>
    </w:p>
    <w:p>
      <w:pPr>
        <w:ind w:firstLine="411" w:firstLineChars="196"/>
        <w:rPr>
          <w:rFonts w:ascii="宋体" w:hAnsi="宋体"/>
        </w:rPr>
      </w:pPr>
      <w:r>
        <w:rPr>
          <w:rFonts w:hint="eastAsia" w:ascii="宋体" w:hAnsi="宋体"/>
        </w:rPr>
        <w:t>32.1投标文件初审包括资格性审查、符合性审查和异常低价审查。</w:t>
      </w:r>
    </w:p>
    <w:p>
      <w:pPr>
        <w:ind w:firstLine="411" w:firstLineChars="196"/>
        <w:rPr>
          <w:rFonts w:ascii="宋体" w:hAnsi="宋体"/>
        </w:rPr>
      </w:pPr>
      <w:r>
        <w:rPr>
          <w:rFonts w:hint="eastAsia" w:ascii="宋体" w:hAnsi="宋体"/>
        </w:rPr>
        <w:t>资格性审查：依据法律法规和招标文件的规定，对投标文件中的资格证明等进行审查，以确定投标供应商是否具备投标资格。</w:t>
      </w:r>
    </w:p>
    <w:p>
      <w:pPr>
        <w:ind w:firstLine="411" w:firstLineChars="196"/>
        <w:rPr>
          <w:rFonts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pPr>
        <w:pStyle w:val="2"/>
        <w:spacing w:line="240" w:lineRule="auto"/>
        <w:ind w:firstLine="420" w:firstLineChars="200"/>
        <w:rPr>
          <w:rFonts w:ascii="宋体" w:hAnsi="宋体"/>
          <w:b w:val="0"/>
          <w:bCs w:val="0"/>
          <w:sz w:val="21"/>
        </w:rPr>
      </w:pPr>
      <w:r>
        <w:rPr>
          <w:rFonts w:hint="eastAsia" w:ascii="宋体" w:hAnsi="宋体"/>
          <w:b w:val="0"/>
          <w:bCs w:val="0"/>
          <w:sz w:val="21"/>
        </w:rPr>
        <w:t>异常低价审查：依据招标文件的规定，对投标报价合理性进行审查，以确定是否存在异常低价情形。</w:t>
      </w:r>
    </w:p>
    <w:p>
      <w:pPr>
        <w:ind w:firstLine="413" w:firstLineChars="196"/>
        <w:rPr>
          <w:rFonts w:ascii="宋体" w:hAnsi="宋体"/>
          <w:b/>
          <w:bCs/>
          <w:color w:val="FF0000"/>
        </w:rPr>
      </w:pPr>
      <w:r>
        <w:rPr>
          <w:rFonts w:hint="eastAsia" w:ascii="宋体" w:hAnsi="宋体"/>
          <w:b/>
          <w:bCs/>
          <w:color w:val="FF0000"/>
        </w:rPr>
        <w:t>32.2 投标文件初审内容详见《资格性审查表》《符合性审查表》《异常低价审查表》部分。投标人若有一条审查不通过则按投标无效处理。</w:t>
      </w:r>
    </w:p>
    <w:p>
      <w:pPr>
        <w:ind w:firstLine="411" w:firstLineChars="196"/>
        <w:rPr>
          <w:rFonts w:ascii="宋体" w:hAnsi="宋体"/>
          <w:bCs/>
        </w:rPr>
      </w:pPr>
      <w:r>
        <w:rPr>
          <w:rFonts w:hint="eastAsia" w:ascii="宋体" w:hAnsi="宋体"/>
          <w:bCs/>
        </w:rPr>
        <w:t>32.3 投标文件初审中关于供应商家数的计算：</w:t>
      </w:r>
    </w:p>
    <w:p>
      <w:pPr>
        <w:ind w:firstLine="411" w:firstLineChars="196"/>
        <w:rPr>
          <w:rFonts w:ascii="宋体" w:hAnsi="宋体"/>
          <w:bCs/>
        </w:rPr>
      </w:pPr>
      <w:r>
        <w:rPr>
          <w:rFonts w:hint="eastAsia" w:ascii="宋体" w:hAnsi="宋体"/>
          <w:bCs/>
        </w:rPr>
        <w:t>32.3.1采用最低价法的采购项目，提供相同品牌产品的不同投标人参加同一合同项下投标的，以其中通过投标文件初审且报价最低的参加评标；报价相同的，由采购人或者采购人委托评审委员会按照招标文件规定的方式确定一个参加评审的投标人，招标文件未规定的采取随机抽取方式确定，其他投标无效。</w:t>
      </w:r>
    </w:p>
    <w:p>
      <w:pPr>
        <w:ind w:firstLine="411" w:firstLineChars="196"/>
        <w:rPr>
          <w:rFonts w:ascii="宋体" w:hAnsi="宋体"/>
          <w:bCs/>
        </w:rPr>
      </w:pPr>
      <w:r>
        <w:rPr>
          <w:rFonts w:hint="eastAsia" w:ascii="宋体" w:hAnsi="宋体"/>
          <w:bCs/>
        </w:rPr>
        <w:t>32.3.2采用综合评分法的采购项目，提供相同品牌产品且通过投标文件初审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pPr>
        <w:ind w:firstLine="411" w:firstLineChars="196"/>
        <w:rPr>
          <w:rFonts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pPr>
        <w:ind w:firstLine="411" w:firstLineChars="196"/>
        <w:rPr>
          <w:rFonts w:ascii="宋体" w:hAnsi="宋体"/>
        </w:rPr>
      </w:pPr>
      <w:r>
        <w:rPr>
          <w:rFonts w:hint="eastAsia" w:ascii="宋体" w:hAnsi="宋体"/>
        </w:rPr>
        <w:t>32.4投标人投标文件出现以下情形之一的作无效处理，具体包括：</w:t>
      </w:r>
    </w:p>
    <w:p>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pPr>
        <w:ind w:firstLine="411" w:firstLineChars="196"/>
        <w:rPr>
          <w:rFonts w:ascii="宋体" w:hAnsi="宋体"/>
        </w:rPr>
      </w:pPr>
      <w:r>
        <w:rPr>
          <w:rFonts w:hint="eastAsia" w:ascii="宋体" w:hAnsi="宋体"/>
        </w:rPr>
        <w:t>32.4.3不同投标人的投标文件载明的项目管理成员或者联系人员为同一人；</w:t>
      </w:r>
    </w:p>
    <w:p>
      <w:pPr>
        <w:ind w:firstLine="411" w:firstLineChars="196"/>
        <w:rPr>
          <w:rFonts w:ascii="宋体" w:hAnsi="宋体"/>
        </w:rPr>
      </w:pPr>
      <w:r>
        <w:rPr>
          <w:rFonts w:hint="eastAsia" w:ascii="宋体" w:hAnsi="宋体"/>
        </w:rPr>
        <w:t>32.4.4不同投标人的投标文件异常一致或者投标报价呈规律性差异；</w:t>
      </w:r>
    </w:p>
    <w:p>
      <w:pPr>
        <w:ind w:firstLine="411" w:firstLineChars="196"/>
        <w:rPr>
          <w:rFonts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pPr>
        <w:ind w:firstLine="411" w:firstLineChars="196"/>
        <w:rPr>
          <w:rFonts w:ascii="宋体" w:hAnsi="宋体"/>
        </w:rPr>
      </w:pPr>
      <w:r>
        <w:rPr>
          <w:rFonts w:hint="eastAsia" w:ascii="宋体" w:hAnsi="宋体"/>
        </w:rPr>
        <w:t>32.4.6投标供应商之间相互约定给予未中标的供应商利益补偿；</w:t>
      </w:r>
    </w:p>
    <w:p>
      <w:pPr>
        <w:ind w:firstLine="411" w:firstLineChars="196"/>
        <w:rPr>
          <w:rFonts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pPr>
        <w:ind w:firstLine="411" w:firstLineChars="196"/>
        <w:rPr>
          <w:rFonts w:ascii="宋体" w:hAnsi="宋体"/>
        </w:rPr>
      </w:pPr>
      <w:r>
        <w:rPr>
          <w:rFonts w:hint="eastAsia" w:ascii="宋体" w:hAnsi="宋体"/>
        </w:rPr>
        <w:t>32.4.8不同投标供应商的投标文件内容存在非正常一致；</w:t>
      </w:r>
    </w:p>
    <w:p>
      <w:pPr>
        <w:ind w:firstLine="411" w:firstLineChars="196"/>
        <w:rPr>
          <w:rFonts w:ascii="宋体" w:hAnsi="宋体"/>
        </w:rPr>
      </w:pPr>
      <w:r>
        <w:rPr>
          <w:rFonts w:hint="eastAsia" w:ascii="宋体" w:hAnsi="宋体"/>
        </w:rPr>
        <w:t>32.4.9在同一单位工作人员为两家以上（含两家）供应商进行同一项投标活动；</w:t>
      </w:r>
    </w:p>
    <w:p>
      <w:pPr>
        <w:ind w:firstLine="411" w:firstLineChars="196"/>
        <w:rPr>
          <w:rFonts w:ascii="宋体" w:hAnsi="宋体"/>
        </w:rPr>
      </w:pPr>
      <w:r>
        <w:rPr>
          <w:rFonts w:hint="eastAsia" w:ascii="宋体" w:hAnsi="宋体"/>
        </w:rPr>
        <w:t>32.4.10主管部门依照法律、法规认定的其他情形。</w:t>
      </w:r>
    </w:p>
    <w:p>
      <w:pPr>
        <w:ind w:firstLine="420" w:firstLineChars="200"/>
        <w:rPr>
          <w:rFonts w:ascii="宋体" w:hAnsi="宋体"/>
          <w:color w:val="FF0000"/>
        </w:rPr>
      </w:pPr>
      <w:r>
        <w:rPr>
          <w:rFonts w:hint="eastAsia" w:ascii="宋体" w:hAnsi="宋体"/>
          <w:color w:val="FF0000"/>
        </w:rPr>
        <w:t>32.5政府采购异常低价审查的程序及要求：</w:t>
      </w:r>
    </w:p>
    <w:p>
      <w:pPr>
        <w:ind w:firstLine="420" w:firstLineChars="200"/>
        <w:rPr>
          <w:rFonts w:ascii="宋体" w:hAnsi="宋体"/>
          <w:color w:val="FF0000"/>
        </w:rPr>
      </w:pPr>
      <w:r>
        <w:rPr>
          <w:rFonts w:hint="eastAsia" w:ascii="宋体" w:hAnsi="宋体"/>
          <w:color w:val="FF0000"/>
        </w:rPr>
        <w:t>32.5.1政府采购评审中出现《异常低价审查表》中四种情形之一的，评审委员会应当启动异常低价投标（响应）审查程序。</w:t>
      </w:r>
    </w:p>
    <w:p>
      <w:pPr>
        <w:ind w:firstLine="420" w:firstLineChars="200"/>
        <w:rPr>
          <w:rFonts w:ascii="宋体" w:hAnsi="宋体"/>
          <w:color w:val="FF0000"/>
        </w:rPr>
      </w:pPr>
      <w:r>
        <w:rPr>
          <w:rFonts w:hint="eastAsia" w:ascii="宋体" w:hAnsi="宋体"/>
          <w:color w:val="FF0000"/>
        </w:rPr>
        <w:t>相关法律法规对供应商报价有规定的，从其规定。</w:t>
      </w:r>
    </w:p>
    <w:p>
      <w:pPr>
        <w:pStyle w:val="192"/>
        <w:ind w:firstLine="420" w:firstLineChars="200"/>
        <w:rPr>
          <w:rFonts w:ascii="宋体" w:hAnsi="宋体"/>
          <w:color w:val="FF0000"/>
        </w:rPr>
      </w:pPr>
      <w:r>
        <w:rPr>
          <w:rFonts w:hint="eastAsia" w:ascii="宋体" w:hAnsi="宋体"/>
          <w:color w:val="FF0000"/>
        </w:rPr>
        <w:t>32.5.2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192"/>
        <w:ind w:firstLine="420" w:firstLineChars="200"/>
        <w:rPr>
          <w:rFonts w:ascii="宋体" w:hAnsi="宋体"/>
        </w:rPr>
      </w:pPr>
      <w:r>
        <w:rPr>
          <w:rFonts w:hint="eastAsia" w:ascii="宋体" w:hAnsi="宋体"/>
          <w:color w:val="FF0000"/>
        </w:rPr>
        <w:t>32.5.3异常低价投标（响应）审查的启动原因、审查意见和审查结果应当在评审报告中记录，并随供应商提供的相关书面说明及证明材料，以及评审委员会有关互联网浏览、查询历史一并归档。</w:t>
      </w:r>
    </w:p>
    <w:p>
      <w:pPr>
        <w:ind w:firstLine="411" w:firstLineChars="196"/>
        <w:rPr>
          <w:rFonts w:ascii="宋体" w:hAnsi="宋体"/>
        </w:rPr>
      </w:pPr>
      <w:r>
        <w:rPr>
          <w:rFonts w:hint="eastAsia" w:ascii="宋体" w:hAnsi="宋体"/>
        </w:rPr>
        <w:t>32.6对不属于《资格性审查表》《符合性审查表》《异常低价审查表》所列的其他情形，除专用条款另有规定和32.4条款所列情形外，不得作为投标无效的理由。</w:t>
      </w:r>
    </w:p>
    <w:p>
      <w:pPr>
        <w:rPr>
          <w:rFonts w:ascii="黑体" w:hAnsi="宋体" w:eastAsia="黑体"/>
          <w:sz w:val="24"/>
        </w:rPr>
      </w:pPr>
      <w:r>
        <w:rPr>
          <w:rFonts w:hint="eastAsia" w:ascii="黑体" w:hAnsi="宋体" w:eastAsia="黑体"/>
          <w:sz w:val="24"/>
        </w:rPr>
        <w:t>33.澄清有关问题</w:t>
      </w:r>
    </w:p>
    <w:p>
      <w:pPr>
        <w:ind w:firstLine="411" w:firstLineChars="196"/>
        <w:rPr>
          <w:rFonts w:ascii="宋体" w:hAnsi="宋体"/>
        </w:rPr>
      </w:pPr>
      <w:bookmarkStart w:id="68"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68"/>
    </w:p>
    <w:p>
      <w:pPr>
        <w:ind w:firstLine="411" w:firstLineChars="196"/>
        <w:rPr>
          <w:rFonts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pPr>
        <w:ind w:firstLine="411" w:firstLineChars="196"/>
        <w:rPr>
          <w:rFonts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pPr>
        <w:ind w:firstLine="411" w:firstLineChars="196"/>
        <w:rPr>
          <w:rFonts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11" w:firstLineChars="196"/>
        <w:rPr>
          <w:rFonts w:ascii="宋体" w:hAnsi="宋体"/>
          <w:szCs w:val="21"/>
        </w:rPr>
      </w:pPr>
      <w:r>
        <w:rPr>
          <w:rFonts w:hint="eastAsia" w:ascii="宋体" w:hAnsi="宋体"/>
          <w:szCs w:val="21"/>
        </w:rPr>
        <w:t>根据本通用条款第34条，凡属于评审委员会在评审中发现的算术错误进行核实的修改不在此列。</w:t>
      </w:r>
    </w:p>
    <w:p>
      <w:pPr>
        <w:rPr>
          <w:rFonts w:ascii="黑体" w:hAnsi="宋体" w:eastAsia="黑体"/>
          <w:sz w:val="24"/>
        </w:rPr>
      </w:pPr>
      <w:bookmarkStart w:id="69" w:name="_Toc73521581"/>
      <w:bookmarkStart w:id="70" w:name="_Toc100052400"/>
      <w:bookmarkStart w:id="71" w:name="_Toc73521669"/>
      <w:bookmarkStart w:id="72" w:name="_Toc73518151"/>
      <w:bookmarkStart w:id="73" w:name="_Toc73517673"/>
      <w:r>
        <w:rPr>
          <w:rFonts w:hint="eastAsia" w:ascii="黑体" w:hAnsi="宋体" w:eastAsia="黑体"/>
          <w:sz w:val="24"/>
        </w:rPr>
        <w:t>34.错误的修正</w:t>
      </w:r>
      <w:bookmarkEnd w:id="69"/>
      <w:bookmarkEnd w:id="70"/>
      <w:bookmarkEnd w:id="71"/>
      <w:bookmarkEnd w:id="72"/>
      <w:bookmarkEnd w:id="73"/>
    </w:p>
    <w:p>
      <w:pPr>
        <w:ind w:firstLine="411" w:firstLineChars="196"/>
        <w:rPr>
          <w:rFonts w:ascii="宋体" w:hAnsi="宋体"/>
          <w:szCs w:val="21"/>
        </w:rPr>
      </w:pPr>
      <w:r>
        <w:rPr>
          <w:rFonts w:hint="eastAsia" w:ascii="宋体" w:hAnsi="宋体"/>
          <w:szCs w:val="21"/>
        </w:rPr>
        <w:t>投标文件报价出现前后不一致的，除专用条款另有规定外，按照下列规定修正：</w:t>
      </w:r>
    </w:p>
    <w:p>
      <w:pPr>
        <w:ind w:firstLine="411" w:firstLineChars="196"/>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11" w:firstLineChars="196"/>
        <w:rPr>
          <w:rFonts w:ascii="宋体" w:hAnsi="宋体"/>
          <w:szCs w:val="21"/>
        </w:rPr>
      </w:pPr>
      <w:r>
        <w:rPr>
          <w:rFonts w:hint="eastAsia" w:ascii="宋体" w:hAnsi="宋体"/>
          <w:szCs w:val="21"/>
        </w:rPr>
        <w:t>34.2大写金额和小写金额不一致的，以大写金额为准；</w:t>
      </w:r>
    </w:p>
    <w:p>
      <w:pPr>
        <w:ind w:firstLine="411" w:firstLineChars="196"/>
        <w:rPr>
          <w:rFonts w:ascii="宋体" w:hAnsi="宋体"/>
          <w:szCs w:val="21"/>
        </w:rPr>
      </w:pPr>
      <w:r>
        <w:rPr>
          <w:rFonts w:hint="eastAsia" w:ascii="宋体" w:hAnsi="宋体"/>
          <w:szCs w:val="21"/>
        </w:rPr>
        <w:t>34.3单价金额小数点或者百分比有明显错位，以开标一览表的总价为准，并修改单价；</w:t>
      </w:r>
    </w:p>
    <w:p>
      <w:pPr>
        <w:ind w:firstLine="411" w:firstLineChars="196"/>
        <w:rPr>
          <w:rFonts w:ascii="宋体" w:hAnsi="宋体"/>
          <w:szCs w:val="21"/>
        </w:rPr>
      </w:pPr>
      <w:r>
        <w:rPr>
          <w:rFonts w:hint="eastAsia" w:ascii="宋体" w:hAnsi="宋体"/>
          <w:szCs w:val="21"/>
        </w:rPr>
        <w:t>34.4总价金额与按单价汇总金额不一致的，以单价金额计算结果为准。</w:t>
      </w:r>
    </w:p>
    <w:p>
      <w:pPr>
        <w:ind w:firstLine="411" w:firstLineChars="196"/>
        <w:rPr>
          <w:rFonts w:ascii="宋体" w:hAnsi="宋体"/>
          <w:szCs w:val="21"/>
        </w:rPr>
      </w:pPr>
      <w:r>
        <w:rPr>
          <w:rFonts w:hint="eastAsia" w:ascii="宋体" w:hAnsi="宋体"/>
          <w:szCs w:val="21"/>
        </w:rPr>
        <w:t>34.5同时出现两种以上不一致的，按照前款规定的顺序修正。修正后的报价按照本通用条款第33条的规定，经投标人确认后产生约束力，投标人不确认的，其投标无效。</w:t>
      </w:r>
    </w:p>
    <w:p>
      <w:pPr>
        <w:rPr>
          <w:rFonts w:ascii="黑体" w:hAnsi="宋体" w:eastAsia="黑体"/>
          <w:sz w:val="24"/>
        </w:rPr>
      </w:pPr>
      <w:r>
        <w:rPr>
          <w:rFonts w:hint="eastAsia" w:ascii="黑体" w:hAnsi="宋体" w:eastAsia="黑体"/>
          <w:sz w:val="24"/>
        </w:rPr>
        <w:t>35.投标文件的比较与评价</w:t>
      </w:r>
    </w:p>
    <w:p>
      <w:pPr>
        <w:ind w:firstLine="411" w:firstLineChars="196"/>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投标文件初审的投标文件进行综合比较与评价。</w:t>
      </w:r>
    </w:p>
    <w:p>
      <w:pPr>
        <w:ind w:firstLine="411" w:firstLineChars="196"/>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rPr>
          <w:rFonts w:ascii="黑体" w:hAnsi="宋体" w:eastAsia="黑体"/>
          <w:sz w:val="24"/>
        </w:rPr>
      </w:pPr>
      <w:r>
        <w:rPr>
          <w:rFonts w:hint="eastAsia" w:ascii="黑体" w:hAnsi="宋体" w:eastAsia="黑体"/>
          <w:sz w:val="24"/>
        </w:rPr>
        <w:t>36.评审方法</w:t>
      </w:r>
    </w:p>
    <w:p>
      <w:pPr>
        <w:ind w:firstLine="413" w:firstLineChars="196"/>
        <w:rPr>
          <w:rFonts w:ascii="宋体" w:hAnsi="宋体"/>
          <w:b/>
          <w:bCs/>
          <w:szCs w:val="21"/>
        </w:rPr>
      </w:pPr>
      <w:r>
        <w:rPr>
          <w:rFonts w:hint="eastAsia" w:ascii="宋体" w:hAnsi="宋体"/>
          <w:b/>
          <w:bCs/>
          <w:szCs w:val="21"/>
        </w:rPr>
        <w:t>36.1.1最低价法</w:t>
      </w:r>
    </w:p>
    <w:p>
      <w:pPr>
        <w:ind w:firstLine="411" w:firstLineChars="196"/>
        <w:rPr>
          <w:rFonts w:hint="eastAsia" w:ascii="ˎ̥" w:hAnsi="ˎ̥"/>
        </w:rPr>
      </w:pPr>
      <w:bookmarkStart w:id="74" w:name="_Hlk72438142"/>
      <w:r>
        <w:rPr>
          <w:rFonts w:ascii="ˎ̥" w:hAnsi="ˎ̥"/>
        </w:rPr>
        <w:t>最低价法，是指</w:t>
      </w:r>
      <w:r>
        <w:rPr>
          <w:rFonts w:hint="eastAsia" w:ascii="ˎ̥" w:hAnsi="ˎ̥"/>
        </w:rPr>
        <w:t>完全</w:t>
      </w:r>
      <w:r>
        <w:rPr>
          <w:rFonts w:ascii="ˎ̥" w:hAnsi="ˎ̥"/>
        </w:rPr>
        <w:t>满足招标文件实质性要求，</w:t>
      </w:r>
      <w:r>
        <w:rPr>
          <w:rFonts w:hint="eastAsia" w:ascii="ˎ̥" w:hAnsi="ˎ̥"/>
        </w:rPr>
        <w:t>按照报价由低到高的顺序，依据招标文件中规定的数量或者比例推荐候选中标供应商。</w:t>
      </w:r>
    </w:p>
    <w:p>
      <w:pPr>
        <w:ind w:firstLine="411" w:firstLineChars="196"/>
        <w:rPr>
          <w:rFonts w:hint="eastAsia" w:ascii="ˎ̥" w:hAnsi="ˎ̥"/>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如中标候选人数量为2家或以上的，则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以此类推）。中标候选人并列的，由采购人或者采购人委托评标委员会按照招标文件规定的方式确定中标人；招标文件未规定的，采取随机抽取的方式确定，具体操作办法及流程由评审委员会确定。</w:t>
      </w:r>
    </w:p>
    <w:p>
      <w:pPr>
        <w:ind w:firstLine="413" w:firstLineChars="196"/>
        <w:rPr>
          <w:rFonts w:ascii="宋体" w:hAnsi="宋体"/>
          <w:b/>
          <w:bCs/>
          <w:szCs w:val="21"/>
        </w:rPr>
      </w:pPr>
      <w:r>
        <w:rPr>
          <w:rFonts w:hint="eastAsia" w:ascii="宋体" w:hAnsi="宋体"/>
          <w:b/>
          <w:bCs/>
          <w:szCs w:val="21"/>
        </w:rPr>
        <w:t>36.1.2综合评分法</w:t>
      </w:r>
    </w:p>
    <w:p>
      <w:pPr>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bookmarkEnd w:id="74"/>
    </w:p>
    <w:p>
      <w:pPr>
        <w:pStyle w:val="2"/>
        <w:spacing w:line="240" w:lineRule="auto"/>
        <w:ind w:firstLine="420" w:firstLineChars="200"/>
        <w:rPr>
          <w:rFonts w:hint="eastAsia" w:ascii="ˎ̥" w:hAnsi="ˎ̥"/>
          <w:b w:val="0"/>
          <w:bCs w:val="0"/>
          <w:sz w:val="21"/>
        </w:rPr>
      </w:pPr>
      <w:r>
        <w:rPr>
          <w:rFonts w:hint="eastAsia" w:ascii="ˎ̥" w:hAnsi="ˎ̥"/>
          <w:b w:val="0"/>
          <w:bCs w:val="0"/>
          <w:sz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如中标候选人数量为2家或以上的，则排名第二的投标人为第一替补中标候选人、排名第三的投标人为第二替补中标候选人，以此类推）。中标候选人并列的，由采购人或者采购人委托评标委员会按照招标文件规定的方式确定中标人；招标文件未规定的，采取随机抽取的方式确定，具体操作办法及流程由评审委员会确定。</w:t>
      </w:r>
    </w:p>
    <w:p>
      <w:pPr>
        <w:ind w:firstLine="411" w:firstLineChars="196"/>
        <w:rPr>
          <w:rFonts w:ascii="宋体" w:hAnsi="宋体"/>
          <w:b/>
          <w:bCs/>
          <w:szCs w:val="21"/>
        </w:rPr>
      </w:pPr>
      <w:r>
        <w:rPr>
          <w:rFonts w:hint="eastAsia" w:ascii="ˎ̥" w:hAnsi="ˎ̥"/>
        </w:rPr>
        <w:t>3</w:t>
      </w:r>
      <w:r>
        <w:rPr>
          <w:rFonts w:hint="eastAsia" w:ascii="宋体" w:hAnsi="宋体"/>
          <w:b/>
          <w:bCs/>
          <w:szCs w:val="21"/>
        </w:rPr>
        <w:t>6.2 本项目采用的评审方法见本项目招标文件第一册“专用条款”的相关内容。</w:t>
      </w:r>
    </w:p>
    <w:p>
      <w:pPr>
        <w:ind w:firstLine="413" w:firstLineChars="196"/>
        <w:rPr>
          <w:rFonts w:ascii="宋体" w:hAnsi="宋体"/>
          <w:b/>
          <w:bCs/>
          <w:szCs w:val="21"/>
        </w:rPr>
      </w:pPr>
      <w:r>
        <w:rPr>
          <w:rFonts w:hint="eastAsia" w:ascii="宋体" w:hAnsi="宋体"/>
          <w:b/>
          <w:bCs/>
          <w:szCs w:val="21"/>
        </w:rPr>
        <w:t>36.3重新评审的情形</w:t>
      </w:r>
    </w:p>
    <w:p>
      <w:pPr>
        <w:ind w:firstLine="411" w:firstLineChars="196"/>
        <w:rPr>
          <w:rFonts w:ascii="宋体" w:hAnsi="宋体"/>
          <w:b/>
          <w:bCs/>
          <w:szCs w:val="21"/>
        </w:rPr>
      </w:pPr>
      <w:r>
        <w:rPr>
          <w:rFonts w:hint="eastAsia" w:ascii="宋体" w:hAnsi="宋体" w:cs="宋体"/>
          <w:kern w:val="0"/>
          <w:szCs w:val="21"/>
        </w:rPr>
        <w:t>评审结果汇总完成后，除下列情形外，任何人不得修改评审结果：</w:t>
      </w:r>
    </w:p>
    <w:p>
      <w:pPr>
        <w:ind w:firstLine="411" w:firstLineChars="196"/>
        <w:rPr>
          <w:rFonts w:ascii="宋体" w:hAnsi="宋体" w:cs="宋体"/>
          <w:kern w:val="0"/>
          <w:szCs w:val="21"/>
        </w:rPr>
      </w:pPr>
      <w:r>
        <w:rPr>
          <w:rFonts w:hint="eastAsia" w:ascii="宋体" w:hAnsi="宋体" w:cs="宋体"/>
          <w:kern w:val="0"/>
          <w:szCs w:val="21"/>
        </w:rPr>
        <w:t>36.3.1分值汇总计算错误的；</w:t>
      </w:r>
    </w:p>
    <w:p>
      <w:pPr>
        <w:ind w:firstLine="411" w:firstLineChars="196"/>
        <w:rPr>
          <w:rFonts w:ascii="宋体" w:hAnsi="宋体" w:cs="宋体"/>
          <w:kern w:val="0"/>
          <w:szCs w:val="21"/>
        </w:rPr>
      </w:pPr>
      <w:r>
        <w:rPr>
          <w:rFonts w:hint="eastAsia" w:ascii="宋体" w:hAnsi="宋体" w:cs="宋体"/>
          <w:kern w:val="0"/>
          <w:szCs w:val="21"/>
        </w:rPr>
        <w:t>36.3.2分项评分超出评分标准范围的；</w:t>
      </w:r>
    </w:p>
    <w:p>
      <w:pPr>
        <w:ind w:firstLine="411" w:firstLineChars="196"/>
        <w:rPr>
          <w:rFonts w:ascii="宋体" w:hAnsi="宋体" w:cs="宋体"/>
          <w:kern w:val="0"/>
          <w:szCs w:val="21"/>
        </w:rPr>
      </w:pPr>
      <w:r>
        <w:rPr>
          <w:rFonts w:hint="eastAsia" w:ascii="宋体" w:hAnsi="宋体" w:cs="宋体"/>
          <w:kern w:val="0"/>
          <w:szCs w:val="21"/>
        </w:rPr>
        <w:t>36.3.3评审委员会成员对客观评审因素评分不一致的；</w:t>
      </w:r>
    </w:p>
    <w:p>
      <w:pPr>
        <w:ind w:firstLine="411" w:firstLineChars="196"/>
        <w:rPr>
          <w:rFonts w:ascii="宋体" w:hAnsi="宋体" w:cs="宋体"/>
          <w:kern w:val="0"/>
          <w:szCs w:val="21"/>
        </w:rPr>
      </w:pPr>
      <w:r>
        <w:rPr>
          <w:rFonts w:hint="eastAsia" w:ascii="宋体" w:hAnsi="宋体" w:cs="宋体"/>
          <w:kern w:val="0"/>
          <w:szCs w:val="21"/>
        </w:rPr>
        <w:t>36.3.4经评审委员会认定评分畸高、畸低的。</w:t>
      </w:r>
    </w:p>
    <w:p>
      <w:pPr>
        <w:ind w:firstLine="411" w:firstLineChars="196"/>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11" w:firstLineChars="196"/>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13" w:firstLineChars="196"/>
        <w:rPr>
          <w:rFonts w:ascii="宋体" w:hAnsi="宋体"/>
          <w:b/>
          <w:bCs/>
          <w:szCs w:val="21"/>
        </w:rPr>
      </w:pPr>
      <w:r>
        <w:rPr>
          <w:rFonts w:hint="eastAsia" w:ascii="宋体" w:hAnsi="宋体"/>
          <w:b/>
          <w:bCs/>
          <w:szCs w:val="21"/>
        </w:rPr>
        <w:t>36.4重新组建评审委员会的情形</w:t>
      </w:r>
    </w:p>
    <w:p>
      <w:pPr>
        <w:ind w:firstLine="411" w:firstLineChars="196"/>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11" w:firstLineChars="196"/>
        <w:rPr>
          <w:rFonts w:ascii="宋体" w:hAnsi="宋体" w:cs="宋体"/>
          <w:kern w:val="0"/>
          <w:szCs w:val="21"/>
        </w:rPr>
      </w:pPr>
      <w:r>
        <w:rPr>
          <w:rFonts w:hint="eastAsia" w:ascii="宋体" w:hAnsi="宋体" w:cs="宋体"/>
          <w:kern w:val="0"/>
          <w:szCs w:val="21"/>
        </w:rPr>
        <w:t>36.4.1评审委员会组成不符合《政府采购货物和服务招标投标管理办法》规定的；</w:t>
      </w:r>
    </w:p>
    <w:p>
      <w:pPr>
        <w:ind w:firstLine="411" w:firstLineChars="196"/>
        <w:rPr>
          <w:rFonts w:ascii="宋体" w:hAnsi="宋体" w:cs="宋体"/>
          <w:kern w:val="0"/>
          <w:szCs w:val="21"/>
        </w:rPr>
      </w:pPr>
      <w:r>
        <w:rPr>
          <w:rFonts w:hint="eastAsia" w:ascii="宋体" w:hAnsi="宋体" w:cs="宋体"/>
          <w:kern w:val="0"/>
          <w:szCs w:val="21"/>
        </w:rPr>
        <w:t>36.4.2有《政府采购货物和服务招标投标管理办法》第六十二条第一至五项情形的；</w:t>
      </w:r>
    </w:p>
    <w:p>
      <w:pPr>
        <w:ind w:firstLine="411" w:firstLineChars="196"/>
        <w:rPr>
          <w:rFonts w:ascii="宋体" w:hAnsi="宋体" w:cs="宋体"/>
          <w:kern w:val="0"/>
          <w:szCs w:val="21"/>
        </w:rPr>
      </w:pPr>
      <w:r>
        <w:rPr>
          <w:rFonts w:hint="eastAsia" w:ascii="宋体" w:hAnsi="宋体" w:cs="宋体"/>
          <w:kern w:val="0"/>
          <w:szCs w:val="21"/>
        </w:rPr>
        <w:t>36.4.3评审委员会及其成员独立评标受到非法干预的；</w:t>
      </w:r>
    </w:p>
    <w:p>
      <w:pPr>
        <w:ind w:firstLine="411" w:firstLineChars="196"/>
        <w:rPr>
          <w:rFonts w:ascii="宋体" w:hAnsi="宋体" w:cs="宋体"/>
          <w:kern w:val="0"/>
          <w:szCs w:val="21"/>
        </w:rPr>
      </w:pPr>
      <w:r>
        <w:rPr>
          <w:rFonts w:hint="eastAsia" w:ascii="宋体" w:hAnsi="宋体" w:cs="宋体"/>
          <w:kern w:val="0"/>
          <w:szCs w:val="21"/>
        </w:rPr>
        <w:t>36.4.4有政府采购法实施条例第七十五条规定的违法行为的。</w:t>
      </w:r>
    </w:p>
    <w:p>
      <w:pPr>
        <w:ind w:firstLine="411" w:firstLineChars="196"/>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ascii="宋体" w:hAnsi="宋体"/>
          <w:szCs w:val="21"/>
        </w:rPr>
      </w:pPr>
    </w:p>
    <w:p>
      <w:pPr>
        <w:pStyle w:val="7"/>
        <w:numPr>
          <w:ilvl w:val="0"/>
          <w:numId w:val="113"/>
        </w:numPr>
        <w:spacing w:before="120" w:beforeLines="50" w:after="120" w:afterLines="50"/>
        <w:ind w:left="562" w:hanging="562"/>
        <w:rPr>
          <w:sz w:val="28"/>
          <w:szCs w:val="28"/>
        </w:rPr>
      </w:pPr>
      <w:r>
        <w:rPr>
          <w:rFonts w:hint="eastAsia"/>
          <w:sz w:val="28"/>
          <w:szCs w:val="28"/>
        </w:rPr>
        <w:t>定标及公示</w:t>
      </w:r>
    </w:p>
    <w:p>
      <w:pPr>
        <w:rPr>
          <w:rFonts w:ascii="黑体" w:hAnsi="宋体" w:eastAsia="黑体"/>
          <w:sz w:val="24"/>
        </w:rPr>
      </w:pPr>
      <w:r>
        <w:rPr>
          <w:rFonts w:hint="eastAsia" w:ascii="黑体" w:hAnsi="宋体" w:eastAsia="黑体"/>
          <w:sz w:val="24"/>
        </w:rPr>
        <w:t>37.定标方法</w:t>
      </w:r>
    </w:p>
    <w:p>
      <w:pPr>
        <w:ind w:firstLine="411" w:firstLineChars="196"/>
        <w:rPr>
          <w:rFonts w:ascii="宋体" w:hAnsi="宋体"/>
          <w:szCs w:val="21"/>
        </w:rPr>
      </w:pPr>
      <w:r>
        <w:rPr>
          <w:rFonts w:hint="eastAsia" w:ascii="宋体" w:hAnsi="宋体"/>
          <w:szCs w:val="21"/>
        </w:rPr>
        <w:t>37.1非评定分离项目定标方法</w:t>
      </w:r>
    </w:p>
    <w:p>
      <w:pPr>
        <w:ind w:firstLine="411" w:firstLineChars="196"/>
        <w:rPr>
          <w:rFonts w:ascii="宋体" w:hAnsi="宋体"/>
          <w:szCs w:val="21"/>
        </w:rPr>
      </w:pPr>
      <w:r>
        <w:rPr>
          <w:rFonts w:hint="eastAsia" w:ascii="宋体" w:hAnsi="宋体"/>
          <w:szCs w:val="21"/>
        </w:rPr>
        <w:t>37</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pPr>
        <w:ind w:firstLine="411" w:firstLineChars="196"/>
        <w:rPr>
          <w:rFonts w:hint="eastAsia" w:ascii="ˎ̥" w:hAnsi="ˎ̥"/>
        </w:rPr>
      </w:pPr>
      <w:r>
        <w:rPr>
          <w:rFonts w:hint="eastAsia" w:ascii="宋体" w:hAnsi="宋体"/>
          <w:szCs w:val="21"/>
        </w:rPr>
        <w:t>37</w:t>
      </w:r>
      <w:r>
        <w:rPr>
          <w:rFonts w:ascii="宋体" w:hAnsi="宋体"/>
          <w:szCs w:val="21"/>
        </w:rPr>
        <w:t>.</w:t>
      </w:r>
      <w:r>
        <w:rPr>
          <w:rFonts w:hint="eastAsia" w:ascii="宋体" w:hAnsi="宋体"/>
          <w:szCs w:val="21"/>
        </w:rPr>
        <w:t>1.2</w:t>
      </w:r>
      <w:r>
        <w:rPr>
          <w:rFonts w:hint="eastAsia" w:ascii="ˎ̥" w:hAnsi="ˎ̥"/>
        </w:rPr>
        <w:t>采用最低价法的，评标结果按投标报价由低到高顺序排列。投标报价相同的并列。投标文件满足招标文件全部实质性要求且投标报价最低的投标人为排名第一的中标候选人（如中标候选人数量为2家或以上的，则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以此类推）。中标候选人并列的，由采购人或者采购人委托评标委员会按照招标文件规定的方式确定中标人；招标文件未规定的，采取随机抽取的方式确定，具体操作办法及流程由评审委员会确定。</w:t>
      </w:r>
    </w:p>
    <w:p>
      <w:pPr>
        <w:ind w:firstLine="210" w:firstLineChars="100"/>
        <w:rPr>
          <w:rFonts w:hint="eastAsia" w:ascii="ˎ̥" w:hAnsi="ˎ̥"/>
        </w:rPr>
      </w:pPr>
      <w:r>
        <w:rPr>
          <w:rFonts w:hint="eastAsia" w:ascii="宋体" w:hAnsi="宋体"/>
          <w:szCs w:val="21"/>
        </w:rPr>
        <w:t>37</w:t>
      </w:r>
      <w:r>
        <w:rPr>
          <w:rFonts w:ascii="宋体" w:hAnsi="宋体"/>
          <w:szCs w:val="21"/>
        </w:rPr>
        <w:t>.</w:t>
      </w:r>
      <w:r>
        <w:rPr>
          <w:rFonts w:hint="eastAsia" w:ascii="宋体" w:hAnsi="宋体"/>
          <w:szCs w:val="21"/>
        </w:rPr>
        <w:t>1.3</w:t>
      </w:r>
      <w:r>
        <w:rPr>
          <w:rFonts w:hint="eastAsia" w:ascii="ˎ̥" w:hAnsi="ˎ̥"/>
        </w:rPr>
        <w:t>采用综合评分法的，评标结果按评审后得分由高到低顺序排列。得分相同的，按投标报价由低到高顺序排列。得分且投标报价相同的并列。</w:t>
      </w:r>
    </w:p>
    <w:p>
      <w:pPr>
        <w:ind w:firstLine="420" w:firstLineChars="200"/>
        <w:rPr>
          <w:rFonts w:hint="eastAsia" w:ascii="ˎ̥" w:hAnsi="ˎ̥"/>
        </w:rPr>
      </w:pPr>
      <w:r>
        <w:rPr>
          <w:rFonts w:ascii="ˎ̥" w:hAnsi="ˎ̥"/>
        </w:rPr>
        <w:t>投标文件满足招标文件全部实质性要求，且按照评审因素的量化指标评审得分最高的投标人</w:t>
      </w:r>
      <w:r>
        <w:rPr>
          <w:rFonts w:hint="eastAsia" w:ascii="ˎ̥" w:hAnsi="ˎ̥"/>
        </w:rPr>
        <w:t>为中标供应商</w:t>
      </w:r>
      <w:r>
        <w:rPr>
          <w:rFonts w:ascii="ˎ̥" w:hAnsi="ˎ̥"/>
        </w:rPr>
        <w:t>（</w:t>
      </w:r>
      <w:r>
        <w:rPr>
          <w:rFonts w:hint="eastAsia" w:ascii="ˎ̥" w:hAnsi="ˎ̥"/>
        </w:rPr>
        <w:t>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w:t>
      </w:r>
      <w:r>
        <w:rPr>
          <w:rFonts w:ascii="ˎ̥" w:hAnsi="ˎ̥"/>
        </w:rPr>
        <w:t>）。</w:t>
      </w:r>
      <w:r>
        <w:rPr>
          <w:rFonts w:hint="eastAsia" w:ascii="ˎ̥" w:hAnsi="ˎ̥"/>
        </w:rPr>
        <w:t>出现</w:t>
      </w:r>
      <w:r>
        <w:rPr>
          <w:rFonts w:ascii="ˎ̥" w:hAnsi="ˎ̥"/>
        </w:rPr>
        <w:t>得分且投标报价相同的并列</w:t>
      </w:r>
      <w:r>
        <w:rPr>
          <w:rFonts w:hint="eastAsia" w:ascii="ˎ̥" w:hAnsi="ˎ̥"/>
        </w:rPr>
        <w:t>情况时，采取随机抽取的方式确定，具体操作办法及流程由评审委员会确定。</w:t>
      </w:r>
      <w:r>
        <w:rPr>
          <w:rFonts w:hint="eastAsia"/>
          <w:b/>
          <w:bCs/>
        </w:rPr>
        <w:t>如排名第一的中标候选人被认定投标或中标无效，符合法定情形时，依法顺次替补；合格供应商不符合法定数量时，应当重新开展采购活动。</w:t>
      </w:r>
    </w:p>
    <w:p>
      <w:pPr>
        <w:ind w:firstLine="411" w:firstLineChars="196"/>
        <w:rPr>
          <w:rFonts w:ascii="宋体" w:hAnsi="宋体"/>
          <w:szCs w:val="21"/>
        </w:rPr>
      </w:pPr>
      <w:r>
        <w:rPr>
          <w:rFonts w:hint="eastAsia" w:ascii="宋体" w:hAnsi="宋体"/>
          <w:szCs w:val="21"/>
        </w:rPr>
        <w:t>37.2</w:t>
      </w:r>
      <w:bookmarkStart w:id="75" w:name="_Hlk218843798"/>
      <w:r>
        <w:rPr>
          <w:rFonts w:hint="eastAsia" w:ascii="宋体" w:hAnsi="宋体"/>
          <w:szCs w:val="21"/>
        </w:rPr>
        <w:t>评定分离</w:t>
      </w:r>
      <w:bookmarkEnd w:id="75"/>
      <w:r>
        <w:rPr>
          <w:rFonts w:hint="eastAsia" w:ascii="宋体" w:hAnsi="宋体"/>
          <w:szCs w:val="21"/>
        </w:rPr>
        <w:t>项目定标方法</w:t>
      </w:r>
    </w:p>
    <w:p>
      <w:pPr>
        <w:ind w:firstLine="411" w:firstLineChars="196"/>
        <w:rPr>
          <w:rFonts w:ascii="宋体" w:hAnsi="宋体"/>
          <w:szCs w:val="21"/>
        </w:rPr>
      </w:pPr>
      <w:r>
        <w:rPr>
          <w:rFonts w:hint="eastAsia" w:ascii="宋体" w:hAnsi="宋体"/>
          <w:szCs w:val="21"/>
        </w:rPr>
        <w:t>37.2.1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11" w:firstLineChars="196"/>
      </w:pPr>
      <w:r>
        <w:rPr>
          <w:rFonts w:ascii="宋体" w:hAnsi="宋体"/>
          <w:szCs w:val="21"/>
        </w:rPr>
        <w:t>3</w:t>
      </w:r>
      <w:r>
        <w:rPr>
          <w:rFonts w:hint="eastAsia" w:ascii="宋体" w:hAnsi="宋体"/>
          <w:szCs w:val="21"/>
        </w:rPr>
        <w:t>7</w:t>
      </w:r>
      <w:r>
        <w:rPr>
          <w:rFonts w:ascii="宋体" w:hAnsi="宋体"/>
          <w:szCs w:val="21"/>
        </w:rPr>
        <w:t xml:space="preserve">.2.2 </w:t>
      </w:r>
      <w:bookmarkStart w:id="76"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pPr>
        <w:ind w:firstLine="411" w:firstLineChars="196"/>
        <w:rPr>
          <w:rFonts w:ascii="宋体" w:hAnsi="宋体"/>
          <w:szCs w:val="21"/>
        </w:rPr>
      </w:pPr>
      <w:r>
        <w:rPr>
          <w:rFonts w:hint="eastAsia" w:ascii="宋体" w:hAnsi="宋体"/>
          <w:szCs w:val="21"/>
        </w:rPr>
        <w:t>37.2.3</w:t>
      </w:r>
      <w:bookmarkStart w:id="77"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76"/>
      <w:bookmarkEnd w:id="77"/>
    </w:p>
    <w:p>
      <w:pPr>
        <w:ind w:firstLine="411" w:firstLineChars="196"/>
        <w:rPr>
          <w:rFonts w:ascii="宋体" w:hAnsi="宋体"/>
          <w:szCs w:val="21"/>
        </w:rPr>
      </w:pPr>
      <w:r>
        <w:rPr>
          <w:rFonts w:ascii="宋体" w:hAnsi="宋体"/>
          <w:szCs w:val="21"/>
        </w:rPr>
        <w:t>3</w:t>
      </w:r>
      <w:r>
        <w:rPr>
          <w:rFonts w:hint="eastAsia" w:ascii="宋体" w:hAnsi="宋体"/>
          <w:szCs w:val="21"/>
        </w:rPr>
        <w:t>7</w:t>
      </w:r>
      <w:r>
        <w:rPr>
          <w:rFonts w:ascii="宋体" w:hAnsi="宋体"/>
          <w:szCs w:val="21"/>
        </w:rPr>
        <w:t>.2.4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政府集中采购机构。具体定标程序及相关要求按照《深圳市财政局关于&lt;深圳市政府采购评标定标分离管理办法&gt;续期的通知》（深财规〔2023〕1号）执行。</w:t>
      </w:r>
    </w:p>
    <w:p>
      <w:pPr>
        <w:ind w:firstLine="411" w:firstLineChars="196"/>
        <w:rPr>
          <w:rFonts w:ascii="宋体" w:hAnsi="宋体"/>
          <w:szCs w:val="21"/>
        </w:rPr>
      </w:pPr>
      <w:r>
        <w:rPr>
          <w:rFonts w:hint="eastAsia" w:ascii="宋体" w:hAnsi="宋体"/>
          <w:szCs w:val="21"/>
        </w:rPr>
        <w:t>说明：采购人及投标供应商应按照上述方法提前做好相关准备。</w:t>
      </w:r>
    </w:p>
    <w:p>
      <w:pPr>
        <w:ind w:firstLine="411" w:firstLineChars="196"/>
        <w:rPr>
          <w:rFonts w:ascii="宋体" w:hAnsi="宋体"/>
          <w:szCs w:val="21"/>
        </w:rPr>
      </w:pPr>
      <w:r>
        <w:rPr>
          <w:rFonts w:hint="eastAsia" w:ascii="宋体" w:hAnsi="宋体"/>
          <w:szCs w:val="21"/>
        </w:rPr>
        <w:t>37.3专用条款另有规定的，按专用条款相关要求定标。</w:t>
      </w:r>
    </w:p>
    <w:p>
      <w:pPr>
        <w:rPr>
          <w:rFonts w:ascii="黑体" w:hAnsi="宋体" w:eastAsia="黑体"/>
          <w:sz w:val="24"/>
        </w:rPr>
      </w:pPr>
      <w:r>
        <w:rPr>
          <w:rFonts w:hint="eastAsia" w:ascii="黑体" w:hAnsi="宋体" w:eastAsia="黑体"/>
          <w:sz w:val="24"/>
        </w:rPr>
        <w:t>38.编写评审报告</w:t>
      </w:r>
    </w:p>
    <w:p>
      <w:pPr>
        <w:ind w:firstLine="411" w:firstLineChars="196"/>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rPr>
          <w:rFonts w:ascii="黑体" w:hAnsi="宋体" w:eastAsia="黑体"/>
          <w:sz w:val="24"/>
        </w:rPr>
      </w:pPr>
      <w:r>
        <w:rPr>
          <w:rFonts w:hint="eastAsia" w:ascii="黑体" w:hAnsi="宋体" w:eastAsia="黑体"/>
          <w:sz w:val="24"/>
        </w:rPr>
        <w:t>39.中标公告</w:t>
      </w:r>
    </w:p>
    <w:p>
      <w:pPr>
        <w:ind w:firstLine="411" w:firstLineChars="196"/>
        <w:rPr>
          <w:rFonts w:ascii="宋体" w:hAnsi="宋体"/>
          <w:szCs w:val="21"/>
        </w:rPr>
      </w:pPr>
      <w:r>
        <w:rPr>
          <w:rFonts w:hint="eastAsia" w:ascii="宋体" w:hAnsi="宋体"/>
          <w:szCs w:val="21"/>
        </w:rPr>
        <w:t>39.1</w:t>
      </w:r>
      <w:bookmarkStart w:id="78"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szCs w:val="21"/>
        </w:rPr>
        <w:t>“深圳公共资源交易网（https://szggzy.com/）”</w:t>
      </w:r>
      <w:r>
        <w:rPr>
          <w:rFonts w:hint="eastAsia" w:ascii="宋体" w:hAnsi="宋体"/>
          <w:szCs w:val="21"/>
        </w:rPr>
        <w:t>上发布中标结果公告。</w:t>
      </w:r>
      <w:bookmarkEnd w:id="78"/>
      <w:bookmarkStart w:id="79"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提出。监督电话：0755-82239952。</w:t>
      </w:r>
      <w:r>
        <w:rPr>
          <w:rFonts w:hint="eastAsia" w:ascii="宋体" w:hAnsi="宋体"/>
          <w:szCs w:val="21"/>
        </w:rPr>
        <w:t>若在法定质疑期内未提出质疑，则视为认同该评审结果。</w:t>
      </w:r>
    </w:p>
    <w:bookmarkEnd w:id="79"/>
    <w:p>
      <w:pPr>
        <w:ind w:firstLine="411" w:firstLineChars="196"/>
        <w:rPr>
          <w:rFonts w:ascii="宋体" w:hAnsi="宋体"/>
          <w:szCs w:val="21"/>
        </w:rPr>
      </w:pPr>
      <w:r>
        <w:rPr>
          <w:rFonts w:hint="eastAsia" w:ascii="宋体" w:hAnsi="宋体"/>
          <w:szCs w:val="21"/>
        </w:rPr>
        <w:t>39.2质疑、投诉供应商应保证质疑、投诉内容的真实性和可靠性，并承担相应的法律责任。</w:t>
      </w:r>
    </w:p>
    <w:p>
      <w:pPr>
        <w:pStyle w:val="2"/>
        <w:spacing w:line="240" w:lineRule="auto"/>
        <w:ind w:firstLine="315" w:firstLineChars="150"/>
        <w:rPr>
          <w:rFonts w:ascii="宋体" w:hAnsi="宋体"/>
          <w:b w:val="0"/>
          <w:bCs w:val="0"/>
          <w:sz w:val="21"/>
          <w:szCs w:val="21"/>
        </w:rPr>
      </w:pPr>
      <w:r>
        <w:rPr>
          <w:rFonts w:hint="eastAsia" w:ascii="宋体" w:hAnsi="宋体"/>
          <w:b w:val="0"/>
          <w:bCs w:val="0"/>
          <w:sz w:val="21"/>
          <w:szCs w:val="21"/>
        </w:rPr>
        <w:t xml:space="preserve"> </w:t>
      </w:r>
      <w:bookmarkStart w:id="80" w:name="OLE_LINK16"/>
      <w:r>
        <w:rPr>
          <w:rFonts w:hint="eastAsia" w:ascii="宋体" w:hAnsi="宋体"/>
          <w:b w:val="0"/>
          <w:bCs w:val="0"/>
          <w:sz w:val="21"/>
          <w:szCs w:val="21"/>
        </w:rPr>
        <w:t xml:space="preserve">39.3 </w:t>
      </w:r>
      <w:bookmarkStart w:id="81" w:name="_Hlk235714702"/>
      <w:r>
        <w:rPr>
          <w:rFonts w:hint="eastAsia" w:ascii="宋体" w:hAnsi="宋体"/>
          <w:b w:val="0"/>
          <w:bCs w:val="0"/>
          <w:sz w:val="21"/>
          <w:szCs w:val="21"/>
        </w:rPr>
        <w:t>采用综合评分法评审的，未中标（成交）供应商可联系政府集中采购机构了解自身的评审总得分及总排序，需以书面加盖公章的形式提出申请。</w:t>
      </w:r>
      <w:bookmarkEnd w:id="80"/>
      <w:bookmarkEnd w:id="81"/>
    </w:p>
    <w:p>
      <w:pPr>
        <w:rPr>
          <w:rFonts w:ascii="黑体" w:hAnsi="宋体" w:eastAsia="黑体"/>
          <w:sz w:val="24"/>
        </w:rPr>
      </w:pPr>
      <w:r>
        <w:rPr>
          <w:rFonts w:hint="eastAsia" w:ascii="黑体" w:hAnsi="宋体" w:eastAsia="黑体"/>
          <w:sz w:val="24"/>
        </w:rPr>
        <w:t>40.中标通知书</w:t>
      </w:r>
    </w:p>
    <w:p>
      <w:pPr>
        <w:ind w:firstLine="411" w:firstLineChars="196"/>
        <w:rPr>
          <w:rFonts w:ascii="宋体" w:hAnsi="宋体"/>
          <w:szCs w:val="21"/>
        </w:rPr>
      </w:pPr>
      <w:r>
        <w:rPr>
          <w:rFonts w:hint="eastAsia" w:ascii="宋体" w:hAnsi="宋体"/>
          <w:szCs w:val="21"/>
        </w:rPr>
        <w:t>40</w:t>
      </w:r>
      <w:r>
        <w:rPr>
          <w:rFonts w:ascii="宋体" w:hAnsi="宋体"/>
          <w:szCs w:val="21"/>
        </w:rPr>
        <w:t>.</w:t>
      </w:r>
      <w:r>
        <w:rPr>
          <w:rFonts w:hint="eastAsia" w:ascii="宋体" w:hAnsi="宋体"/>
          <w:szCs w:val="21"/>
        </w:rPr>
        <w:t>1</w:t>
      </w:r>
      <w:bookmarkStart w:id="82" w:name="_Hlk72438863"/>
      <w:r>
        <w:rPr>
          <w:rFonts w:hint="eastAsia" w:ascii="宋体" w:hAnsi="宋体"/>
          <w:szCs w:val="21"/>
        </w:rPr>
        <w:t>中标结果公示期满无异议或者异议不成立的情况下，中标供应商和采购人可自行在</w:t>
      </w:r>
      <w:r>
        <w:rPr>
          <w:rFonts w:hint="eastAsia" w:ascii="宋体" w:hAnsi="宋体"/>
          <w:b/>
          <w:bCs/>
          <w:szCs w:val="21"/>
        </w:rPr>
        <w:t>“深圳政府采购智慧平台（http://zfcg.szggzy.com:8081/）”</w:t>
      </w:r>
      <w:r>
        <w:rPr>
          <w:rFonts w:hint="eastAsia" w:ascii="宋体" w:hAnsi="宋体"/>
          <w:szCs w:val="21"/>
        </w:rPr>
        <w:t>上打印</w:t>
      </w:r>
      <w:r>
        <w:rPr>
          <w:rFonts w:hint="eastAsia" w:ascii="宋体" w:hAnsi="宋体"/>
          <w:b/>
          <w:szCs w:val="21"/>
        </w:rPr>
        <w:t>《中标通知书》</w:t>
      </w:r>
      <w:r>
        <w:rPr>
          <w:rFonts w:hint="eastAsia" w:ascii="宋体" w:hAnsi="宋体"/>
          <w:szCs w:val="21"/>
        </w:rPr>
        <w:t>。</w:t>
      </w:r>
      <w:bookmarkEnd w:id="82"/>
    </w:p>
    <w:p>
      <w:pPr>
        <w:ind w:firstLine="411" w:firstLineChars="196"/>
        <w:rPr>
          <w:rFonts w:ascii="宋体" w:hAnsi="宋体"/>
          <w:szCs w:val="21"/>
        </w:rPr>
      </w:pPr>
      <w:r>
        <w:rPr>
          <w:rFonts w:hint="eastAsia" w:ascii="宋体" w:hAnsi="宋体"/>
          <w:szCs w:val="21"/>
        </w:rPr>
        <w:t>40</w:t>
      </w:r>
      <w:r>
        <w:rPr>
          <w:rFonts w:ascii="宋体" w:hAnsi="宋体"/>
          <w:szCs w:val="21"/>
        </w:rPr>
        <w:t>.2</w:t>
      </w:r>
      <w:r>
        <w:rPr>
          <w:rFonts w:hint="eastAsia" w:ascii="宋体" w:hAnsi="宋体"/>
          <w:szCs w:val="21"/>
        </w:rPr>
        <w:t>中标通知书是合同的重要组成部分。</w:t>
      </w:r>
    </w:p>
    <w:p>
      <w:pPr>
        <w:ind w:firstLine="411" w:firstLineChars="196"/>
        <w:rPr>
          <w:rFonts w:ascii="宋体" w:hAnsi="宋体"/>
          <w:szCs w:val="21"/>
        </w:rPr>
      </w:pPr>
      <w:bookmarkStart w:id="83" w:name="_Hlk71407340"/>
      <w:r>
        <w:rPr>
          <w:rFonts w:hint="eastAsia" w:ascii="宋体" w:hAnsi="宋体"/>
          <w:szCs w:val="21"/>
        </w:rPr>
        <w:t>40.3因质疑投诉或其它原因导致项目结果变更或采购终止的，政府集中采购机构有权撤销中标通知书。</w:t>
      </w:r>
    </w:p>
    <w:bookmarkEnd w:id="83"/>
    <w:p>
      <w:pPr>
        <w:ind w:firstLine="411" w:firstLineChars="196"/>
        <w:rPr>
          <w:rFonts w:ascii="宋体" w:hAnsi="宋体"/>
          <w:szCs w:val="21"/>
        </w:rPr>
      </w:pPr>
    </w:p>
    <w:p>
      <w:pPr>
        <w:pStyle w:val="7"/>
        <w:numPr>
          <w:ilvl w:val="0"/>
          <w:numId w:val="113"/>
        </w:numPr>
        <w:spacing w:before="120" w:beforeLines="50" w:after="120" w:afterLines="50"/>
        <w:ind w:left="562" w:hanging="562"/>
        <w:rPr>
          <w:sz w:val="28"/>
          <w:szCs w:val="28"/>
        </w:rPr>
      </w:pPr>
      <w:r>
        <w:rPr>
          <w:rFonts w:hint="eastAsia"/>
          <w:sz w:val="28"/>
          <w:szCs w:val="28"/>
        </w:rPr>
        <w:t>公开招标失败的后续处理</w:t>
      </w:r>
    </w:p>
    <w:p>
      <w:pPr>
        <w:rPr>
          <w:rFonts w:ascii="黑体" w:hAnsi="宋体" w:eastAsia="黑体"/>
          <w:sz w:val="24"/>
        </w:rPr>
      </w:pPr>
      <w:r>
        <w:rPr>
          <w:rFonts w:hint="eastAsia" w:ascii="黑体" w:hAnsi="宋体" w:eastAsia="黑体"/>
          <w:sz w:val="24"/>
        </w:rPr>
        <w:t>41.公开招标失败的处理</w:t>
      </w:r>
    </w:p>
    <w:p>
      <w:pPr>
        <w:ind w:firstLine="411" w:firstLineChars="196"/>
        <w:rPr>
          <w:rFonts w:ascii="宋体" w:hAnsi="宋体"/>
        </w:rPr>
      </w:pPr>
      <w:r>
        <w:rPr>
          <w:rFonts w:hint="eastAsia" w:ascii="宋体" w:hAnsi="宋体"/>
          <w:szCs w:val="21"/>
        </w:rPr>
        <w:t>41.1本项目公开招标过程中若由于投标截止后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ascii="宋体" w:hAnsi="宋体"/>
          <w:szCs w:val="21"/>
        </w:rPr>
      </w:pPr>
      <w:r>
        <w:rPr>
          <w:rFonts w:hint="eastAsia" w:ascii="宋体" w:hAnsi="宋体"/>
          <w:szCs w:val="21"/>
        </w:rPr>
        <w:t>41.2对公开招标失败的项目，评审委员会在出具该项目招标失败结论的同时，可以提出重新采购组织形式的建议，以及进一步完善招标文件的资格、技术、商务要求的修改建议。</w:t>
      </w:r>
    </w:p>
    <w:p>
      <w:pPr>
        <w:ind w:firstLine="411" w:firstLineChars="196"/>
        <w:rPr>
          <w:rFonts w:ascii="宋体" w:hAnsi="宋体"/>
          <w:szCs w:val="21"/>
        </w:rPr>
      </w:pPr>
      <w:r>
        <w:rPr>
          <w:rFonts w:hint="eastAsia" w:ascii="宋体" w:hAnsi="宋体"/>
          <w:szCs w:val="21"/>
        </w:rPr>
        <w:t>41.3重新组织采购有以下两种组织形式：</w:t>
      </w:r>
    </w:p>
    <w:p>
      <w:pPr>
        <w:ind w:firstLine="411" w:firstLineChars="196"/>
        <w:rPr>
          <w:rFonts w:ascii="宋体" w:hAnsi="宋体"/>
        </w:rPr>
      </w:pPr>
      <w:r>
        <w:rPr>
          <w:rFonts w:hint="eastAsia" w:ascii="宋体" w:hAnsi="宋体"/>
        </w:rPr>
        <w:t>（1）由政府集中采购机构重新组织公开招标；</w:t>
      </w:r>
    </w:p>
    <w:p>
      <w:pPr>
        <w:ind w:firstLine="411" w:firstLineChars="196"/>
        <w:rPr>
          <w:rFonts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pPr>
        <w:ind w:firstLine="411" w:firstLineChars="196"/>
        <w:rPr>
          <w:rFonts w:ascii="宋体" w:hAnsi="宋体"/>
        </w:rPr>
      </w:pPr>
      <w:r>
        <w:rPr>
          <w:rFonts w:hint="eastAsia" w:ascii="宋体" w:hAnsi="宋体"/>
        </w:rPr>
        <w:t>41.4公开招标失败的采购项目重新组织公开招标，由政府集中采购机构重新按公开招标流程组织采购活动。</w:t>
      </w:r>
    </w:p>
    <w:p>
      <w:pPr>
        <w:rPr>
          <w:rFonts w:ascii="宋体" w:hAnsi="宋体"/>
        </w:rPr>
      </w:pPr>
      <w:r>
        <w:rPr>
          <w:rFonts w:hint="eastAsia" w:ascii="黑体" w:hAnsi="宋体" w:eastAsia="黑体"/>
          <w:sz w:val="24"/>
        </w:rPr>
        <w:t xml:space="preserve">    </w:t>
      </w:r>
      <w:r>
        <w:rPr>
          <w:rFonts w:hint="eastAsia" w:ascii="宋体" w:hAnsi="宋体"/>
        </w:rPr>
        <w:t>41.5公开招标失败的采购项目经同级财政部门批准转为竞争性谈判或单一来源谈判方式采购的，按规定要求组织政府采购工作。</w:t>
      </w:r>
    </w:p>
    <w:p>
      <w:pPr>
        <w:rPr>
          <w:rFonts w:ascii="黑体" w:hAnsi="宋体" w:eastAsia="黑体"/>
          <w:sz w:val="24"/>
        </w:rPr>
      </w:pPr>
    </w:p>
    <w:p>
      <w:pPr>
        <w:pStyle w:val="7"/>
        <w:numPr>
          <w:ilvl w:val="0"/>
          <w:numId w:val="113"/>
        </w:numPr>
        <w:spacing w:before="120" w:beforeLines="50" w:after="120" w:afterLines="50"/>
        <w:ind w:left="562" w:hanging="562"/>
        <w:rPr>
          <w:sz w:val="28"/>
          <w:szCs w:val="28"/>
        </w:rPr>
      </w:pPr>
      <w:bookmarkStart w:id="84" w:name="_Hlk72439043"/>
      <w:r>
        <w:rPr>
          <w:rFonts w:hint="eastAsia"/>
          <w:sz w:val="28"/>
          <w:szCs w:val="28"/>
        </w:rPr>
        <w:t>合同的授予与备案</w:t>
      </w:r>
      <w:bookmarkEnd w:id="84"/>
    </w:p>
    <w:p>
      <w:pPr>
        <w:rPr>
          <w:rFonts w:ascii="黑体" w:hAnsi="宋体" w:eastAsia="黑体"/>
          <w:sz w:val="24"/>
        </w:rPr>
      </w:pPr>
      <w:bookmarkStart w:id="85" w:name="_Toc73521586"/>
      <w:bookmarkStart w:id="86" w:name="_Toc73521674"/>
      <w:bookmarkStart w:id="87" w:name="_Toc73518157"/>
      <w:bookmarkStart w:id="88" w:name="_Toc100052408"/>
      <w:bookmarkStart w:id="89" w:name="_Toc73517679"/>
      <w:bookmarkStart w:id="90" w:name="_Hlk72439088"/>
      <w:r>
        <w:rPr>
          <w:rFonts w:hint="eastAsia" w:ascii="黑体" w:hAnsi="宋体" w:eastAsia="黑体"/>
          <w:sz w:val="24"/>
        </w:rPr>
        <w:t>42.合同授予标准</w:t>
      </w:r>
      <w:bookmarkEnd w:id="85"/>
      <w:bookmarkEnd w:id="86"/>
      <w:bookmarkEnd w:id="87"/>
      <w:bookmarkEnd w:id="88"/>
      <w:bookmarkEnd w:id="89"/>
    </w:p>
    <w:p>
      <w:pPr>
        <w:ind w:firstLine="411" w:firstLineChars="196"/>
        <w:rPr>
          <w:rFonts w:ascii="宋体" w:hAnsi="宋体"/>
          <w:szCs w:val="21"/>
        </w:rPr>
      </w:pPr>
      <w:r>
        <w:rPr>
          <w:rFonts w:hint="eastAsia" w:ascii="宋体" w:hAnsi="宋体"/>
          <w:szCs w:val="21"/>
        </w:rPr>
        <w:t>本项目的合同将授予经本招标文件规定评审确定的中标供应商。</w:t>
      </w:r>
    </w:p>
    <w:p>
      <w:pPr>
        <w:rPr>
          <w:rFonts w:ascii="黑体" w:hAnsi="宋体" w:eastAsia="黑体"/>
          <w:sz w:val="24"/>
        </w:rPr>
      </w:pPr>
      <w:bookmarkStart w:id="91" w:name="_Toc100052409"/>
      <w:bookmarkStart w:id="92" w:name="_Toc73517680"/>
      <w:bookmarkStart w:id="93" w:name="_Toc73521675"/>
      <w:bookmarkStart w:id="94" w:name="_Toc73518158"/>
      <w:bookmarkStart w:id="95" w:name="_Toc73521587"/>
      <w:r>
        <w:rPr>
          <w:rFonts w:hint="eastAsia" w:ascii="黑体" w:hAnsi="宋体" w:eastAsia="黑体"/>
          <w:sz w:val="24"/>
        </w:rPr>
        <w:t>43.</w:t>
      </w:r>
      <w:bookmarkEnd w:id="91"/>
      <w:bookmarkEnd w:id="92"/>
      <w:bookmarkEnd w:id="93"/>
      <w:bookmarkEnd w:id="94"/>
      <w:bookmarkEnd w:id="95"/>
      <w:r>
        <w:rPr>
          <w:rFonts w:hint="eastAsia" w:ascii="黑体" w:hAnsi="宋体" w:eastAsia="黑体"/>
          <w:sz w:val="24"/>
        </w:rPr>
        <w:t>接受和拒绝任何或所有投标的权利</w:t>
      </w:r>
    </w:p>
    <w:p>
      <w:pPr>
        <w:ind w:firstLine="411" w:firstLineChars="196"/>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rPr>
          <w:rFonts w:ascii="黑体" w:hAnsi="宋体" w:eastAsia="黑体"/>
          <w:sz w:val="24"/>
        </w:rPr>
      </w:pPr>
      <w:bookmarkStart w:id="96" w:name="_Toc73517682"/>
      <w:bookmarkStart w:id="97" w:name="_Toc73521677"/>
      <w:bookmarkStart w:id="98" w:name="_Toc100052410"/>
      <w:bookmarkStart w:id="99" w:name="_Toc73518160"/>
      <w:bookmarkStart w:id="100" w:name="_Toc73521589"/>
      <w:r>
        <w:rPr>
          <w:rFonts w:hint="eastAsia" w:ascii="黑体" w:hAnsi="宋体" w:eastAsia="黑体"/>
          <w:sz w:val="24"/>
        </w:rPr>
        <w:t>44.合同的签订</w:t>
      </w:r>
      <w:bookmarkEnd w:id="96"/>
      <w:bookmarkEnd w:id="97"/>
      <w:bookmarkEnd w:id="98"/>
      <w:bookmarkEnd w:id="99"/>
      <w:bookmarkEnd w:id="100"/>
    </w:p>
    <w:p>
      <w:pPr>
        <w:ind w:firstLine="411" w:firstLineChars="196"/>
        <w:rPr>
          <w:rFonts w:ascii="宋体" w:hAnsi="宋体"/>
          <w:szCs w:val="21"/>
        </w:rPr>
      </w:pPr>
      <w:r>
        <w:rPr>
          <w:rFonts w:hint="eastAsia" w:ascii="宋体" w:hAnsi="宋体"/>
          <w:szCs w:val="21"/>
        </w:rPr>
        <w:t>44.1中标人将于中标通知书发出之日起十个工作日内，按照采购文件（招标文件和投标文件等）内容与采购人签订政府采购合同；合同的实质性内容应当符合招标文件的规定；</w:t>
      </w:r>
    </w:p>
    <w:p>
      <w:pPr>
        <w:ind w:firstLine="411" w:firstLineChars="196"/>
        <w:rPr>
          <w:rFonts w:ascii="宋体" w:hAnsi="宋体"/>
          <w:szCs w:val="21"/>
        </w:rPr>
      </w:pPr>
      <w:r>
        <w:rPr>
          <w:rFonts w:hint="eastAsia" w:ascii="宋体" w:hAnsi="宋体"/>
          <w:szCs w:val="21"/>
        </w:rPr>
        <w:t>44.2中标人如不按本通用条款第45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pPr>
        <w:ind w:firstLine="411" w:firstLineChars="196"/>
        <w:rPr>
          <w:rFonts w:ascii="宋体" w:hAnsi="宋体"/>
          <w:szCs w:val="21"/>
        </w:rPr>
      </w:pPr>
      <w:r>
        <w:rPr>
          <w:rFonts w:hint="eastAsia" w:ascii="宋体" w:hAnsi="宋体"/>
          <w:szCs w:val="21"/>
        </w:rPr>
        <w:t>44.3中标人应当按照合同约定履行义务，完成中标项目，不得将中标项目转让（转包）给他人。</w:t>
      </w:r>
    </w:p>
    <w:p>
      <w:pPr>
        <w:rPr>
          <w:rFonts w:ascii="黑体" w:hAnsi="宋体" w:eastAsia="黑体"/>
          <w:sz w:val="24"/>
        </w:rPr>
      </w:pPr>
      <w:bookmarkStart w:id="101" w:name="_Toc73518161"/>
      <w:bookmarkStart w:id="102" w:name="_Toc100052411"/>
      <w:bookmarkStart w:id="103" w:name="_Toc73521590"/>
      <w:bookmarkStart w:id="104" w:name="_Toc73521678"/>
      <w:bookmarkStart w:id="105" w:name="_Toc73517683"/>
      <w:r>
        <w:rPr>
          <w:rFonts w:hint="eastAsia" w:ascii="黑体" w:hAnsi="宋体" w:eastAsia="黑体"/>
          <w:sz w:val="24"/>
        </w:rPr>
        <w:t>45.履约担保</w:t>
      </w:r>
      <w:bookmarkEnd w:id="101"/>
      <w:bookmarkEnd w:id="102"/>
      <w:bookmarkEnd w:id="103"/>
      <w:bookmarkEnd w:id="104"/>
      <w:bookmarkEnd w:id="105"/>
    </w:p>
    <w:p>
      <w:pPr>
        <w:ind w:firstLine="411" w:firstLineChars="196"/>
        <w:rPr>
          <w:rFonts w:ascii="宋体" w:hAnsi="宋体"/>
          <w:szCs w:val="21"/>
        </w:rPr>
      </w:pPr>
      <w:r>
        <w:rPr>
          <w:rFonts w:hint="eastAsia" w:ascii="宋体" w:hAnsi="宋体"/>
          <w:szCs w:val="21"/>
        </w:rPr>
        <w:t>45.1在签订项目合同的同时，中标人应按“对通用条款的补充内容”中规定的金额向采购人提交履约担保；</w:t>
      </w:r>
    </w:p>
    <w:p>
      <w:pPr>
        <w:ind w:firstLine="411" w:firstLineChars="196"/>
        <w:rPr>
          <w:rFonts w:ascii="宋体" w:hAnsi="宋体"/>
          <w:szCs w:val="21"/>
        </w:rPr>
      </w:pPr>
      <w:r>
        <w:rPr>
          <w:rFonts w:hint="eastAsia" w:ascii="宋体" w:hAnsi="宋体"/>
          <w:szCs w:val="21"/>
        </w:rPr>
        <w:t>45.2允许供应商自主选择以支票、汇票、本票、保函等非现金方式提交履约担保；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pPr>
        <w:rPr>
          <w:rFonts w:ascii="黑体" w:hAnsi="宋体" w:eastAsia="黑体"/>
          <w:sz w:val="24"/>
        </w:rPr>
      </w:pPr>
      <w:r>
        <w:rPr>
          <w:rFonts w:hint="eastAsia" w:ascii="黑体" w:hAnsi="宋体" w:eastAsia="黑体"/>
          <w:sz w:val="24"/>
        </w:rPr>
        <w:t>46. 合同备案</w:t>
      </w:r>
    </w:p>
    <w:p>
      <w:pPr>
        <w:ind w:firstLine="411" w:firstLineChars="196"/>
        <w:rPr>
          <w:rFonts w:ascii="宋体" w:hAnsi="宋体"/>
          <w:szCs w:val="21"/>
        </w:rPr>
      </w:pPr>
      <w:r>
        <w:rPr>
          <w:rFonts w:hint="eastAsia" w:ascii="宋体" w:hAnsi="宋体"/>
          <w:szCs w:val="21"/>
          <w:lang w:eastAsia="zh-Hans"/>
        </w:rPr>
        <w:t>采购人与中标供应商自中标通知书发出之日起10个工作日内签订政府采购合同，</w:t>
      </w:r>
      <w:r>
        <w:rPr>
          <w:rFonts w:hint="eastAsia" w:ascii="宋体" w:hAnsi="宋体"/>
          <w:szCs w:val="21"/>
        </w:rPr>
        <w:t>并按财政部门规定提交备案。</w:t>
      </w:r>
    </w:p>
    <w:p>
      <w:pPr>
        <w:rPr>
          <w:rFonts w:ascii="黑体" w:hAnsi="宋体" w:eastAsia="黑体"/>
          <w:sz w:val="24"/>
        </w:rPr>
      </w:pPr>
      <w:r>
        <w:rPr>
          <w:rFonts w:hint="eastAsia" w:ascii="黑体" w:hAnsi="宋体" w:eastAsia="黑体"/>
          <w:sz w:val="24"/>
        </w:rPr>
        <w:t>47. 合同变更</w:t>
      </w:r>
    </w:p>
    <w:p>
      <w:pPr>
        <w:ind w:firstLine="411" w:firstLineChars="196"/>
        <w:rPr>
          <w:rFonts w:ascii="宋体" w:hAnsi="宋体"/>
          <w:szCs w:val="21"/>
        </w:rPr>
      </w:pPr>
      <w:r>
        <w:rPr>
          <w:rFonts w:hint="eastAsia" w:ascii="宋体" w:hAnsi="宋体"/>
          <w:szCs w:val="21"/>
        </w:rPr>
        <w:t>合同变更事宜按《深圳市财政局关于优化政府采购合同备案的通知》（深财发保〔2022〕2号）相关规定执行。</w:t>
      </w:r>
    </w:p>
    <w:p>
      <w:pPr>
        <w:rPr>
          <w:rFonts w:ascii="黑体" w:hAnsi="宋体" w:eastAsia="黑体"/>
          <w:sz w:val="24"/>
        </w:rPr>
      </w:pPr>
      <w:r>
        <w:rPr>
          <w:rFonts w:hint="eastAsia" w:ascii="黑体" w:hAnsi="宋体" w:eastAsia="黑体"/>
          <w:sz w:val="24"/>
        </w:rPr>
        <w:t>48. 项目验收</w:t>
      </w:r>
    </w:p>
    <w:p>
      <w:pPr>
        <w:widowControl/>
        <w:ind w:right="176" w:firstLine="420"/>
        <w:jc w:val="left"/>
        <w:rPr>
          <w:rFonts w:ascii="宋体" w:hAnsi="宋体"/>
        </w:rPr>
      </w:pPr>
      <w:r>
        <w:rPr>
          <w:rFonts w:hint="eastAsia" w:ascii="宋体" w:hAnsi="宋体"/>
        </w:rPr>
        <w:t>48.1采购人应当按照招标文件和合同规定的标准和方法，及时组织验收。</w:t>
      </w:r>
      <w:r>
        <w:rPr>
          <w:rFonts w:ascii="宋体" w:hAnsi="宋体"/>
        </w:rPr>
        <w:t xml:space="preserve"> </w:t>
      </w:r>
    </w:p>
    <w:p>
      <w:pPr>
        <w:rPr>
          <w:rFonts w:ascii="黑体" w:hAnsi="宋体" w:eastAsia="黑体"/>
          <w:sz w:val="24"/>
        </w:rPr>
      </w:pPr>
      <w:r>
        <w:rPr>
          <w:rFonts w:hint="eastAsia" w:ascii="黑体" w:hAnsi="宋体" w:eastAsia="黑体"/>
          <w:sz w:val="24"/>
        </w:rPr>
        <w:t>49. 宣传</w:t>
      </w:r>
    </w:p>
    <w:p>
      <w:pPr>
        <w:ind w:left="210" w:leftChars="100" w:firstLine="411" w:firstLineChars="196"/>
        <w:rPr>
          <w:rFonts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pPr>
        <w:ind w:left="210" w:leftChars="100" w:firstLine="411" w:firstLineChars="196"/>
        <w:rPr>
          <w:rFonts w:ascii="宋体" w:hAnsi="宋体"/>
        </w:rPr>
      </w:pPr>
      <w:r>
        <w:rPr>
          <w:rFonts w:ascii="宋体" w:hAnsi="宋体"/>
        </w:rPr>
        <w:t>a.名片、宣传册、广告标语等；</w:t>
      </w:r>
    </w:p>
    <w:p>
      <w:pPr>
        <w:ind w:left="210" w:leftChars="100" w:firstLine="411" w:firstLineChars="196"/>
        <w:rPr>
          <w:rFonts w:ascii="宋体" w:hAnsi="宋体"/>
        </w:rPr>
      </w:pPr>
      <w:r>
        <w:rPr>
          <w:rFonts w:ascii="宋体" w:hAnsi="宋体"/>
        </w:rPr>
        <w:t>b.案例介绍、推广等；</w:t>
      </w:r>
    </w:p>
    <w:p>
      <w:pPr>
        <w:ind w:left="210" w:leftChars="100" w:firstLine="411" w:firstLineChars="196"/>
        <w:rPr>
          <w:rFonts w:ascii="宋体" w:hAnsi="宋体"/>
        </w:rPr>
      </w:pPr>
      <w:r>
        <w:rPr>
          <w:rFonts w:hint="eastAsia" w:ascii="宋体" w:hAnsi="宋体"/>
        </w:rPr>
        <w:t>c.工作</w:t>
      </w:r>
      <w:r>
        <w:rPr>
          <w:rFonts w:ascii="宋体" w:hAnsi="宋体"/>
        </w:rPr>
        <w:t>人员向其他消费群体宣传。</w:t>
      </w:r>
    </w:p>
    <w:p>
      <w:pPr>
        <w:rPr>
          <w:rFonts w:ascii="黑体" w:hAnsi="宋体" w:eastAsia="黑体"/>
          <w:sz w:val="24"/>
        </w:rPr>
      </w:pPr>
      <w:r>
        <w:rPr>
          <w:rFonts w:hint="eastAsia" w:ascii="黑体" w:hAnsi="宋体" w:eastAsia="黑体"/>
          <w:sz w:val="24"/>
        </w:rPr>
        <w:t>50. 供应商违法责任</w:t>
      </w:r>
    </w:p>
    <w:p>
      <w:pPr>
        <w:ind w:firstLine="411" w:firstLineChars="196"/>
        <w:rPr>
          <w:rFonts w:ascii="宋体" w:hAnsi="宋体"/>
          <w:szCs w:val="21"/>
        </w:rPr>
      </w:pPr>
      <w:r>
        <w:rPr>
          <w:rFonts w:hint="eastAsia" w:ascii="宋体" w:hAnsi="宋体"/>
          <w:szCs w:val="21"/>
        </w:rPr>
        <w:t>50</w:t>
      </w:r>
      <w:r>
        <w:rPr>
          <w:rFonts w:ascii="宋体" w:hAnsi="宋体"/>
          <w:szCs w:val="21"/>
        </w:rPr>
        <w:t>.1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11" w:firstLineChars="196"/>
        <w:rPr>
          <w:rFonts w:ascii="宋体" w:hAnsi="宋体"/>
          <w:szCs w:val="21"/>
        </w:rPr>
      </w:pPr>
      <w:r>
        <w:rPr>
          <w:rFonts w:hint="eastAsia" w:ascii="宋体" w:hAnsi="宋体"/>
          <w:szCs w:val="21"/>
        </w:rPr>
        <w:t>（1）在采购活动中应当回避而未回避的；</w:t>
      </w:r>
    </w:p>
    <w:p>
      <w:pPr>
        <w:ind w:firstLine="411" w:firstLineChars="196"/>
        <w:rPr>
          <w:rFonts w:ascii="宋体" w:hAnsi="宋体"/>
          <w:szCs w:val="21"/>
        </w:rPr>
      </w:pPr>
      <w:r>
        <w:rPr>
          <w:rFonts w:hint="eastAsia" w:ascii="宋体" w:hAnsi="宋体"/>
          <w:szCs w:val="21"/>
        </w:rPr>
        <w:t>（2）未按本条例规定签订、履行采购合同，造成严重后果的；</w:t>
      </w:r>
    </w:p>
    <w:p>
      <w:pPr>
        <w:ind w:firstLine="411" w:firstLineChars="196"/>
        <w:rPr>
          <w:rFonts w:ascii="宋体" w:hAnsi="宋体"/>
          <w:szCs w:val="21"/>
        </w:rPr>
      </w:pPr>
      <w:r>
        <w:rPr>
          <w:rFonts w:hint="eastAsia" w:ascii="宋体" w:hAnsi="宋体"/>
          <w:szCs w:val="21"/>
        </w:rPr>
        <w:t>（3）隐瞒真实情况，提供虚假资料的；</w:t>
      </w:r>
    </w:p>
    <w:p>
      <w:pPr>
        <w:ind w:firstLine="411" w:firstLineChars="196"/>
        <w:rPr>
          <w:rFonts w:ascii="宋体" w:hAnsi="宋体"/>
          <w:szCs w:val="21"/>
        </w:rPr>
      </w:pPr>
      <w:r>
        <w:rPr>
          <w:rFonts w:hint="eastAsia" w:ascii="宋体" w:hAnsi="宋体"/>
          <w:szCs w:val="21"/>
        </w:rPr>
        <w:t>（4）以非法手段排斥其他供应商参与竞争的；</w:t>
      </w:r>
    </w:p>
    <w:p>
      <w:pPr>
        <w:ind w:firstLine="411" w:firstLineChars="196"/>
        <w:rPr>
          <w:rFonts w:ascii="宋体" w:hAnsi="宋体"/>
          <w:szCs w:val="21"/>
        </w:rPr>
      </w:pPr>
      <w:r>
        <w:rPr>
          <w:rFonts w:hint="eastAsia" w:ascii="宋体" w:hAnsi="宋体"/>
          <w:szCs w:val="21"/>
        </w:rPr>
        <w:t>（5）与其他采购参加人串通投标的；</w:t>
      </w:r>
    </w:p>
    <w:p>
      <w:pPr>
        <w:ind w:firstLine="411" w:firstLineChars="196"/>
        <w:rPr>
          <w:rFonts w:ascii="宋体" w:hAnsi="宋体"/>
          <w:szCs w:val="21"/>
        </w:rPr>
      </w:pPr>
      <w:r>
        <w:rPr>
          <w:rFonts w:hint="eastAsia" w:ascii="宋体" w:hAnsi="宋体"/>
          <w:szCs w:val="21"/>
        </w:rPr>
        <w:t>（6）恶意投诉的；</w:t>
      </w:r>
    </w:p>
    <w:p>
      <w:pPr>
        <w:ind w:firstLine="411" w:firstLineChars="196"/>
        <w:rPr>
          <w:rFonts w:ascii="宋体" w:hAnsi="宋体"/>
          <w:szCs w:val="21"/>
        </w:rPr>
      </w:pPr>
      <w:r>
        <w:rPr>
          <w:rFonts w:hint="eastAsia" w:ascii="宋体" w:hAnsi="宋体"/>
          <w:szCs w:val="21"/>
        </w:rPr>
        <w:t>（7）向采购项目相关人行贿或者提供其他不当利益的；</w:t>
      </w:r>
    </w:p>
    <w:p>
      <w:pPr>
        <w:ind w:firstLine="411" w:firstLineChars="196"/>
        <w:rPr>
          <w:rFonts w:ascii="宋体" w:hAnsi="宋体"/>
          <w:szCs w:val="21"/>
        </w:rPr>
      </w:pPr>
      <w:r>
        <w:rPr>
          <w:rFonts w:hint="eastAsia" w:ascii="宋体" w:hAnsi="宋体"/>
          <w:szCs w:val="21"/>
        </w:rPr>
        <w:t>（8）阻碍、抗拒主管部门监督检查的；</w:t>
      </w:r>
    </w:p>
    <w:p>
      <w:pPr>
        <w:ind w:firstLine="411" w:firstLineChars="196"/>
        <w:rPr>
          <w:rFonts w:ascii="宋体" w:hAnsi="宋体"/>
          <w:szCs w:val="21"/>
        </w:rPr>
      </w:pPr>
      <w:r>
        <w:rPr>
          <w:rFonts w:hint="eastAsia" w:ascii="宋体" w:hAnsi="宋体"/>
          <w:szCs w:val="21"/>
        </w:rPr>
        <w:t>（9）其他违反本条例规定的行为。</w:t>
      </w:r>
    </w:p>
    <w:p>
      <w:pPr>
        <w:ind w:firstLine="411" w:firstLineChars="196"/>
        <w:rPr>
          <w:rFonts w:ascii="宋体" w:hAnsi="宋体"/>
          <w:szCs w:val="21"/>
        </w:rPr>
      </w:pPr>
      <w:r>
        <w:rPr>
          <w:rFonts w:hint="eastAsia" w:ascii="宋体" w:hAnsi="宋体"/>
          <w:szCs w:val="21"/>
        </w:rPr>
        <w:t>50</w:t>
      </w:r>
      <w:r>
        <w:rPr>
          <w:rFonts w:ascii="宋体" w:hAnsi="宋体"/>
          <w:szCs w:val="21"/>
        </w:rPr>
        <w:t xml:space="preserve">.2 </w:t>
      </w:r>
      <w:r>
        <w:rPr>
          <w:rFonts w:hint="eastAsia" w:ascii="宋体" w:hAnsi="宋体"/>
          <w:szCs w:val="21"/>
        </w:rPr>
        <w:t>根据《深圳市财政局关于调整政府采购投标（响应）保证金管理政策的通知 》（深财购〔2021〕51号）的要求，供应商在政府采购活动中出现《深圳经济特区政府采购条例实施细则》第八十条所列情形的，</w:t>
      </w:r>
      <w:bookmarkStart w:id="106" w:name="_Hlk72440769"/>
      <w:r>
        <w:rPr>
          <w:rFonts w:hint="eastAsia" w:ascii="宋体" w:hAnsi="宋体"/>
          <w:szCs w:val="21"/>
        </w:rPr>
        <w:t>政府集中采购机构或采购人不予退还其交纳的谈判保证金，情节严重的，并由主管部门</w:t>
      </w:r>
      <w:bookmarkEnd w:id="106"/>
      <w:r>
        <w:rPr>
          <w:rFonts w:hint="eastAsia" w:ascii="宋体" w:hAnsi="宋体"/>
          <w:szCs w:val="21"/>
        </w:rPr>
        <w:t>记入供应商诚信档案，予以通报：</w:t>
      </w:r>
    </w:p>
    <w:p>
      <w:pPr>
        <w:ind w:firstLine="411" w:firstLineChars="196"/>
        <w:rPr>
          <w:rFonts w:ascii="宋体" w:hAnsi="宋体"/>
          <w:szCs w:val="21"/>
        </w:rPr>
      </w:pPr>
      <w:r>
        <w:rPr>
          <w:rFonts w:hint="eastAsia" w:ascii="宋体" w:hAnsi="宋体"/>
          <w:szCs w:val="21"/>
        </w:rPr>
        <w:t>（1</w:t>
      </w:r>
      <w:r>
        <w:rPr>
          <w:rFonts w:ascii="宋体" w:hAnsi="宋体"/>
          <w:szCs w:val="21"/>
        </w:rPr>
        <w:t>）投标截止后，撤销投标的；</w:t>
      </w:r>
    </w:p>
    <w:p>
      <w:pPr>
        <w:ind w:firstLine="411" w:firstLineChars="196"/>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11" w:firstLineChars="196"/>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pPr>
        <w:ind w:firstLine="411" w:firstLineChars="196"/>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90"/>
    <w:p>
      <w:pPr>
        <w:pStyle w:val="7"/>
        <w:numPr>
          <w:ilvl w:val="0"/>
          <w:numId w:val="113"/>
        </w:numPr>
        <w:spacing w:before="120" w:beforeLines="50" w:after="120" w:afterLines="50"/>
        <w:ind w:left="562" w:hanging="562"/>
        <w:rPr>
          <w:sz w:val="28"/>
          <w:szCs w:val="28"/>
        </w:rPr>
      </w:pPr>
      <w:r>
        <w:rPr>
          <w:rFonts w:hint="eastAsia"/>
          <w:sz w:val="28"/>
          <w:szCs w:val="28"/>
        </w:rPr>
        <w:t>质疑处理</w:t>
      </w:r>
    </w:p>
    <w:p>
      <w:pPr>
        <w:rPr>
          <w:rFonts w:ascii="黑体" w:hAnsi="宋体" w:eastAsia="黑体"/>
          <w:sz w:val="24"/>
        </w:rPr>
      </w:pPr>
      <w:bookmarkStart w:id="107" w:name="_Hlk72439706"/>
      <w:r>
        <w:rPr>
          <w:rFonts w:hint="eastAsia" w:ascii="黑体" w:hAnsi="宋体" w:eastAsia="黑体"/>
          <w:sz w:val="24"/>
        </w:rPr>
        <w:t>51.质疑提出与答复</w:t>
      </w:r>
    </w:p>
    <w:p>
      <w:pPr>
        <w:rPr>
          <w:rFonts w:ascii="宋体" w:hAnsi="宋体"/>
          <w:szCs w:val="21"/>
        </w:rPr>
      </w:pPr>
      <w:r>
        <w:rPr>
          <w:rFonts w:hint="eastAsia" w:ascii="宋体" w:hAnsi="宋体"/>
          <w:szCs w:val="21"/>
        </w:rPr>
        <w:t xml:space="preserve">    51.1提出质疑</w:t>
      </w:r>
    </w:p>
    <w:p>
      <w:pPr>
        <w:rPr>
          <w:rFonts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参与政府采购活动的供应商认为自己的权益在采购活动中受到损害的，应当自知道或者应当知道其权益受到损害之日起七个工作日内向采购人、政府集中采购机构以书面形式提出质疑。</w:t>
      </w:r>
    </w:p>
    <w:p>
      <w:pPr>
        <w:rPr>
          <w:rFonts w:ascii="宋体" w:hAnsi="宋体"/>
          <w:szCs w:val="21"/>
        </w:rPr>
      </w:pPr>
      <w:r>
        <w:rPr>
          <w:rFonts w:hint="eastAsia" w:ascii="宋体" w:hAnsi="宋体"/>
          <w:szCs w:val="21"/>
        </w:rPr>
        <w:t xml:space="preserve">    51.2</w:t>
      </w:r>
      <w:r>
        <w:rPr>
          <w:rFonts w:ascii="宋体" w:hAnsi="宋体"/>
          <w:szCs w:val="21"/>
        </w:rPr>
        <w:t>法律依据</w:t>
      </w:r>
    </w:p>
    <w:p>
      <w:pPr>
        <w:rPr>
          <w:rFonts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rPr>
          <w:rFonts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51.3质疑条件</w:t>
      </w:r>
    </w:p>
    <w:p>
      <w:pPr>
        <w:rPr>
          <w:rFonts w:ascii="宋体" w:hAnsi="宋体"/>
          <w:szCs w:val="21"/>
        </w:rPr>
      </w:pPr>
      <w:r>
        <w:rPr>
          <w:rFonts w:hint="eastAsia" w:ascii="宋体" w:hAnsi="宋体"/>
          <w:szCs w:val="21"/>
        </w:rPr>
        <w:t xml:space="preserve">    51.3.1提出质疑的供应商应当是参与所质疑项目采购活动的供应商；以联合体形式参与的，质疑应当由组成联合体的所有成员共同提出；</w:t>
      </w:r>
    </w:p>
    <w:p>
      <w:pPr>
        <w:rPr>
          <w:rFonts w:ascii="宋体" w:hAnsi="宋体"/>
          <w:szCs w:val="21"/>
        </w:rPr>
      </w:pPr>
      <w:r>
        <w:rPr>
          <w:rFonts w:hint="eastAsia" w:ascii="宋体" w:hAnsi="宋体"/>
          <w:szCs w:val="21"/>
        </w:rPr>
        <w:t xml:space="preserve">    51.3.2应当在法定质疑期内一次性提出针对同一采购程序环节的质疑，法定质疑期为自知道或应当知道权益受到损害之日起7个工作日内。应当知道其权益受到损害之日是指：对采购文件的质疑，为采购文件公布之日；对采购过程的质疑，为各采购程序环节结束之日；对中标（成交）结果以及评审委员会组成人员的质疑，为中标（成交）结果公示之日；供应商应认真、全面核查公告及附件内容，审慎研判相关事项，依法规范行使质疑权利。若项目发布更正公告的，对更正公告及附件中更正、修改的内容提出质疑，以更正公告时间计算质疑期限；对未作修改的原公告及附件内容提出质疑的，仍以原公告时间计算质疑期限。</w:t>
      </w:r>
    </w:p>
    <w:p>
      <w:pPr>
        <w:ind w:firstLine="420"/>
        <w:rPr>
          <w:rFonts w:ascii="宋体" w:hAnsi="宋体"/>
          <w:szCs w:val="21"/>
        </w:rPr>
      </w:pPr>
      <w:r>
        <w:rPr>
          <w:rFonts w:hint="eastAsia" w:ascii="宋体" w:hAnsi="宋体"/>
          <w:szCs w:val="21"/>
        </w:rPr>
        <w:t>51.3.3应提交书面质疑函，质疑函应当包括以下内容：</w:t>
      </w:r>
      <w:r>
        <w:rPr>
          <w:rFonts w:ascii="宋体" w:hAnsi="宋体"/>
          <w:szCs w:val="21"/>
        </w:rPr>
        <w:t xml:space="preserve"> </w:t>
      </w:r>
    </w:p>
    <w:p>
      <w:pPr>
        <w:ind w:firstLine="420"/>
        <w:rPr>
          <w:rFonts w:ascii="宋体" w:hAnsi="宋体"/>
          <w:szCs w:val="21"/>
        </w:rPr>
      </w:pPr>
      <w:r>
        <w:rPr>
          <w:rFonts w:hint="eastAsia" w:ascii="宋体" w:hAnsi="宋体"/>
          <w:szCs w:val="21"/>
        </w:rPr>
        <w:t>（1）供应商的名称（或者姓名）、地址、邮编、邮箱、联系人及联系电话；</w:t>
      </w:r>
    </w:p>
    <w:p>
      <w:pPr>
        <w:ind w:firstLine="420" w:firstLineChars="200"/>
        <w:rPr>
          <w:rFonts w:ascii="宋体" w:hAnsi="宋体"/>
          <w:szCs w:val="21"/>
        </w:rPr>
      </w:pPr>
      <w:r>
        <w:rPr>
          <w:rFonts w:hint="eastAsia" w:ascii="宋体" w:hAnsi="宋体"/>
          <w:szCs w:val="21"/>
        </w:rPr>
        <w:t>（2）质疑项目的名称、编号；</w:t>
      </w:r>
    </w:p>
    <w:p>
      <w:pPr>
        <w:ind w:firstLine="420" w:firstLineChars="200"/>
        <w:rPr>
          <w:rFonts w:ascii="宋体" w:hAnsi="宋体"/>
          <w:szCs w:val="21"/>
        </w:rPr>
      </w:pPr>
      <w:r>
        <w:rPr>
          <w:rFonts w:hint="eastAsia" w:ascii="宋体" w:hAnsi="宋体"/>
          <w:szCs w:val="21"/>
        </w:rPr>
        <w:t>（3）具体、明确的质疑对象、质疑事项和质疑请求；</w:t>
      </w:r>
    </w:p>
    <w:p>
      <w:pPr>
        <w:ind w:firstLine="420" w:firstLineChars="200"/>
        <w:rPr>
          <w:rFonts w:ascii="宋体" w:hAnsi="宋体"/>
          <w:szCs w:val="21"/>
        </w:rPr>
      </w:pPr>
      <w:r>
        <w:rPr>
          <w:rFonts w:hint="eastAsia" w:ascii="宋体" w:hAnsi="宋体"/>
          <w:szCs w:val="21"/>
        </w:rPr>
        <w:t>（4）因质疑事项而受损害的权益；</w:t>
      </w:r>
    </w:p>
    <w:p>
      <w:pPr>
        <w:ind w:firstLine="420" w:firstLineChars="200"/>
        <w:rPr>
          <w:rFonts w:ascii="宋体" w:hAnsi="宋体"/>
          <w:szCs w:val="21"/>
        </w:rPr>
      </w:pPr>
      <w:r>
        <w:rPr>
          <w:rFonts w:hint="eastAsia" w:ascii="宋体" w:hAnsi="宋体"/>
          <w:szCs w:val="21"/>
        </w:rPr>
        <w:t>（5）事实依据；</w:t>
      </w:r>
    </w:p>
    <w:p>
      <w:pPr>
        <w:ind w:firstLine="420" w:firstLineChars="200"/>
        <w:rPr>
          <w:rFonts w:ascii="宋体" w:hAnsi="宋体"/>
          <w:szCs w:val="21"/>
        </w:rPr>
      </w:pPr>
      <w:r>
        <w:rPr>
          <w:rFonts w:hint="eastAsia" w:ascii="宋体" w:hAnsi="宋体"/>
          <w:szCs w:val="21"/>
        </w:rPr>
        <w:t>（6）必要的法律依据；</w:t>
      </w:r>
    </w:p>
    <w:p>
      <w:pPr>
        <w:ind w:firstLine="420" w:firstLineChars="200"/>
        <w:rPr>
          <w:rFonts w:ascii="宋体" w:hAnsi="宋体"/>
          <w:szCs w:val="21"/>
        </w:rPr>
      </w:pPr>
      <w:r>
        <w:rPr>
          <w:rFonts w:hint="eastAsia" w:ascii="宋体" w:hAnsi="宋体"/>
          <w:szCs w:val="21"/>
        </w:rPr>
        <w:t>（7）提出质疑的日期。</w:t>
      </w:r>
    </w:p>
    <w:p>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ascii="宋体" w:hAnsi="宋体"/>
          <w:szCs w:val="21"/>
        </w:rPr>
      </w:pPr>
      <w:r>
        <w:rPr>
          <w:rFonts w:hint="eastAsia" w:ascii="宋体" w:hAnsi="宋体"/>
          <w:szCs w:val="21"/>
        </w:rPr>
        <w:t>51.4提交</w:t>
      </w:r>
      <w:r>
        <w:rPr>
          <w:rFonts w:ascii="宋体" w:hAnsi="宋体"/>
          <w:szCs w:val="21"/>
        </w:rPr>
        <w:t>材料</w:t>
      </w:r>
    </w:p>
    <w:p>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ascii="宋体" w:hAnsi="宋体"/>
          <w:szCs w:val="21"/>
        </w:rPr>
      </w:pPr>
      <w:r>
        <w:rPr>
          <w:rFonts w:hint="eastAsia" w:ascii="宋体" w:hAnsi="宋体"/>
          <w:szCs w:val="21"/>
        </w:rPr>
        <w:t>51.5收文地点</w:t>
      </w:r>
    </w:p>
    <w:p>
      <w:pPr>
        <w:ind w:firstLine="421" w:firstLineChars="200"/>
        <w:rPr>
          <w:b/>
          <w:bCs/>
          <w:color w:val="FF0000"/>
        </w:rPr>
      </w:pPr>
      <w:r>
        <w:rPr>
          <w:rFonts w:hint="eastAsia" w:ascii="宋体" w:hAnsi="宋体"/>
          <w:b/>
          <w:bCs/>
          <w:szCs w:val="21"/>
        </w:rPr>
        <w:t>地址：</w:t>
      </w:r>
      <w:r>
        <w:rPr>
          <w:rFonts w:hint="eastAsia"/>
          <w:b/>
          <w:bCs/>
        </w:rPr>
        <w:t>深圳公共资源交易中心（深圳交易集团有限公司</w:t>
      </w:r>
      <w:r>
        <w:rPr>
          <w:rFonts w:hint="eastAsia"/>
          <w:b/>
          <w:bCs/>
          <w:lang w:eastAsia="zh-CN"/>
        </w:rPr>
        <w:t>盐田</w:t>
      </w:r>
      <w:r>
        <w:rPr>
          <w:rFonts w:hint="eastAsia"/>
          <w:b/>
          <w:bCs/>
        </w:rPr>
        <w:t>分公司）深圳市盐田区海景二路1025号壹海国际中心9楼901。质疑咨询电话：</w:t>
      </w:r>
      <w:bookmarkStart w:id="108" w:name="_Hlk235714740"/>
      <w:r>
        <w:rPr>
          <w:rFonts w:hint="eastAsia"/>
          <w:b/>
          <w:bCs/>
        </w:rPr>
        <w:t>0755-</w:t>
      </w:r>
      <w:bookmarkEnd w:id="108"/>
      <w:r>
        <w:rPr>
          <w:rFonts w:hint="eastAsia"/>
          <w:b/>
          <w:bCs/>
          <w:lang w:val="en-US" w:eastAsia="zh-CN"/>
        </w:rPr>
        <w:t>25869725</w:t>
      </w:r>
      <w:r>
        <w:rPr>
          <w:rFonts w:hint="eastAsia"/>
          <w:b/>
          <w:bCs/>
        </w:rPr>
        <w:t>。</w:t>
      </w:r>
    </w:p>
    <w:p>
      <w:pPr>
        <w:ind w:firstLine="420" w:firstLineChars="200"/>
        <w:rPr>
          <w:rFonts w:ascii="宋体" w:hAnsi="宋体"/>
          <w:szCs w:val="21"/>
        </w:rPr>
      </w:pPr>
      <w:r>
        <w:rPr>
          <w:rFonts w:hint="eastAsia" w:ascii="宋体" w:hAnsi="宋体"/>
          <w:szCs w:val="21"/>
        </w:rPr>
        <w:t>51.6收文办理</w:t>
      </w:r>
      <w:r>
        <w:rPr>
          <w:rFonts w:ascii="宋体" w:hAnsi="宋体"/>
          <w:szCs w:val="21"/>
        </w:rPr>
        <w:t>程序</w:t>
      </w:r>
    </w:p>
    <w:p>
      <w:pPr>
        <w:ind w:firstLine="420" w:firstLineChars="200"/>
        <w:rPr>
          <w:rFonts w:ascii="宋体" w:hAnsi="宋体"/>
          <w:szCs w:val="21"/>
        </w:rPr>
      </w:pPr>
      <w:r>
        <w:rPr>
          <w:rFonts w:hint="eastAsia" w:ascii="宋体" w:hAnsi="宋体"/>
          <w:szCs w:val="21"/>
        </w:rPr>
        <w:t>51.6.1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ascii="仿宋" w:hAnsi="仿宋" w:eastAsia="仿宋"/>
          <w:sz w:val="28"/>
          <w:szCs w:val="28"/>
        </w:rPr>
      </w:pPr>
      <w:r>
        <w:rPr>
          <w:rFonts w:hint="eastAsia" w:ascii="宋体" w:hAnsi="宋体"/>
          <w:szCs w:val="21"/>
        </w:rPr>
        <w:t>51.6.2供应商提交的质疑材料不符合质疑条件的，视情况处理：</w:t>
      </w:r>
    </w:p>
    <w:p>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ascii="宋体" w:hAnsi="宋体"/>
          <w:szCs w:val="21"/>
        </w:rPr>
      </w:pPr>
      <w:r>
        <w:rPr>
          <w:rFonts w:hint="eastAsia" w:ascii="宋体" w:hAnsi="宋体"/>
          <w:szCs w:val="21"/>
        </w:rPr>
        <w:t>供应商提交的质疑存在下列情形之一的，不予受理：</w:t>
      </w:r>
    </w:p>
    <w:p>
      <w:pPr>
        <w:ind w:firstLine="420" w:firstLineChars="200"/>
        <w:rPr>
          <w:rFonts w:ascii="宋体" w:hAnsi="宋体"/>
          <w:szCs w:val="21"/>
        </w:rPr>
      </w:pPr>
      <w:r>
        <w:rPr>
          <w:rFonts w:hint="eastAsia" w:ascii="宋体" w:hAnsi="宋体"/>
          <w:szCs w:val="21"/>
        </w:rPr>
        <w:t>（1）质疑主体不满足要求的；</w:t>
      </w:r>
    </w:p>
    <w:p>
      <w:pPr>
        <w:ind w:firstLine="420" w:firstLineChars="200"/>
        <w:rPr>
          <w:rFonts w:ascii="宋体" w:hAnsi="宋体"/>
          <w:szCs w:val="21"/>
        </w:rPr>
      </w:pPr>
      <w:r>
        <w:rPr>
          <w:rFonts w:hint="eastAsia" w:ascii="宋体" w:hAnsi="宋体"/>
          <w:szCs w:val="21"/>
        </w:rPr>
        <w:t>（2）供应商自身权益未受到损害的；</w:t>
      </w:r>
    </w:p>
    <w:p>
      <w:pPr>
        <w:ind w:firstLine="420" w:firstLineChars="200"/>
        <w:rPr>
          <w:rFonts w:ascii="宋体" w:hAnsi="宋体"/>
          <w:szCs w:val="21"/>
        </w:rPr>
      </w:pPr>
      <w:r>
        <w:rPr>
          <w:rFonts w:hint="eastAsia" w:ascii="宋体" w:hAnsi="宋体"/>
          <w:szCs w:val="21"/>
        </w:rPr>
        <w:t>（3）供应商未在法定质疑期限内提出质疑的；</w:t>
      </w:r>
    </w:p>
    <w:p>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ascii="宋体" w:hAnsi="宋体"/>
          <w:szCs w:val="21"/>
        </w:rPr>
      </w:pPr>
      <w:r>
        <w:rPr>
          <w:rFonts w:hint="eastAsia" w:ascii="宋体" w:hAnsi="宋体"/>
          <w:szCs w:val="21"/>
        </w:rPr>
        <w:t>（5）其他不符合受理条件情形的。</w:t>
      </w:r>
    </w:p>
    <w:p>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pPr>
        <w:rPr>
          <w:rFonts w:ascii="宋体" w:hAnsi="宋体"/>
          <w:szCs w:val="21"/>
        </w:rPr>
      </w:pPr>
      <w:r>
        <w:rPr>
          <w:rFonts w:hint="eastAsia" w:ascii="宋体" w:hAnsi="宋体"/>
          <w:color w:val="FF0000"/>
          <w:szCs w:val="21"/>
        </w:rPr>
        <w:t xml:space="preserve">  </w:t>
      </w:r>
      <w:r>
        <w:rPr>
          <w:rFonts w:hint="eastAsia" w:ascii="宋体" w:hAnsi="宋体"/>
          <w:szCs w:val="21"/>
        </w:rPr>
        <w:t xml:space="preserve">  51.7质疑答复时限</w:t>
      </w:r>
    </w:p>
    <w:p>
      <w:pPr>
        <w:rPr>
          <w:rFonts w:ascii="宋体" w:hAnsi="宋体"/>
          <w:szCs w:val="21"/>
        </w:rPr>
      </w:pPr>
      <w:r>
        <w:rPr>
          <w:rFonts w:hint="eastAsia" w:ascii="宋体" w:hAnsi="宋体"/>
          <w:szCs w:val="21"/>
        </w:rPr>
        <w:t xml:space="preserve">    自收文之日起七个工作日内。</w:t>
      </w:r>
    </w:p>
    <w:p>
      <w:pPr>
        <w:rPr>
          <w:rFonts w:ascii="宋体" w:hAnsi="宋体"/>
          <w:szCs w:val="21"/>
        </w:rPr>
      </w:pPr>
      <w:r>
        <w:rPr>
          <w:rFonts w:hint="eastAsia" w:ascii="宋体" w:hAnsi="宋体"/>
          <w:szCs w:val="21"/>
        </w:rPr>
        <w:t xml:space="preserve">    51.8投诉</w:t>
      </w:r>
    </w:p>
    <w:p>
      <w:pPr>
        <w:rPr>
          <w:rFonts w:ascii="宋体" w:hAnsi="宋体"/>
          <w:szCs w:val="21"/>
        </w:rPr>
      </w:pPr>
      <w:r>
        <w:rPr>
          <w:rFonts w:hint="eastAsia" w:ascii="宋体" w:hAnsi="宋体"/>
          <w:szCs w:val="21"/>
        </w:rPr>
        <w:t xml:space="preserve">    对质疑答复不满意或者未在规定时间内答复的，提出质疑的供应商可以在答复期满后15个工作日内向同级财政部门投诉。</w:t>
      </w:r>
    </w:p>
    <w:p>
      <w:pPr>
        <w:rPr>
          <w:rFonts w:ascii="黑体" w:hAnsi="宋体" w:eastAsia="黑体"/>
          <w:sz w:val="24"/>
        </w:rPr>
      </w:pPr>
      <w:r>
        <w:rPr>
          <w:rFonts w:hint="eastAsia" w:ascii="黑体" w:hAnsi="宋体" w:eastAsia="黑体"/>
          <w:sz w:val="24"/>
        </w:rPr>
        <w:t>52. 质疑后续处理</w:t>
      </w:r>
    </w:p>
    <w:p>
      <w:pPr>
        <w:rPr>
          <w:rFonts w:ascii="宋体" w:hAnsi="宋体"/>
          <w:szCs w:val="21"/>
        </w:rPr>
      </w:pPr>
      <w:r>
        <w:rPr>
          <w:rFonts w:hint="eastAsia" w:ascii="宋体" w:hAnsi="宋体"/>
          <w:szCs w:val="21"/>
        </w:rPr>
        <w:t xml:space="preserve">    52.1供应商质疑不成立，或者成立但未对中标、成交结果构成影响的，继续开展采购活动。</w:t>
      </w:r>
    </w:p>
    <w:p>
      <w:pPr>
        <w:ind w:firstLine="420"/>
        <w:rPr>
          <w:rFonts w:ascii="宋体" w:hAnsi="宋体"/>
          <w:szCs w:val="21"/>
        </w:rPr>
      </w:pPr>
      <w:r>
        <w:rPr>
          <w:rFonts w:hint="eastAsia" w:ascii="宋体" w:hAnsi="宋体"/>
          <w:szCs w:val="21"/>
        </w:rPr>
        <w:t>52.2供应商质疑成立且影响或者可能影响中标、成交结果的，按照下列情况处理：</w:t>
      </w:r>
    </w:p>
    <w:p>
      <w:pPr>
        <w:numPr>
          <w:ilvl w:val="0"/>
          <w:numId w:val="114"/>
        </w:numPr>
        <w:ind w:firstLine="420"/>
        <w:rPr>
          <w:rFonts w:ascii="宋体" w:hAnsi="宋体"/>
          <w:szCs w:val="21"/>
        </w:rPr>
      </w:pPr>
      <w:r>
        <w:rPr>
          <w:rFonts w:hint="eastAsia" w:ascii="宋体" w:hAnsi="宋体"/>
          <w:szCs w:val="21"/>
        </w:rPr>
        <w:t>对采购文件提出的质疑，依法通过澄清或者修改可以继续开展采购活动的，澄清或者修改采购文件后继续开展采购活动；否则应当修改采购文件后重新开展采购活动。</w:t>
      </w:r>
    </w:p>
    <w:p>
      <w:pPr>
        <w:ind w:firstLine="432"/>
        <w:rPr>
          <w:rFonts w:ascii="宋体" w:hAnsi="宋体"/>
          <w:szCs w:val="21"/>
        </w:rPr>
      </w:pPr>
      <w:r>
        <w:rPr>
          <w:rFonts w:hint="eastAsia" w:ascii="宋体" w:hAnsi="宋体"/>
          <w:szCs w:val="21"/>
        </w:rPr>
        <w:t>对采购过程、中标或者成交结果提出的质疑，合格供应商符合法定数量时，可以从合格的中标或者成交候选人中另行确定中标、成交供应商的，应当依法另行确定中标、成交供应商；否则应当重新开展采购活动。</w:t>
      </w:r>
    </w:p>
    <w:p>
      <w:pPr>
        <w:ind w:left="420"/>
        <w:jc w:val="center"/>
      </w:pPr>
      <w:r>
        <w:t>---- END ----</w:t>
      </w:r>
    </w:p>
    <w:bookmarkEnd w:id="107"/>
    <w:p>
      <w:pPr>
        <w:rPr>
          <w:rFonts w:ascii="宋体" w:hAnsi="宋体"/>
          <w:szCs w:val="21"/>
        </w:rPr>
      </w:pPr>
    </w:p>
    <w:sectPr>
      <w:pgSz w:w="11907" w:h="16840"/>
      <w:pgMar w:top="1440" w:right="1797" w:bottom="1440" w:left="1797" w:header="851" w:footer="992" w:gutter="0"/>
      <w:cols w:space="425" w:num="1"/>
      <w:titlePg/>
      <w:docGrid w:linePitch="46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采购部" w:date="2026-07-23T09:32:00Z" w:initials="采购部">
    <w:p w14:paraId="7938E997">
      <w:pPr>
        <w:pStyle w:val="18"/>
      </w:pPr>
      <w:r>
        <w:rPr>
          <w:rFonts w:hint="eastAsia"/>
        </w:rPr>
        <w:t>异常低价审查单独设置。</w:t>
      </w:r>
    </w:p>
  </w:comment>
  <w:comment w:id="1" w:author="采购部" w:date="2026-07-23T09:33:00Z" w:initials="采购部">
    <w:p w14:paraId="8F3F0EF3">
      <w:pPr>
        <w:pStyle w:val="18"/>
      </w:pPr>
      <w:r>
        <w:rPr>
          <w:rFonts w:hint="eastAsia"/>
        </w:rPr>
        <w:t>根据《关于推动解决政府采购异常低价问题的通知》（财库〔2026〕2号）调整。</w:t>
      </w:r>
    </w:p>
    <w:p w14:paraId="DBFFBC7D">
      <w:pPr>
        <w:pStyle w:val="18"/>
      </w:pPr>
      <w:r>
        <w:rPr>
          <w:rFonts w:hint="eastAsia"/>
        </w:rPr>
        <w:t>此外，采购人可以结合具体项目实际情况，提高第1项至第3项中启动异常低价投标（响应）审查的数值标准，但是最高不得超过65%（≤65%）。第1项至第3项在规定的数值标准范围内允许不一致。</w:t>
      </w:r>
    </w:p>
  </w:comment>
  <w:comment w:id="2" w:author="采购部" w:date="2026-07-23T09:33:00Z" w:initials="采购部">
    <w:p w14:paraId="EFF3BA65">
      <w:pPr>
        <w:pStyle w:val="18"/>
      </w:pPr>
      <w:r>
        <w:rPr>
          <w:rFonts w:hint="eastAsia"/>
        </w:rPr>
        <w:t>采购人自行选择50%-65%</w:t>
      </w:r>
    </w:p>
  </w:comment>
  <w:comment w:id="3" w:author="采购部" w:date="2026-07-23T09:33:00Z" w:initials="采购部">
    <w:p w14:paraId="3DAF16BF">
      <w:pPr>
        <w:pStyle w:val="18"/>
      </w:pPr>
      <w:r>
        <w:rPr>
          <w:rFonts w:hAnsi="宋体" w:cs="宋体"/>
          <w:sz w:val="24"/>
          <w:szCs w:val="24"/>
        </w:rPr>
        <w:t>与本条前述数值保持一致</w:t>
      </w:r>
    </w:p>
  </w:comment>
  <w:comment w:id="4" w:author="采购部" w:date="2026-07-23T09:33:00Z" w:initials="采购部">
    <w:p w14:paraId="7FFF29C0">
      <w:pPr>
        <w:pStyle w:val="18"/>
      </w:pPr>
      <w:r>
        <w:rPr>
          <w:rFonts w:hint="eastAsia"/>
        </w:rPr>
        <w:t>采购人自行选择50%-65%</w:t>
      </w:r>
    </w:p>
  </w:comment>
  <w:comment w:id="5" w:author="采购部" w:date="2026-07-23T09:33:00Z" w:initials="采购部">
    <w:p w14:paraId="765E286B">
      <w:pPr>
        <w:pStyle w:val="18"/>
      </w:pPr>
      <w:r>
        <w:rPr>
          <w:rFonts w:hAnsi="宋体" w:cs="宋体"/>
          <w:sz w:val="24"/>
          <w:szCs w:val="24"/>
        </w:rPr>
        <w:t>与本条前述数值保持一致</w:t>
      </w:r>
    </w:p>
  </w:comment>
  <w:comment w:id="6" w:author="采购部" w:date="2026-07-23T09:34:00Z" w:initials="采购部">
    <w:p w14:paraId="4F6FCE32">
      <w:pPr>
        <w:pStyle w:val="18"/>
      </w:pPr>
      <w:r>
        <w:rPr>
          <w:rFonts w:hint="eastAsia"/>
        </w:rPr>
        <w:t>涉及报价折扣率的项目，建议直接明确为具体折扣率，如投标（响应）报价的折扣率低于45%的</w:t>
      </w:r>
    </w:p>
  </w:comment>
  <w:comment w:id="7" w:author="采购部" w:date="2026-07-23T09:34:00Z" w:initials="采购部">
    <w:p w14:paraId="F8F7E53C">
      <w:pPr>
        <w:pStyle w:val="18"/>
      </w:pPr>
      <w:r>
        <w:rPr>
          <w:rFonts w:hint="eastAsia"/>
        </w:rPr>
        <w:t>采购人自行选择</w:t>
      </w:r>
      <w:r>
        <w:rPr>
          <w:rFonts w:hint="eastAsia"/>
          <w:b/>
          <w:bCs/>
          <w:color w:val="FF0000"/>
          <w:sz w:val="44"/>
          <w:szCs w:val="24"/>
        </w:rPr>
        <w:t>45%</w:t>
      </w:r>
      <w:r>
        <w:rPr>
          <w:rFonts w:hint="eastAsia"/>
        </w:rPr>
        <w:t>-65%</w:t>
      </w:r>
    </w:p>
  </w:comment>
  <w:comment w:id="8" w:author="采购部" w:date="2026-07-23T09:34:00Z" w:initials="采购部">
    <w:p w14:paraId="0B3BB251">
      <w:pPr>
        <w:pStyle w:val="18"/>
      </w:pPr>
      <w:r>
        <w:rPr>
          <w:rFonts w:hint="eastAsia"/>
        </w:rPr>
        <w:t>采购人自行选择</w:t>
      </w:r>
      <w:r>
        <w:rPr>
          <w:rFonts w:hint="eastAsia"/>
          <w:b/>
          <w:bCs/>
          <w:color w:val="FF0000"/>
          <w:sz w:val="44"/>
          <w:szCs w:val="24"/>
        </w:rPr>
        <w:t>45%</w:t>
      </w:r>
      <w:r>
        <w:rPr>
          <w:rFonts w:hint="eastAsia"/>
        </w:rPr>
        <w:t>-65%</w:t>
      </w:r>
    </w:p>
  </w:comment>
  <w:comment w:id="9" w:author="采购部" w:date="2026-07-23T11:56:00Z" w:initials="采购部">
    <w:p w14:paraId="BFB7E8A3">
      <w:pPr>
        <w:pStyle w:val="18"/>
      </w:pPr>
      <w:r>
        <w:rPr>
          <w:rFonts w:hint="eastAsia"/>
        </w:rPr>
        <w:t>根据项目实际情况修改</w:t>
      </w:r>
    </w:p>
  </w:comment>
  <w:comment w:id="10" w:author="张剑峰" w:date="2026-08-24T16:24:24Z" w:initials="张剑峰">
    <w:p w14:paraId="F77D628A">
      <w:pPr>
        <w:pStyle w:val="18"/>
        <w:rPr>
          <w:rFonts w:hint="default" w:eastAsia="宋体"/>
          <w:lang w:val="en-US" w:eastAsia="zh-CN"/>
        </w:rPr>
      </w:pPr>
      <w:r>
        <w:rPr>
          <w:rFonts w:hint="eastAsia"/>
          <w:lang w:val="en-US" w:eastAsia="zh-CN"/>
        </w:rPr>
        <w:t>建议提供分项报价表的模版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938E997" w15:done="0"/>
  <w15:commentEx w15:paraId="DBFFBC7D" w15:done="0"/>
  <w15:commentEx w15:paraId="EFF3BA65" w15:done="0"/>
  <w15:commentEx w15:paraId="3DAF16BF" w15:done="0"/>
  <w15:commentEx w15:paraId="7FFF29C0" w15:done="0"/>
  <w15:commentEx w15:paraId="765E286B" w15:done="0"/>
  <w15:commentEx w15:paraId="4F6FCE32" w15:done="0"/>
  <w15:commentEx w15:paraId="F8F7E53C" w15:done="0"/>
  <w15:commentEx w15:paraId="0B3BB251" w15:done="0"/>
  <w15:commentEx w15:paraId="BFB7E8A3" w15:done="0"/>
  <w15:commentEx w15:paraId="F77D628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Arial Unicode MS">
    <w:altName w:val="Nimbus Roman No9 L"/>
    <w:panose1 w:val="020B0604020202020204"/>
    <w:charset w:val="86"/>
    <w:family w:val="swiss"/>
    <w:pitch w:val="default"/>
    <w:sig w:usb0="00000000" w:usb1="00000000" w:usb2="0000003F" w:usb3="00000000" w:csb0="603F01FF" w:csb1="FFFF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仿宋_GB2312">
    <w:panose1 w:val="02010609030101010101"/>
    <w:charset w:val="86"/>
    <w:family w:val="modern"/>
    <w:pitch w:val="default"/>
    <w:sig w:usb0="00000001" w:usb1="080E0000" w:usb2="00000000" w:usb3="00000000" w:csb0="00040000" w:csb1="00000000"/>
  </w:font>
  <w:font w:name="长城仿宋">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Helvetica">
    <w:altName w:val="FreeSans"/>
    <w:panose1 w:val="020B0504020202020204"/>
    <w:charset w:val="00"/>
    <w:family w:val="swiss"/>
    <w:pitch w:val="default"/>
    <w:sig w:usb0="00000000" w:usb1="00000000" w:usb2="00000000" w:usb3="00000000" w:csb0="00000001" w:csb1="00000000"/>
  </w:font>
  <w:font w:name="FreeSans">
    <w:panose1 w:val="020B0504020202020204"/>
    <w:charset w:val="00"/>
    <w:family w:val="auto"/>
    <w:pitch w:val="default"/>
    <w:sig w:usb0="E4839EFF" w:usb1="4600FDFF" w:usb2="000030A0" w:usb3="00000584" w:csb0="600001BF" w:csb1="DFF70000"/>
  </w:font>
  <w:font w:name="Tahoma">
    <w:altName w:val="DejaVu Sans"/>
    <w:panose1 w:val="020B0604030504040204"/>
    <w:charset w:val="00"/>
    <w:family w:val="swiss"/>
    <w:pitch w:val="default"/>
    <w:sig w:usb0="00000000" w:usb1="00000000" w:usb2="00000029" w:usb3="00000000" w:csb0="200101FF" w:csb1="20280000"/>
  </w:font>
  <w:font w:name="文鼎粗黑">
    <w:altName w:val="方正黑体_GBK"/>
    <w:panose1 w:val="00000000000000000000"/>
    <w:charset w:val="86"/>
    <w:family w:val="modern"/>
    <w:pitch w:val="default"/>
    <w:sig w:usb0="00000000" w:usb1="00000000" w:usb2="00000010" w:usb3="00000000" w:csb0="00040000" w:csb1="00000000"/>
  </w:font>
  <w:font w:name="Arial (W1)">
    <w:altName w:val="Nimbus Roman No9 L"/>
    <w:panose1 w:val="00000000000000000000"/>
    <w:charset w:val="00"/>
    <w:family w:val="swiss"/>
    <w:pitch w:val="default"/>
    <w:sig w:usb0="00000000" w:usb1="00000000" w:usb2="00000009" w:usb3="00000000" w:csb0="000001F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ˎ̥">
    <w:altName w:val="C059"/>
    <w:panose1 w:val="000000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
    <w:altName w:val="华文中宋"/>
    <w:panose1 w:val="00000000000000000000"/>
    <w:charset w:val="01"/>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汉仪细等线简">
    <w:altName w:val="仿宋_GB2312"/>
    <w:panose1 w:val="00000000000000000000"/>
    <w:charset w:val="86"/>
    <w:family w:val="modern"/>
    <w:pitch w:val="default"/>
    <w:sig w:usb0="00000000" w:usb1="00000000" w:usb2="00000012" w:usb3="00000000" w:csb0="00040000" w:csb1="00000000"/>
  </w:font>
  <w:font w:name="H Yb 2gj">
    <w:altName w:val="仿宋_GB2312"/>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Helvetica Neue">
    <w:altName w:val="C059"/>
    <w:panose1 w:val="00000000000000000000"/>
    <w:charset w:val="00"/>
    <w:family w:val="auto"/>
    <w:pitch w:val="default"/>
    <w:sig w:usb0="00000000" w:usb1="00000000" w:usb2="0000001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Arial">
    <w:altName w:val="Nimbus Roman No9 L"/>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rPr>
                              <w:rStyle w:val="46"/>
                            </w:rPr>
                          </w:pPr>
                          <w:r>
                            <w:t xml:space="preserve">- </w:t>
                          </w:r>
                          <w:r>
                            <w:fldChar w:fldCharType="begin"/>
                          </w:r>
                          <w:r>
                            <w:instrText xml:space="preserve"> PAGE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28"/>
                      <w:rPr>
                        <w:rStyle w:val="46"/>
                      </w:rPr>
                    </w:pPr>
                    <w:r>
                      <w:t xml:space="preserve">- </w:t>
                    </w:r>
                    <w:r>
                      <w:fldChar w:fldCharType="begin"/>
                    </w:r>
                    <w:r>
                      <w:instrText xml:space="preserve"> PAGE </w:instrText>
                    </w:r>
                    <w:r>
                      <w:fldChar w:fldCharType="separate"/>
                    </w:r>
                    <w:r>
                      <w:t>29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6"/>
      </w:rPr>
    </w:pPr>
    <w:r>
      <w:rPr>
        <w:rStyle w:val="46"/>
      </w:rPr>
      <w:fldChar w:fldCharType="begin"/>
    </w:r>
    <w:r>
      <w:rPr>
        <w:rStyle w:val="46"/>
      </w:rPr>
      <w:instrText xml:space="preserve">PAGE  </w:instrText>
    </w:r>
    <w:r>
      <w:rPr>
        <w:rStyle w:val="46"/>
      </w:rPr>
      <w:fldChar w:fldCharType="separate"/>
    </w:r>
    <w:r>
      <w:rPr>
        <w:rStyle w:val="46"/>
      </w:rPr>
      <w:t>2</w:t>
    </w:r>
    <w:r>
      <w:rPr>
        <w:rStyle w:val="46"/>
      </w:rPr>
      <w:fldChar w:fldCharType="end"/>
    </w:r>
  </w:p>
  <w:p>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FC011"/>
    <w:multiLevelType w:val="multilevel"/>
    <w:tmpl w:val="806FC011"/>
    <w:lvl w:ilvl="0" w:tentative="0">
      <w:start w:val="1"/>
      <w:numFmt w:val="decimal"/>
      <w:lvlText w:val="2.2.3.%1"/>
      <w:lvlJc w:val="left"/>
      <w:pPr>
        <w:ind w:left="880" w:hanging="44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9FE79E02"/>
    <w:multiLevelType w:val="singleLevel"/>
    <w:tmpl w:val="9FE79E02"/>
    <w:lvl w:ilvl="0" w:tentative="0">
      <w:start w:val="1"/>
      <w:numFmt w:val="decimal"/>
      <w:lvlText w:val="%1."/>
      <w:lvlJc w:val="left"/>
      <w:pPr>
        <w:tabs>
          <w:tab w:val="left" w:pos="312"/>
        </w:tabs>
      </w:pPr>
    </w:lvl>
  </w:abstractNum>
  <w:abstractNum w:abstractNumId="2">
    <w:nsid w:val="A702A6DD"/>
    <w:multiLevelType w:val="singleLevel"/>
    <w:tmpl w:val="A702A6DD"/>
    <w:lvl w:ilvl="0" w:tentative="0">
      <w:start w:val="1"/>
      <w:numFmt w:val="decimal"/>
      <w:suff w:val="nothing"/>
      <w:lvlText w:val="%1、"/>
      <w:lvlJc w:val="left"/>
    </w:lvl>
  </w:abstractNum>
  <w:abstractNum w:abstractNumId="3">
    <w:nsid w:val="AE4A421C"/>
    <w:multiLevelType w:val="multilevel"/>
    <w:tmpl w:val="AE4A421C"/>
    <w:lvl w:ilvl="0" w:tentative="0">
      <w:start w:val="1"/>
      <w:numFmt w:val="decimal"/>
      <w:lvlText w:val="2.6.1.2.%1"/>
      <w:lvlJc w:val="left"/>
      <w:pPr>
        <w:ind w:left="920" w:hanging="440"/>
      </w:pPr>
      <w:rPr>
        <w:rFonts w:hint="default" w:ascii="宋体" w:hAnsi="宋体" w:eastAsia="宋体" w:cs="宋体"/>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4">
    <w:nsid w:val="B6993BB0"/>
    <w:multiLevelType w:val="multilevel"/>
    <w:tmpl w:val="B6993BB0"/>
    <w:lvl w:ilvl="0" w:tentative="0">
      <w:start w:val="1"/>
      <w:numFmt w:val="decimal"/>
      <w:lvlText w:val="2.1.4.%1"/>
      <w:lvlJc w:val="left"/>
      <w:pPr>
        <w:ind w:left="880" w:hanging="44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B9358C2E"/>
    <w:multiLevelType w:val="singleLevel"/>
    <w:tmpl w:val="B9358C2E"/>
    <w:lvl w:ilvl="0" w:tentative="0">
      <w:start w:val="2"/>
      <w:numFmt w:val="decimal"/>
      <w:suff w:val="nothing"/>
      <w:lvlText w:val="%1、"/>
      <w:lvlJc w:val="left"/>
    </w:lvl>
  </w:abstractNum>
  <w:abstractNum w:abstractNumId="6">
    <w:nsid w:val="E78F6505"/>
    <w:multiLevelType w:val="multilevel"/>
    <w:tmpl w:val="E78F6505"/>
    <w:lvl w:ilvl="0" w:tentative="0">
      <w:start w:val="1"/>
      <w:numFmt w:val="decimal"/>
      <w:lvlText w:val="2.6.%1"/>
      <w:lvlJc w:val="left"/>
      <w:pPr>
        <w:ind w:left="3560" w:hanging="440"/>
      </w:pPr>
      <w:rPr>
        <w:rFonts w:hint="eastAsia"/>
      </w:rPr>
    </w:lvl>
    <w:lvl w:ilvl="1" w:tentative="0">
      <w:start w:val="1"/>
      <w:numFmt w:val="decimal"/>
      <w:lvlText w:val="2.6.%2"/>
      <w:lvlJc w:val="left"/>
      <w:pPr>
        <w:ind w:left="880" w:hanging="440"/>
      </w:pPr>
      <w:rPr>
        <w:rFonts w:hint="default" w:ascii="宋体" w:hAnsi="宋体" w:eastAsia="宋体" w:cs="宋体"/>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EC99F81D"/>
    <w:multiLevelType w:val="singleLevel"/>
    <w:tmpl w:val="EC99F81D"/>
    <w:lvl w:ilvl="0" w:tentative="0">
      <w:start w:val="4"/>
      <w:numFmt w:val="chineseCounting"/>
      <w:suff w:val="nothing"/>
      <w:lvlText w:val="%1、"/>
      <w:lvlJc w:val="left"/>
      <w:rPr>
        <w:rFonts w:hint="eastAsia"/>
      </w:rPr>
    </w:lvl>
  </w:abstractNum>
  <w:abstractNum w:abstractNumId="8">
    <w:nsid w:val="F3B9D592"/>
    <w:multiLevelType w:val="singleLevel"/>
    <w:tmpl w:val="F3B9D592"/>
    <w:lvl w:ilvl="0" w:tentative="0">
      <w:start w:val="1"/>
      <w:numFmt w:val="decimal"/>
      <w:suff w:val="nothing"/>
      <w:lvlText w:val="（%1）"/>
      <w:lvlJc w:val="left"/>
    </w:lvl>
  </w:abstractNum>
  <w:abstractNum w:abstractNumId="9">
    <w:nsid w:val="FE476EFC"/>
    <w:multiLevelType w:val="multilevel"/>
    <w:tmpl w:val="FE476EFC"/>
    <w:lvl w:ilvl="0" w:tentative="0">
      <w:start w:val="1"/>
      <w:numFmt w:val="decimal"/>
      <w:lvlText w:val="2.6.1.%1"/>
      <w:lvlJc w:val="left"/>
      <w:pPr>
        <w:ind w:left="920" w:hanging="440"/>
      </w:pPr>
      <w:rPr>
        <w:rFonts w:hint="default" w:ascii="宋体" w:hAnsi="宋体" w:eastAsia="宋体" w:cs="宋体"/>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0">
    <w:nsid w:val="FFFFFF7C"/>
    <w:multiLevelType w:val="singleLevel"/>
    <w:tmpl w:val="FFFFFF7C"/>
    <w:lvl w:ilvl="0" w:tentative="0">
      <w:start w:val="1"/>
      <w:numFmt w:val="decimal"/>
      <w:pStyle w:val="56"/>
      <w:lvlText w:val="%1."/>
      <w:lvlJc w:val="left"/>
      <w:pPr>
        <w:tabs>
          <w:tab w:val="left" w:pos="2040"/>
        </w:tabs>
        <w:ind w:left="2040" w:leftChars="800" w:hanging="360" w:hangingChars="200"/>
      </w:pPr>
    </w:lvl>
  </w:abstractNum>
  <w:abstractNum w:abstractNumId="11">
    <w:nsid w:val="FFFFFF89"/>
    <w:multiLevelType w:val="singleLevel"/>
    <w:tmpl w:val="FFFFFF89"/>
    <w:lvl w:ilvl="0" w:tentative="0">
      <w:start w:val="1"/>
      <w:numFmt w:val="bullet"/>
      <w:pStyle w:val="16"/>
      <w:lvlText w:val=""/>
      <w:lvlJc w:val="left"/>
      <w:pPr>
        <w:tabs>
          <w:tab w:val="left" w:pos="360"/>
        </w:tabs>
        <w:ind w:left="360" w:hanging="360" w:hangingChars="200"/>
      </w:pPr>
      <w:rPr>
        <w:rFonts w:hint="default" w:ascii="Wingdings" w:hAnsi="Wingdings"/>
      </w:rPr>
    </w:lvl>
  </w:abstractNum>
  <w:abstractNum w:abstractNumId="12">
    <w:nsid w:val="00000007"/>
    <w:multiLevelType w:val="singleLevel"/>
    <w:tmpl w:val="00000007"/>
    <w:lvl w:ilvl="0" w:tentative="0">
      <w:start w:val="1"/>
      <w:numFmt w:val="decimal"/>
      <w:lvlText w:val="%1."/>
      <w:lvlJc w:val="left"/>
      <w:pPr>
        <w:tabs>
          <w:tab w:val="left" w:pos="312"/>
        </w:tabs>
      </w:pPr>
    </w:lvl>
  </w:abstractNum>
  <w:abstractNum w:abstractNumId="13">
    <w:nsid w:val="01316410"/>
    <w:multiLevelType w:val="multilevel"/>
    <w:tmpl w:val="01316410"/>
    <w:lvl w:ilvl="0" w:tentative="0">
      <w:start w:val="1"/>
      <w:numFmt w:val="decimal"/>
      <w:lvlText w:val="2.3.%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02226F8C"/>
    <w:multiLevelType w:val="multilevel"/>
    <w:tmpl w:val="02226F8C"/>
    <w:lvl w:ilvl="0" w:tentative="0">
      <w:start w:val="1"/>
      <w:numFmt w:val="decimal"/>
      <w:lvlText w:val="2.1.%1"/>
      <w:lvlJc w:val="left"/>
      <w:pPr>
        <w:ind w:left="92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1.%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052B6C13"/>
    <w:multiLevelType w:val="multilevel"/>
    <w:tmpl w:val="052B6C13"/>
    <w:lvl w:ilvl="0" w:tentative="0">
      <w:start w:val="1"/>
      <w:numFmt w:val="decimal"/>
      <w:lvlText w:val="2.2.4.2.%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052E5DA8"/>
    <w:multiLevelType w:val="multilevel"/>
    <w:tmpl w:val="052E5DA8"/>
    <w:lvl w:ilvl="0" w:tentative="0">
      <w:start w:val="1"/>
      <w:numFmt w:val="decimal"/>
      <w:lvlText w:val="2.7.%1"/>
      <w:lvlJc w:val="left"/>
      <w:pPr>
        <w:ind w:left="26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2.%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7">
    <w:nsid w:val="0655240E"/>
    <w:multiLevelType w:val="multilevel"/>
    <w:tmpl w:val="0655240E"/>
    <w:lvl w:ilvl="0" w:tentative="0">
      <w:start w:val="1"/>
      <w:numFmt w:val="decimal"/>
      <w:lvlText w:val="2.2.2.%1"/>
      <w:lvlJc w:val="left"/>
      <w:pPr>
        <w:ind w:left="880" w:hanging="440"/>
      </w:pPr>
      <w:rPr>
        <w:rFonts w:hint="eastAsia"/>
      </w:rPr>
    </w:lvl>
    <w:lvl w:ilvl="1" w:tentative="0">
      <w:start w:val="1"/>
      <w:numFmt w:val="decimal"/>
      <w:lvlText w:val="2.2.2.%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06EF3F25"/>
    <w:multiLevelType w:val="multilevel"/>
    <w:tmpl w:val="06EF3F25"/>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19">
    <w:nsid w:val="07DC417C"/>
    <w:multiLevelType w:val="multilevel"/>
    <w:tmpl w:val="07DC417C"/>
    <w:lvl w:ilvl="0" w:tentative="0">
      <w:start w:val="1"/>
      <w:numFmt w:val="decimal"/>
      <w:lvlText w:val="2.5.%1"/>
      <w:lvlJc w:val="left"/>
      <w:pPr>
        <w:ind w:left="140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5.%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0936DA37"/>
    <w:multiLevelType w:val="multilevel"/>
    <w:tmpl w:val="0936DA37"/>
    <w:lvl w:ilvl="0" w:tentative="0">
      <w:start w:val="1"/>
      <w:numFmt w:val="decimal"/>
      <w:lvlText w:val="2.7.%1"/>
      <w:lvlJc w:val="left"/>
      <w:pPr>
        <w:ind w:left="26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1.%7"/>
      <w:lvlJc w:val="left"/>
      <w:pPr>
        <w:ind w:left="3080" w:hanging="440"/>
      </w:pPr>
      <w:rPr>
        <w:rFonts w:hint="default" w:ascii="宋体" w:hAnsi="宋体" w:eastAsia="宋体" w:cs="宋体"/>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1">
    <w:nsid w:val="09384A7C"/>
    <w:multiLevelType w:val="multilevel"/>
    <w:tmpl w:val="09384A7C"/>
    <w:lvl w:ilvl="0" w:tentative="0">
      <w:start w:val="1"/>
      <w:numFmt w:val="decimal"/>
      <w:lvlText w:val="2.4.5.%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2">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0A213F63"/>
    <w:multiLevelType w:val="multilevel"/>
    <w:tmpl w:val="0A213F63"/>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24">
    <w:nsid w:val="0ACED7A3"/>
    <w:multiLevelType w:val="multilevel"/>
    <w:tmpl w:val="0ACED7A3"/>
    <w:lvl w:ilvl="0" w:tentative="0">
      <w:start w:val="1"/>
      <w:numFmt w:val="decimal"/>
      <w:lvlText w:val="2.6.1.3.%1"/>
      <w:lvlJc w:val="left"/>
      <w:pPr>
        <w:ind w:left="920" w:hanging="440"/>
      </w:pPr>
      <w:rPr>
        <w:rFonts w:hint="default" w:ascii="宋体" w:hAnsi="宋体" w:eastAsia="宋体" w:cs="宋体"/>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5">
    <w:nsid w:val="0B1F53BA"/>
    <w:multiLevelType w:val="multilevel"/>
    <w:tmpl w:val="0B1F53BA"/>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26">
    <w:nsid w:val="0BAC691A"/>
    <w:multiLevelType w:val="multilevel"/>
    <w:tmpl w:val="0BAC691A"/>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27">
    <w:nsid w:val="0D215F3D"/>
    <w:multiLevelType w:val="multilevel"/>
    <w:tmpl w:val="0D215F3D"/>
    <w:lvl w:ilvl="0" w:tentative="0">
      <w:start w:val="4"/>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28">
    <w:nsid w:val="11CA1AA6"/>
    <w:multiLevelType w:val="multilevel"/>
    <w:tmpl w:val="11CA1AA6"/>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29">
    <w:nsid w:val="12503483"/>
    <w:multiLevelType w:val="multilevel"/>
    <w:tmpl w:val="12503483"/>
    <w:lvl w:ilvl="0" w:tentative="0">
      <w:start w:val="1"/>
      <w:numFmt w:val="bullet"/>
      <w:pStyle w:val="104"/>
      <w:lvlText w:val=""/>
      <w:lvlJc w:val="left"/>
      <w:pPr>
        <w:tabs>
          <w:tab w:val="left" w:pos="420"/>
        </w:tabs>
        <w:ind w:left="420" w:hanging="420"/>
      </w:pPr>
      <w:rPr>
        <w:rFonts w:hint="default" w:ascii="Wingdings" w:hAnsi="Wingdings"/>
      </w:rPr>
    </w:lvl>
    <w:lvl w:ilvl="1" w:tentative="0">
      <w:start w:val="1"/>
      <w:numFmt w:val="bullet"/>
      <w:pStyle w:val="1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151B5CFE"/>
    <w:multiLevelType w:val="multilevel"/>
    <w:tmpl w:val="151B5CFE"/>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31">
    <w:nsid w:val="160D20D0"/>
    <w:multiLevelType w:val="multilevel"/>
    <w:tmpl w:val="160D20D0"/>
    <w:lvl w:ilvl="0" w:tentative="0">
      <w:start w:val="1"/>
      <w:numFmt w:val="bullet"/>
      <w:pStyle w:val="72"/>
      <w:lvlText w:val=""/>
      <w:lvlJc w:val="left"/>
      <w:pPr>
        <w:tabs>
          <w:tab w:val="left" w:pos="840"/>
        </w:tabs>
        <w:ind w:left="840" w:hanging="420"/>
      </w:pPr>
      <w:rPr>
        <w:rFonts w:hint="default" w:ascii="Wingdings" w:hAnsi="Wingdings"/>
      </w:rPr>
    </w:lvl>
    <w:lvl w:ilvl="1" w:tentative="0">
      <w:start w:val="1"/>
      <w:numFmt w:val="bullet"/>
      <w:pStyle w:val="73"/>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2">
    <w:nsid w:val="19447960"/>
    <w:multiLevelType w:val="multilevel"/>
    <w:tmpl w:val="19447960"/>
    <w:lvl w:ilvl="0" w:tentative="0">
      <w:start w:val="1"/>
      <w:numFmt w:val="decimal"/>
      <w:lvlText w:val="%1）"/>
      <w:lvlJc w:val="left"/>
      <w:pPr>
        <w:ind w:left="467" w:hanging="360"/>
      </w:pPr>
      <w:rPr>
        <w:rFonts w:hint="default" w:ascii="Times New Roman" w:hAnsi="Times New Roman" w:cs="Times New Roman"/>
        <w:sz w:val="18"/>
        <w:szCs w:val="18"/>
      </w:rPr>
    </w:lvl>
    <w:lvl w:ilvl="1" w:tentative="0">
      <w:start w:val="0"/>
      <w:numFmt w:val="bullet"/>
      <w:lvlText w:val="•"/>
      <w:lvlJc w:val="left"/>
      <w:pPr>
        <w:ind w:left="601" w:hanging="360"/>
      </w:pPr>
      <w:rPr>
        <w:rFonts w:hint="default" w:ascii="Times New Roman" w:hAnsi="Times New Roman" w:cs="Times New Roman"/>
      </w:rPr>
    </w:lvl>
    <w:lvl w:ilvl="2" w:tentative="0">
      <w:start w:val="0"/>
      <w:numFmt w:val="bullet"/>
      <w:lvlText w:val="•"/>
      <w:lvlJc w:val="left"/>
      <w:pPr>
        <w:ind w:left="743" w:hanging="360"/>
      </w:pPr>
      <w:rPr>
        <w:rFonts w:hint="default" w:ascii="Times New Roman" w:hAnsi="Times New Roman" w:cs="Times New Roman"/>
      </w:rPr>
    </w:lvl>
    <w:lvl w:ilvl="3" w:tentative="0">
      <w:start w:val="0"/>
      <w:numFmt w:val="bullet"/>
      <w:lvlText w:val="•"/>
      <w:lvlJc w:val="left"/>
      <w:pPr>
        <w:ind w:left="885" w:hanging="360"/>
      </w:pPr>
      <w:rPr>
        <w:rFonts w:hint="default" w:ascii="Times New Roman" w:hAnsi="Times New Roman" w:cs="Times New Roman"/>
      </w:rPr>
    </w:lvl>
    <w:lvl w:ilvl="4" w:tentative="0">
      <w:start w:val="0"/>
      <w:numFmt w:val="bullet"/>
      <w:lvlText w:val="•"/>
      <w:lvlJc w:val="left"/>
      <w:pPr>
        <w:ind w:left="1027" w:hanging="360"/>
      </w:pPr>
      <w:rPr>
        <w:rFonts w:hint="default" w:ascii="Times New Roman" w:hAnsi="Times New Roman" w:cs="Times New Roman"/>
      </w:rPr>
    </w:lvl>
    <w:lvl w:ilvl="5" w:tentative="0">
      <w:start w:val="0"/>
      <w:numFmt w:val="bullet"/>
      <w:lvlText w:val="•"/>
      <w:lvlJc w:val="left"/>
      <w:pPr>
        <w:ind w:left="1169" w:hanging="360"/>
      </w:pPr>
      <w:rPr>
        <w:rFonts w:hint="default" w:ascii="Times New Roman" w:hAnsi="Times New Roman" w:cs="Times New Roman"/>
      </w:rPr>
    </w:lvl>
    <w:lvl w:ilvl="6" w:tentative="0">
      <w:start w:val="0"/>
      <w:numFmt w:val="bullet"/>
      <w:lvlText w:val="•"/>
      <w:lvlJc w:val="left"/>
      <w:pPr>
        <w:ind w:left="1311" w:hanging="360"/>
      </w:pPr>
      <w:rPr>
        <w:rFonts w:hint="default" w:ascii="Times New Roman" w:hAnsi="Times New Roman" w:cs="Times New Roman"/>
      </w:rPr>
    </w:lvl>
    <w:lvl w:ilvl="7" w:tentative="0">
      <w:start w:val="0"/>
      <w:numFmt w:val="bullet"/>
      <w:lvlText w:val="•"/>
      <w:lvlJc w:val="left"/>
      <w:pPr>
        <w:ind w:left="1453" w:hanging="360"/>
      </w:pPr>
      <w:rPr>
        <w:rFonts w:hint="default" w:ascii="Times New Roman" w:hAnsi="Times New Roman" w:cs="Times New Roman"/>
      </w:rPr>
    </w:lvl>
    <w:lvl w:ilvl="8" w:tentative="0">
      <w:start w:val="0"/>
      <w:numFmt w:val="bullet"/>
      <w:lvlText w:val="•"/>
      <w:lvlJc w:val="left"/>
      <w:pPr>
        <w:ind w:left="1595" w:hanging="360"/>
      </w:pPr>
      <w:rPr>
        <w:rFonts w:hint="default" w:ascii="Times New Roman" w:hAnsi="Times New Roman" w:cs="Times New Roman"/>
      </w:rPr>
    </w:lvl>
  </w:abstractNum>
  <w:abstractNum w:abstractNumId="33">
    <w:nsid w:val="1A73701A"/>
    <w:multiLevelType w:val="multilevel"/>
    <w:tmpl w:val="1A73701A"/>
    <w:lvl w:ilvl="0" w:tentative="0">
      <w:start w:val="1"/>
      <w:numFmt w:val="decimal"/>
      <w:lvlText w:val="2.3.3.%1"/>
      <w:lvlJc w:val="left"/>
      <w:pPr>
        <w:ind w:left="880" w:hanging="440"/>
      </w:pPr>
      <w:rPr>
        <w:rFonts w:hint="eastAsia"/>
      </w:rPr>
    </w:lvl>
    <w:lvl w:ilvl="1" w:tentative="0">
      <w:start w:val="1"/>
      <w:numFmt w:val="decimal"/>
      <w:lvlText w:val="2.3.3.%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4">
    <w:nsid w:val="1C006F70"/>
    <w:multiLevelType w:val="multilevel"/>
    <w:tmpl w:val="1C006F70"/>
    <w:lvl w:ilvl="0" w:tentative="0">
      <w:start w:val="1"/>
      <w:numFmt w:val="decimal"/>
      <w:lvlText w:val="2.4.6.%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35">
    <w:nsid w:val="211D0E55"/>
    <w:multiLevelType w:val="multilevel"/>
    <w:tmpl w:val="211D0E55"/>
    <w:lvl w:ilvl="0" w:tentative="0">
      <w:start w:val="1"/>
      <w:numFmt w:val="decimal"/>
      <w:lvlText w:val="2.1.2.%1"/>
      <w:lvlJc w:val="left"/>
      <w:pPr>
        <w:ind w:left="880" w:hanging="440"/>
      </w:pPr>
      <w:rPr>
        <w:rFonts w:hint="eastAsia"/>
      </w:rPr>
    </w:lvl>
    <w:lvl w:ilvl="1" w:tentative="0">
      <w:start w:val="1"/>
      <w:numFmt w:val="decimal"/>
      <w:lvlText w:val="2.1.2.%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6">
    <w:nsid w:val="26490021"/>
    <w:multiLevelType w:val="multilevel"/>
    <w:tmpl w:val="26490021"/>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7">
    <w:nsid w:val="277A1E74"/>
    <w:multiLevelType w:val="multilevel"/>
    <w:tmpl w:val="277A1E74"/>
    <w:lvl w:ilvl="0" w:tentative="0">
      <w:start w:val="1"/>
      <w:numFmt w:val="decimal"/>
      <w:lvlText w:val="2.%1"/>
      <w:lvlJc w:val="left"/>
      <w:pPr>
        <w:ind w:left="922" w:hanging="440"/>
      </w:pPr>
      <w:rPr>
        <w:rFonts w:hint="eastAsia"/>
      </w:rPr>
    </w:lvl>
    <w:lvl w:ilvl="1" w:tentative="0">
      <w:start w:val="1"/>
      <w:numFmt w:val="decimal"/>
      <w:lvlText w:val="（%2）"/>
      <w:lvlJc w:val="left"/>
      <w:pPr>
        <w:ind w:left="1160" w:hanging="72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decimal"/>
      <w:lvlText w:val="2.%6"/>
      <w:lvlJc w:val="left"/>
      <w:pPr>
        <w:ind w:left="2640" w:hanging="440"/>
      </w:pPr>
      <w:rPr>
        <w:rFonts w:hint="eastAsia"/>
      </w:r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8">
    <w:nsid w:val="27DC6E10"/>
    <w:multiLevelType w:val="multilevel"/>
    <w:tmpl w:val="27DC6E10"/>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39">
    <w:nsid w:val="293A533D"/>
    <w:multiLevelType w:val="multilevel"/>
    <w:tmpl w:val="293A533D"/>
    <w:lvl w:ilvl="0" w:tentative="0">
      <w:start w:val="1"/>
      <w:numFmt w:val="decimal"/>
      <w:lvlText w:val="2.6.1.1.%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40">
    <w:nsid w:val="29850314"/>
    <w:multiLevelType w:val="multilevel"/>
    <w:tmpl w:val="29850314"/>
    <w:lvl w:ilvl="0" w:tentative="0">
      <w:start w:val="1"/>
      <w:numFmt w:val="decimal"/>
      <w:lvlText w:val="2.2.5.%1"/>
      <w:lvlJc w:val="left"/>
      <w:pPr>
        <w:ind w:left="880" w:hanging="440"/>
      </w:pPr>
      <w:rPr>
        <w:rFonts w:hint="eastAsia"/>
      </w:rPr>
    </w:lvl>
    <w:lvl w:ilvl="1" w:tentative="0">
      <w:start w:val="1"/>
      <w:numFmt w:val="decimal"/>
      <w:lvlText w:val="2.2.5.%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1">
    <w:nsid w:val="2A5129EF"/>
    <w:multiLevelType w:val="multilevel"/>
    <w:tmpl w:val="2A5129EF"/>
    <w:lvl w:ilvl="0" w:tentative="0">
      <w:start w:val="1"/>
      <w:numFmt w:val="decimal"/>
      <w:lvlText w:val="2.2.4.%1"/>
      <w:lvlJc w:val="left"/>
      <w:pPr>
        <w:ind w:left="880" w:hanging="440"/>
      </w:pPr>
      <w:rPr>
        <w:rFonts w:hint="eastAsia"/>
      </w:rPr>
    </w:lvl>
    <w:lvl w:ilvl="1" w:tentative="0">
      <w:start w:val="1"/>
      <w:numFmt w:val="decimal"/>
      <w:lvlText w:val="2.2.4.%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2">
    <w:nsid w:val="2BBE4A2D"/>
    <w:multiLevelType w:val="multilevel"/>
    <w:tmpl w:val="2BBE4A2D"/>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43">
    <w:nsid w:val="2D652A80"/>
    <w:multiLevelType w:val="multilevel"/>
    <w:tmpl w:val="2D652A80"/>
    <w:lvl w:ilvl="0" w:tentative="0">
      <w:start w:val="1"/>
      <w:numFmt w:val="decimal"/>
      <w:lvlText w:val="%1."/>
      <w:lvlJc w:val="left"/>
      <w:pPr>
        <w:ind w:left="1859"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4">
    <w:nsid w:val="2D7A4B4E"/>
    <w:multiLevelType w:val="multilevel"/>
    <w:tmpl w:val="2D7A4B4E"/>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45">
    <w:nsid w:val="2D985399"/>
    <w:multiLevelType w:val="multilevel"/>
    <w:tmpl w:val="2D985399"/>
    <w:lvl w:ilvl="0" w:tentative="0">
      <w:start w:val="1"/>
      <w:numFmt w:val="decimal"/>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6">
    <w:nsid w:val="2F395B7B"/>
    <w:multiLevelType w:val="multilevel"/>
    <w:tmpl w:val="2F395B7B"/>
    <w:lvl w:ilvl="0" w:tentative="0">
      <w:start w:val="1"/>
      <w:numFmt w:val="bullet"/>
      <w:pStyle w:val="164"/>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47">
    <w:nsid w:val="2F7E3A53"/>
    <w:multiLevelType w:val="multilevel"/>
    <w:tmpl w:val="2F7E3A53"/>
    <w:lvl w:ilvl="0" w:tentative="0">
      <w:start w:val="1"/>
      <w:numFmt w:val="decimal"/>
      <w:lvlText w:val="2.5.5.%1"/>
      <w:lvlJc w:val="left"/>
      <w:pPr>
        <w:ind w:left="880" w:hanging="440"/>
      </w:pPr>
      <w:rPr>
        <w:rFonts w:hint="eastAsia"/>
      </w:rPr>
    </w:lvl>
    <w:lvl w:ilvl="1" w:tentative="0">
      <w:start w:val="1"/>
      <w:numFmt w:val="decimal"/>
      <w:lvlText w:val="2.4.%2"/>
      <w:lvlJc w:val="left"/>
      <w:pPr>
        <w:ind w:left="92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8">
    <w:nsid w:val="2FA9149C"/>
    <w:multiLevelType w:val="multilevel"/>
    <w:tmpl w:val="2FA9149C"/>
    <w:lvl w:ilvl="0" w:tentative="0">
      <w:start w:val="1"/>
      <w:numFmt w:val="decimal"/>
      <w:lvlText w:val="2.1.4.%1"/>
      <w:lvlJc w:val="left"/>
      <w:pPr>
        <w:ind w:left="922" w:hanging="440"/>
      </w:pPr>
      <w:rPr>
        <w:rFonts w:hint="eastAsia"/>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49">
    <w:nsid w:val="30E02C15"/>
    <w:multiLevelType w:val="multilevel"/>
    <w:tmpl w:val="30E02C15"/>
    <w:lvl w:ilvl="0" w:tentative="0">
      <w:start w:val="4"/>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50">
    <w:nsid w:val="31F07987"/>
    <w:multiLevelType w:val="multilevel"/>
    <w:tmpl w:val="31F07987"/>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51">
    <w:nsid w:val="320104D1"/>
    <w:multiLevelType w:val="multilevel"/>
    <w:tmpl w:val="320104D1"/>
    <w:lvl w:ilvl="0" w:tentative="0">
      <w:start w:val="1"/>
      <w:numFmt w:val="decimal"/>
      <w:lvlText w:val="2.5.2.%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52">
    <w:nsid w:val="36301A0D"/>
    <w:multiLevelType w:val="multilevel"/>
    <w:tmpl w:val="36301A0D"/>
    <w:lvl w:ilvl="0" w:tentative="0">
      <w:start w:val="1"/>
      <w:numFmt w:val="decimal"/>
      <w:lvlText w:val="2.5.3.%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53">
    <w:nsid w:val="36A172C9"/>
    <w:multiLevelType w:val="multilevel"/>
    <w:tmpl w:val="36A172C9"/>
    <w:lvl w:ilvl="0" w:tentative="0">
      <w:start w:val="1"/>
      <w:numFmt w:val="decimal"/>
      <w:lvlText w:val="%1)"/>
      <w:lvlJc w:val="left"/>
      <w:pPr>
        <w:ind w:left="258" w:hanging="151"/>
      </w:pPr>
      <w:rPr>
        <w:rFonts w:hint="default" w:ascii="Times New Roman" w:hAnsi="Times New Roman" w:cs="Times New Roman"/>
        <w:sz w:val="16"/>
        <w:szCs w:val="16"/>
      </w:rPr>
    </w:lvl>
    <w:lvl w:ilvl="1" w:tentative="0">
      <w:start w:val="0"/>
      <w:numFmt w:val="bullet"/>
      <w:lvlText w:val="•"/>
      <w:lvlJc w:val="left"/>
      <w:pPr>
        <w:ind w:left="422" w:hanging="151"/>
      </w:pPr>
      <w:rPr>
        <w:rFonts w:hint="default" w:ascii="Times New Roman" w:hAnsi="Times New Roman" w:cs="Times New Roman"/>
      </w:rPr>
    </w:lvl>
    <w:lvl w:ilvl="2" w:tentative="0">
      <w:start w:val="0"/>
      <w:numFmt w:val="bullet"/>
      <w:lvlText w:val="•"/>
      <w:lvlJc w:val="left"/>
      <w:pPr>
        <w:ind w:left="584" w:hanging="151"/>
      </w:pPr>
      <w:rPr>
        <w:rFonts w:hint="default" w:ascii="Times New Roman" w:hAnsi="Times New Roman" w:cs="Times New Roman"/>
      </w:rPr>
    </w:lvl>
    <w:lvl w:ilvl="3" w:tentative="0">
      <w:start w:val="0"/>
      <w:numFmt w:val="bullet"/>
      <w:lvlText w:val="•"/>
      <w:lvlJc w:val="left"/>
      <w:pPr>
        <w:ind w:left="746" w:hanging="151"/>
      </w:pPr>
      <w:rPr>
        <w:rFonts w:hint="default" w:ascii="Times New Roman" w:hAnsi="Times New Roman" w:cs="Times New Roman"/>
      </w:rPr>
    </w:lvl>
    <w:lvl w:ilvl="4" w:tentative="0">
      <w:start w:val="0"/>
      <w:numFmt w:val="bullet"/>
      <w:lvlText w:val="•"/>
      <w:lvlJc w:val="left"/>
      <w:pPr>
        <w:ind w:left="908" w:hanging="151"/>
      </w:pPr>
      <w:rPr>
        <w:rFonts w:hint="default" w:ascii="Times New Roman" w:hAnsi="Times New Roman" w:cs="Times New Roman"/>
      </w:rPr>
    </w:lvl>
    <w:lvl w:ilvl="5" w:tentative="0">
      <w:start w:val="0"/>
      <w:numFmt w:val="bullet"/>
      <w:lvlText w:val="•"/>
      <w:lvlJc w:val="left"/>
      <w:pPr>
        <w:ind w:left="1070" w:hanging="151"/>
      </w:pPr>
      <w:rPr>
        <w:rFonts w:hint="default" w:ascii="Times New Roman" w:hAnsi="Times New Roman" w:cs="Times New Roman"/>
      </w:rPr>
    </w:lvl>
    <w:lvl w:ilvl="6" w:tentative="0">
      <w:start w:val="0"/>
      <w:numFmt w:val="bullet"/>
      <w:lvlText w:val="•"/>
      <w:lvlJc w:val="left"/>
      <w:pPr>
        <w:ind w:left="1232" w:hanging="151"/>
      </w:pPr>
      <w:rPr>
        <w:rFonts w:hint="default" w:ascii="Times New Roman" w:hAnsi="Times New Roman" w:cs="Times New Roman"/>
      </w:rPr>
    </w:lvl>
    <w:lvl w:ilvl="7" w:tentative="0">
      <w:start w:val="0"/>
      <w:numFmt w:val="bullet"/>
      <w:lvlText w:val="•"/>
      <w:lvlJc w:val="left"/>
      <w:pPr>
        <w:ind w:left="1394" w:hanging="151"/>
      </w:pPr>
      <w:rPr>
        <w:rFonts w:hint="default" w:ascii="Times New Roman" w:hAnsi="Times New Roman" w:cs="Times New Roman"/>
      </w:rPr>
    </w:lvl>
    <w:lvl w:ilvl="8" w:tentative="0">
      <w:start w:val="0"/>
      <w:numFmt w:val="bullet"/>
      <w:lvlText w:val="•"/>
      <w:lvlJc w:val="left"/>
      <w:pPr>
        <w:ind w:left="1556" w:hanging="151"/>
      </w:pPr>
      <w:rPr>
        <w:rFonts w:hint="default" w:ascii="Times New Roman" w:hAnsi="Times New Roman" w:cs="Times New Roman"/>
      </w:rPr>
    </w:lvl>
  </w:abstractNum>
  <w:abstractNum w:abstractNumId="54">
    <w:nsid w:val="36CE3768"/>
    <w:multiLevelType w:val="multilevel"/>
    <w:tmpl w:val="36CE3768"/>
    <w:lvl w:ilvl="0" w:tentative="0">
      <w:start w:val="1"/>
      <w:numFmt w:val="decimal"/>
      <w:lvlText w:val="2.2.4.%1."/>
      <w:lvlJc w:val="left"/>
      <w:pPr>
        <w:ind w:left="920" w:hanging="440"/>
      </w:pPr>
      <w:rPr>
        <w:rFonts w:hint="eastAsia"/>
      </w:rPr>
    </w:lvl>
    <w:lvl w:ilvl="1" w:tentative="0">
      <w:start w:val="1"/>
      <w:numFmt w:val="decimal"/>
      <w:lvlText w:val="2.2.4.1.%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5">
    <w:nsid w:val="37271869"/>
    <w:multiLevelType w:val="multilevel"/>
    <w:tmpl w:val="37271869"/>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56">
    <w:nsid w:val="373C3483"/>
    <w:multiLevelType w:val="multilevel"/>
    <w:tmpl w:val="373C3483"/>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57">
    <w:nsid w:val="37D93A2C"/>
    <w:multiLevelType w:val="multilevel"/>
    <w:tmpl w:val="37D93A2C"/>
    <w:lvl w:ilvl="0" w:tentative="0">
      <w:start w:val="1"/>
      <w:numFmt w:val="decimal"/>
      <w:lvlText w:val="2.1.%1"/>
      <w:lvlJc w:val="left"/>
      <w:pPr>
        <w:ind w:left="92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1.6.%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8">
    <w:nsid w:val="393D16B8"/>
    <w:multiLevelType w:val="multilevel"/>
    <w:tmpl w:val="393D16B8"/>
    <w:lvl w:ilvl="0" w:tentative="0">
      <w:start w:val="1"/>
      <w:numFmt w:val="decimal"/>
      <w:lvlText w:val="2.5.3.%1"/>
      <w:lvlJc w:val="left"/>
      <w:pPr>
        <w:ind w:left="880" w:hanging="440"/>
      </w:pPr>
      <w:rPr>
        <w:rFonts w:hint="eastAsia"/>
      </w:rPr>
    </w:lvl>
    <w:lvl w:ilvl="1" w:tentative="0">
      <w:start w:val="1"/>
      <w:numFmt w:val="decimal"/>
      <w:lvlText w:val="2.2.%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9">
    <w:nsid w:val="3B0F7528"/>
    <w:multiLevelType w:val="multilevel"/>
    <w:tmpl w:val="3B0F7528"/>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60">
    <w:nsid w:val="3B212E64"/>
    <w:multiLevelType w:val="multilevel"/>
    <w:tmpl w:val="3B212E64"/>
    <w:lvl w:ilvl="0" w:tentative="0">
      <w:start w:val="1"/>
      <w:numFmt w:val="decimal"/>
      <w:lvlText w:val="2.1.1.%1"/>
      <w:lvlJc w:val="left"/>
      <w:pPr>
        <w:ind w:left="3080" w:hanging="440"/>
      </w:pPr>
      <w:rPr>
        <w:rFonts w:hint="eastAsia"/>
      </w:rPr>
    </w:lvl>
    <w:lvl w:ilvl="1" w:tentative="0">
      <w:start w:val="1"/>
      <w:numFmt w:val="decimal"/>
      <w:lvlText w:val="2.1.1.%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1">
    <w:nsid w:val="3CB242E6"/>
    <w:multiLevelType w:val="multilevel"/>
    <w:tmpl w:val="3CB242E6"/>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62">
    <w:nsid w:val="3DFB1313"/>
    <w:multiLevelType w:val="multilevel"/>
    <w:tmpl w:val="3DFB1313"/>
    <w:lvl w:ilvl="0" w:tentative="0">
      <w:start w:val="1"/>
      <w:numFmt w:val="decimal"/>
      <w:lvlText w:val="2.%1."/>
      <w:lvlJc w:val="left"/>
      <w:pPr>
        <w:ind w:left="352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decimal"/>
      <w:lvlText w:val="2.%6"/>
      <w:lvlJc w:val="left"/>
      <w:pPr>
        <w:ind w:left="2640" w:hanging="440"/>
      </w:pPr>
      <w:rPr>
        <w:rFonts w:hint="eastAsia"/>
      </w:r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3">
    <w:nsid w:val="435D141E"/>
    <w:multiLevelType w:val="multilevel"/>
    <w:tmpl w:val="435D141E"/>
    <w:lvl w:ilvl="0" w:tentative="0">
      <w:start w:val="1"/>
      <w:numFmt w:val="decimal"/>
      <w:lvlText w:val="2.2.4.%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4">
    <w:nsid w:val="43C93218"/>
    <w:multiLevelType w:val="multilevel"/>
    <w:tmpl w:val="43C93218"/>
    <w:lvl w:ilvl="0" w:tentative="0">
      <w:start w:val="4"/>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65">
    <w:nsid w:val="46446CF4"/>
    <w:multiLevelType w:val="multilevel"/>
    <w:tmpl w:val="46446CF4"/>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66">
    <w:nsid w:val="48301705"/>
    <w:multiLevelType w:val="multilevel"/>
    <w:tmpl w:val="48301705"/>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67">
    <w:nsid w:val="4A945C42"/>
    <w:multiLevelType w:val="multilevel"/>
    <w:tmpl w:val="4A945C42"/>
    <w:lvl w:ilvl="0" w:tentative="0">
      <w:start w:val="1"/>
      <w:numFmt w:val="decimal"/>
      <w:lvlText w:val="2.1.%1"/>
      <w:lvlJc w:val="left"/>
      <w:pPr>
        <w:ind w:left="92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1.5.%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8">
    <w:nsid w:val="4AA865E1"/>
    <w:multiLevelType w:val="multilevel"/>
    <w:tmpl w:val="4AA865E1"/>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69">
    <w:nsid w:val="4AF00E9C"/>
    <w:multiLevelType w:val="multilevel"/>
    <w:tmpl w:val="4AF00E9C"/>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70">
    <w:nsid w:val="4E0C74CE"/>
    <w:multiLevelType w:val="multilevel"/>
    <w:tmpl w:val="4E0C74CE"/>
    <w:lvl w:ilvl="0" w:tentative="0">
      <w:start w:val="1"/>
      <w:numFmt w:val="decimal"/>
      <w:lvlText w:val="2.2.%1"/>
      <w:lvlJc w:val="left"/>
      <w:pPr>
        <w:ind w:left="92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2.%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1">
    <w:nsid w:val="4E7810FD"/>
    <w:multiLevelType w:val="multilevel"/>
    <w:tmpl w:val="4E7810FD"/>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72">
    <w:nsid w:val="4E816AE5"/>
    <w:multiLevelType w:val="multilevel"/>
    <w:tmpl w:val="4E816AE5"/>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73">
    <w:nsid w:val="503F4B00"/>
    <w:multiLevelType w:val="multilevel"/>
    <w:tmpl w:val="503F4B00"/>
    <w:lvl w:ilvl="0" w:tentative="0">
      <w:start w:val="1"/>
      <w:numFmt w:val="decimal"/>
      <w:lvlText w:val="%1)"/>
      <w:lvlJc w:val="left"/>
      <w:pPr>
        <w:ind w:left="347" w:hanging="240"/>
      </w:pPr>
      <w:rPr>
        <w:rFonts w:hint="default" w:ascii="Times New Roman" w:hAnsi="Times New Roman" w:cs="Times New Roman"/>
        <w:sz w:val="18"/>
        <w:szCs w:val="18"/>
      </w:rPr>
    </w:lvl>
    <w:lvl w:ilvl="1" w:tentative="0">
      <w:start w:val="0"/>
      <w:numFmt w:val="bullet"/>
      <w:lvlText w:val="•"/>
      <w:lvlJc w:val="left"/>
      <w:pPr>
        <w:ind w:left="494" w:hanging="240"/>
      </w:pPr>
      <w:rPr>
        <w:rFonts w:hint="default" w:ascii="Times New Roman" w:hAnsi="Times New Roman" w:cs="Times New Roman"/>
      </w:rPr>
    </w:lvl>
    <w:lvl w:ilvl="2" w:tentative="0">
      <w:start w:val="0"/>
      <w:numFmt w:val="bullet"/>
      <w:lvlText w:val="•"/>
      <w:lvlJc w:val="left"/>
      <w:pPr>
        <w:ind w:left="648" w:hanging="240"/>
      </w:pPr>
      <w:rPr>
        <w:rFonts w:hint="default" w:ascii="Times New Roman" w:hAnsi="Times New Roman" w:cs="Times New Roman"/>
      </w:rPr>
    </w:lvl>
    <w:lvl w:ilvl="3" w:tentative="0">
      <w:start w:val="0"/>
      <w:numFmt w:val="bullet"/>
      <w:lvlText w:val="•"/>
      <w:lvlJc w:val="left"/>
      <w:pPr>
        <w:ind w:left="802" w:hanging="240"/>
      </w:pPr>
      <w:rPr>
        <w:rFonts w:hint="default" w:ascii="Times New Roman" w:hAnsi="Times New Roman" w:cs="Times New Roman"/>
      </w:rPr>
    </w:lvl>
    <w:lvl w:ilvl="4" w:tentative="0">
      <w:start w:val="0"/>
      <w:numFmt w:val="bullet"/>
      <w:lvlText w:val="•"/>
      <w:lvlJc w:val="left"/>
      <w:pPr>
        <w:ind w:left="956" w:hanging="240"/>
      </w:pPr>
      <w:rPr>
        <w:rFonts w:hint="default" w:ascii="Times New Roman" w:hAnsi="Times New Roman" w:cs="Times New Roman"/>
      </w:rPr>
    </w:lvl>
    <w:lvl w:ilvl="5" w:tentative="0">
      <w:start w:val="0"/>
      <w:numFmt w:val="bullet"/>
      <w:lvlText w:val="•"/>
      <w:lvlJc w:val="left"/>
      <w:pPr>
        <w:ind w:left="1110" w:hanging="240"/>
      </w:pPr>
      <w:rPr>
        <w:rFonts w:hint="default" w:ascii="Times New Roman" w:hAnsi="Times New Roman" w:cs="Times New Roman"/>
      </w:rPr>
    </w:lvl>
    <w:lvl w:ilvl="6" w:tentative="0">
      <w:start w:val="0"/>
      <w:numFmt w:val="bullet"/>
      <w:lvlText w:val="•"/>
      <w:lvlJc w:val="left"/>
      <w:pPr>
        <w:ind w:left="1264" w:hanging="240"/>
      </w:pPr>
      <w:rPr>
        <w:rFonts w:hint="default" w:ascii="Times New Roman" w:hAnsi="Times New Roman" w:cs="Times New Roman"/>
      </w:rPr>
    </w:lvl>
    <w:lvl w:ilvl="7" w:tentative="0">
      <w:start w:val="0"/>
      <w:numFmt w:val="bullet"/>
      <w:lvlText w:val="•"/>
      <w:lvlJc w:val="left"/>
      <w:pPr>
        <w:ind w:left="1418" w:hanging="240"/>
      </w:pPr>
      <w:rPr>
        <w:rFonts w:hint="default" w:ascii="Times New Roman" w:hAnsi="Times New Roman" w:cs="Times New Roman"/>
      </w:rPr>
    </w:lvl>
    <w:lvl w:ilvl="8" w:tentative="0">
      <w:start w:val="0"/>
      <w:numFmt w:val="bullet"/>
      <w:lvlText w:val="•"/>
      <w:lvlJc w:val="left"/>
      <w:pPr>
        <w:ind w:left="1572" w:hanging="240"/>
      </w:pPr>
      <w:rPr>
        <w:rFonts w:hint="default" w:ascii="Times New Roman" w:hAnsi="Times New Roman" w:cs="Times New Roman"/>
      </w:rPr>
    </w:lvl>
  </w:abstractNum>
  <w:abstractNum w:abstractNumId="74">
    <w:nsid w:val="50D24192"/>
    <w:multiLevelType w:val="multilevel"/>
    <w:tmpl w:val="50D24192"/>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75">
    <w:nsid w:val="538F647D"/>
    <w:multiLevelType w:val="multilevel"/>
    <w:tmpl w:val="538F647D"/>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76">
    <w:nsid w:val="54CA11F6"/>
    <w:multiLevelType w:val="multilevel"/>
    <w:tmpl w:val="54CA11F6"/>
    <w:lvl w:ilvl="0" w:tentative="0">
      <w:start w:val="1"/>
      <w:numFmt w:val="decimal"/>
      <w:lvlText w:val="2.%1"/>
      <w:lvlJc w:val="left"/>
      <w:pPr>
        <w:ind w:left="922" w:hanging="440"/>
      </w:pPr>
      <w:rPr>
        <w:rFonts w:hint="eastAsia"/>
      </w:rPr>
    </w:lvl>
    <w:lvl w:ilvl="1" w:tentative="0">
      <w:start w:val="1"/>
      <w:numFmt w:val="decimal"/>
      <w:lvlText w:val="（%2）"/>
      <w:lvlJc w:val="left"/>
      <w:pPr>
        <w:ind w:left="1160" w:hanging="72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decimal"/>
      <w:lvlText w:val="2.%6"/>
      <w:lvlJc w:val="left"/>
      <w:pPr>
        <w:ind w:left="2640" w:hanging="440"/>
      </w:pPr>
      <w:rPr>
        <w:rFonts w:hint="eastAsia"/>
      </w:r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7">
    <w:nsid w:val="557E054C"/>
    <w:multiLevelType w:val="multilevel"/>
    <w:tmpl w:val="557E054C"/>
    <w:lvl w:ilvl="0" w:tentative="0">
      <w:start w:val="1"/>
      <w:numFmt w:val="decimal"/>
      <w:lvlText w:val="2.2.2.%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8">
    <w:nsid w:val="55FAE8B0"/>
    <w:multiLevelType w:val="singleLevel"/>
    <w:tmpl w:val="55FAE8B0"/>
    <w:lvl w:ilvl="0" w:tentative="0">
      <w:start w:val="1"/>
      <w:numFmt w:val="chineseCounting"/>
      <w:suff w:val="nothing"/>
      <w:lvlText w:val="（%1）"/>
      <w:lvlJc w:val="left"/>
      <w:rPr>
        <w:rFonts w:hint="eastAsia"/>
      </w:rPr>
    </w:lvl>
  </w:abstractNum>
  <w:abstractNum w:abstractNumId="79">
    <w:nsid w:val="56B70541"/>
    <w:multiLevelType w:val="multilevel"/>
    <w:tmpl w:val="56B70541"/>
    <w:lvl w:ilvl="0" w:tentative="0">
      <w:start w:val="1"/>
      <w:numFmt w:val="decimal"/>
      <w:lvlText w:val="2.5.3.3.%1"/>
      <w:lvlJc w:val="left"/>
      <w:pPr>
        <w:ind w:left="880" w:hanging="440"/>
      </w:pPr>
      <w:rPr>
        <w:rFonts w:hint="eastAsia"/>
      </w:rPr>
    </w:lvl>
    <w:lvl w:ilvl="1" w:tentative="0">
      <w:start w:val="1"/>
      <w:numFmt w:val="decimal"/>
      <w:lvlText w:val="2.2.3.%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0">
    <w:nsid w:val="581025D3"/>
    <w:multiLevelType w:val="multilevel"/>
    <w:tmpl w:val="581025D3"/>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81">
    <w:nsid w:val="59987E69"/>
    <w:multiLevelType w:val="multilevel"/>
    <w:tmpl w:val="59987E69"/>
    <w:lvl w:ilvl="0" w:tentative="0">
      <w:start w:val="1"/>
      <w:numFmt w:val="decimal"/>
      <w:lvlText w:val="2.1.2.%1"/>
      <w:lvlJc w:val="left"/>
      <w:pPr>
        <w:ind w:left="880" w:hanging="44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2">
    <w:nsid w:val="5A041C6A"/>
    <w:multiLevelType w:val="multilevel"/>
    <w:tmpl w:val="5A041C6A"/>
    <w:lvl w:ilvl="0" w:tentative="0">
      <w:start w:val="1"/>
      <w:numFmt w:val="decimal"/>
      <w:lvlText w:val="2.4.1.%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3">
    <w:nsid w:val="5A571675"/>
    <w:multiLevelType w:val="multilevel"/>
    <w:tmpl w:val="5A571675"/>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84">
    <w:nsid w:val="5C7B35FD"/>
    <w:multiLevelType w:val="multilevel"/>
    <w:tmpl w:val="5C7B35FD"/>
    <w:lvl w:ilvl="0" w:tentative="0">
      <w:start w:val="1"/>
      <w:numFmt w:val="decimal"/>
      <w:lvlText w:val="（%1）"/>
      <w:lvlJc w:val="left"/>
      <w:pPr>
        <w:ind w:left="1200" w:hanging="720"/>
      </w:pPr>
      <w:rPr>
        <w:rFonts w:hint="default"/>
        <w:lang w:val="en-US"/>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5">
    <w:nsid w:val="5CB97B7C"/>
    <w:multiLevelType w:val="multilevel"/>
    <w:tmpl w:val="5CB97B7C"/>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86">
    <w:nsid w:val="5CDC3AD9"/>
    <w:multiLevelType w:val="multilevel"/>
    <w:tmpl w:val="5CDC3AD9"/>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87">
    <w:nsid w:val="5D4578E9"/>
    <w:multiLevelType w:val="multilevel"/>
    <w:tmpl w:val="5D4578E9"/>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88">
    <w:nsid w:val="5DD91018"/>
    <w:multiLevelType w:val="multilevel"/>
    <w:tmpl w:val="5DD91018"/>
    <w:lvl w:ilvl="0" w:tentative="0">
      <w:start w:val="1"/>
      <w:numFmt w:val="decimal"/>
      <w:lvlText w:val="2.2.3.%1"/>
      <w:lvlJc w:val="left"/>
      <w:pPr>
        <w:ind w:left="2640" w:hanging="440"/>
      </w:pPr>
      <w:rPr>
        <w:rFonts w:hint="eastAsia"/>
      </w:rPr>
    </w:lvl>
    <w:lvl w:ilvl="1" w:tentative="0">
      <w:start w:val="1"/>
      <w:numFmt w:val="decimal"/>
      <w:lvlText w:val="2.2.3.%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9">
    <w:nsid w:val="5DED1D12"/>
    <w:multiLevelType w:val="multilevel"/>
    <w:tmpl w:val="5DED1D12"/>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90">
    <w:nsid w:val="5EC16664"/>
    <w:multiLevelType w:val="multilevel"/>
    <w:tmpl w:val="5EC16664"/>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91">
    <w:nsid w:val="5FFC1121"/>
    <w:multiLevelType w:val="multilevel"/>
    <w:tmpl w:val="5FFC1121"/>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92">
    <w:nsid w:val="62215DDA"/>
    <w:multiLevelType w:val="multilevel"/>
    <w:tmpl w:val="62215DDA"/>
    <w:lvl w:ilvl="0" w:tentative="0">
      <w:start w:val="1"/>
      <w:numFmt w:val="decimal"/>
      <w:lvlText w:val="2.2.1.%1"/>
      <w:lvlJc w:val="left"/>
      <w:pPr>
        <w:ind w:left="3080" w:hanging="440"/>
      </w:pPr>
      <w:rPr>
        <w:rFonts w:hint="eastAsia"/>
      </w:rPr>
    </w:lvl>
    <w:lvl w:ilvl="1" w:tentative="0">
      <w:start w:val="1"/>
      <w:numFmt w:val="decimal"/>
      <w:lvlText w:val="2.2.1.%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3">
    <w:nsid w:val="624E2791"/>
    <w:multiLevelType w:val="multilevel"/>
    <w:tmpl w:val="624E2791"/>
    <w:lvl w:ilvl="0" w:tentative="0">
      <w:start w:val="1"/>
      <w:numFmt w:val="decimal"/>
      <w:lvlText w:val="2.6.1.%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4">
    <w:nsid w:val="6343421F"/>
    <w:multiLevelType w:val="multilevel"/>
    <w:tmpl w:val="6343421F"/>
    <w:lvl w:ilvl="0" w:tentative="0">
      <w:start w:val="1"/>
      <w:numFmt w:val="decimal"/>
      <w:lvlText w:val="2.3.7.%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5">
    <w:nsid w:val="63882D38"/>
    <w:multiLevelType w:val="multilevel"/>
    <w:tmpl w:val="63882D38"/>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96">
    <w:nsid w:val="63AE647D"/>
    <w:multiLevelType w:val="multilevel"/>
    <w:tmpl w:val="63AE647D"/>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97">
    <w:nsid w:val="65397564"/>
    <w:multiLevelType w:val="multilevel"/>
    <w:tmpl w:val="65397564"/>
    <w:lvl w:ilvl="0" w:tentative="0">
      <w:start w:val="1"/>
      <w:numFmt w:val="decimal"/>
      <w:lvlText w:val="2.%1."/>
      <w:lvlJc w:val="left"/>
      <w:pPr>
        <w:ind w:left="352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decimal"/>
      <w:lvlText w:val="2.%6"/>
      <w:lvlJc w:val="left"/>
      <w:pPr>
        <w:ind w:left="2640" w:hanging="440"/>
      </w:pPr>
      <w:rPr>
        <w:rFonts w:hint="eastAsia"/>
      </w:r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8">
    <w:nsid w:val="66F1FF28"/>
    <w:multiLevelType w:val="singleLevel"/>
    <w:tmpl w:val="66F1FF28"/>
    <w:lvl w:ilvl="0" w:tentative="0">
      <w:start w:val="1"/>
      <w:numFmt w:val="decimal"/>
      <w:lvlText w:val="%1."/>
      <w:lvlJc w:val="left"/>
      <w:pPr>
        <w:ind w:left="425" w:hanging="425"/>
      </w:pPr>
      <w:rPr>
        <w:rFonts w:hint="default"/>
      </w:rPr>
    </w:lvl>
  </w:abstractNum>
  <w:abstractNum w:abstractNumId="99">
    <w:nsid w:val="6AAF76AF"/>
    <w:multiLevelType w:val="multilevel"/>
    <w:tmpl w:val="6AAF76AF"/>
    <w:lvl w:ilvl="0" w:tentative="0">
      <w:start w:val="1"/>
      <w:numFmt w:val="decimal"/>
      <w:lvlText w:val="2.7.%1"/>
      <w:lvlJc w:val="left"/>
      <w:pPr>
        <w:ind w:left="26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7.%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0">
    <w:nsid w:val="6ACB2D22"/>
    <w:multiLevelType w:val="multilevel"/>
    <w:tmpl w:val="6ACB2D22"/>
    <w:lvl w:ilvl="0" w:tentative="0">
      <w:start w:val="1"/>
      <w:numFmt w:val="decimal"/>
      <w:lvlText w:val="2.3.6.%1"/>
      <w:lvlJc w:val="left"/>
      <w:pPr>
        <w:ind w:left="880" w:hanging="440"/>
      </w:pPr>
      <w:rPr>
        <w:rFonts w:hint="eastAsia"/>
      </w:rPr>
    </w:lvl>
    <w:lvl w:ilvl="1" w:tentative="0">
      <w:start w:val="1"/>
      <w:numFmt w:val="decimal"/>
      <w:lvlText w:val="2.3.7.%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1">
    <w:nsid w:val="6D855553"/>
    <w:multiLevelType w:val="multilevel"/>
    <w:tmpl w:val="6D855553"/>
    <w:lvl w:ilvl="0" w:tentative="0">
      <w:start w:val="1"/>
      <w:numFmt w:val="decimal"/>
      <w:lvlText w:val="2.4.%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4.%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2">
    <w:nsid w:val="700E124D"/>
    <w:multiLevelType w:val="multilevel"/>
    <w:tmpl w:val="700E124D"/>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103">
    <w:nsid w:val="73EB4CED"/>
    <w:multiLevelType w:val="multilevel"/>
    <w:tmpl w:val="73EB4CED"/>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104">
    <w:nsid w:val="75150AAD"/>
    <w:multiLevelType w:val="multilevel"/>
    <w:tmpl w:val="75150AAD"/>
    <w:lvl w:ilvl="0" w:tentative="0">
      <w:start w:val="1"/>
      <w:numFmt w:val="decimal"/>
      <w:lvlText w:val="2.4.2.%1"/>
      <w:lvlJc w:val="left"/>
      <w:pPr>
        <w:ind w:left="880" w:hanging="440"/>
      </w:pPr>
      <w:rPr>
        <w:rFonts w:hint="eastAsia"/>
      </w:rPr>
    </w:lvl>
    <w:lvl w:ilvl="1" w:tentative="0">
      <w:start w:val="1"/>
      <w:numFmt w:val="decimal"/>
      <w:lvlText w:val="2.4.2.%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5">
    <w:nsid w:val="760B627F"/>
    <w:multiLevelType w:val="multilevel"/>
    <w:tmpl w:val="760B627F"/>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106">
    <w:nsid w:val="7AEF7716"/>
    <w:multiLevelType w:val="multilevel"/>
    <w:tmpl w:val="7AEF7716"/>
    <w:lvl w:ilvl="0" w:tentative="0">
      <w:start w:val="1"/>
      <w:numFmt w:val="chineseCountingThousand"/>
      <w:pStyle w:val="117"/>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7">
    <w:nsid w:val="7AF56661"/>
    <w:multiLevelType w:val="multilevel"/>
    <w:tmpl w:val="7AF56661"/>
    <w:lvl w:ilvl="0" w:tentative="0">
      <w:start w:val="1"/>
      <w:numFmt w:val="decimal"/>
      <w:lvlText w:val="2.3.2.%1"/>
      <w:lvlJc w:val="left"/>
      <w:pPr>
        <w:ind w:left="880" w:hanging="440"/>
      </w:pPr>
      <w:rPr>
        <w:rFonts w:hint="eastAsia"/>
      </w:rPr>
    </w:lvl>
    <w:lvl w:ilvl="1" w:tentative="0">
      <w:start w:val="1"/>
      <w:numFmt w:val="decimal"/>
      <w:lvlText w:val="2.3.2.%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8">
    <w:nsid w:val="7B2468B9"/>
    <w:multiLevelType w:val="multilevel"/>
    <w:tmpl w:val="7B2468B9"/>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109">
    <w:nsid w:val="7D0736C9"/>
    <w:multiLevelType w:val="multilevel"/>
    <w:tmpl w:val="7D0736C9"/>
    <w:lvl w:ilvl="0" w:tentative="0">
      <w:start w:val="1"/>
      <w:numFmt w:val="decimal"/>
      <w:lvlText w:val="2.5.4.%1"/>
      <w:lvlJc w:val="left"/>
      <w:pPr>
        <w:ind w:left="880" w:hanging="440"/>
      </w:pPr>
      <w:rPr>
        <w:rFonts w:hint="eastAsia"/>
      </w:rPr>
    </w:lvl>
    <w:lvl w:ilvl="1" w:tentative="0">
      <w:start w:val="1"/>
      <w:numFmt w:val="decimal"/>
      <w:lvlText w:val="2.3.%2"/>
      <w:lvlJc w:val="left"/>
      <w:pPr>
        <w:ind w:left="92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0">
    <w:nsid w:val="7E5562C1"/>
    <w:multiLevelType w:val="multilevel"/>
    <w:tmpl w:val="7E5562C1"/>
    <w:lvl w:ilvl="0" w:tentative="0">
      <w:start w:val="1"/>
      <w:numFmt w:val="decimal"/>
      <w:lvlText w:val="2.3.1.%1"/>
      <w:lvlJc w:val="left"/>
      <w:pPr>
        <w:ind w:left="880" w:hanging="440"/>
      </w:pPr>
      <w:rPr>
        <w:rFonts w:hint="eastAsia"/>
      </w:rPr>
    </w:lvl>
    <w:lvl w:ilvl="1" w:tentative="0">
      <w:start w:val="1"/>
      <w:numFmt w:val="decimal"/>
      <w:lvlText w:val="2.3.1.%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1">
    <w:nsid w:val="7E625520"/>
    <w:multiLevelType w:val="multilevel"/>
    <w:tmpl w:val="7E625520"/>
    <w:lvl w:ilvl="0" w:tentative="0">
      <w:start w:val="1"/>
      <w:numFmt w:val="decimal"/>
      <w:lvlText w:val="2.1.3.%1"/>
      <w:lvlJc w:val="left"/>
      <w:pPr>
        <w:ind w:left="880" w:hanging="440"/>
      </w:pPr>
      <w:rPr>
        <w:rFonts w:hint="eastAsia"/>
      </w:rPr>
    </w:lvl>
    <w:lvl w:ilvl="1" w:tentative="0">
      <w:start w:val="1"/>
      <w:numFmt w:val="decimal"/>
      <w:lvlText w:val="2.1.3.%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2">
    <w:nsid w:val="7E6E1DF4"/>
    <w:multiLevelType w:val="multilevel"/>
    <w:tmpl w:val="7E6E1DF4"/>
    <w:lvl w:ilvl="0" w:tentative="0">
      <w:start w:val="1"/>
      <w:numFmt w:val="decimal"/>
      <w:lvlText w:val="2.6.2.%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3">
    <w:nsid w:val="7FC05027"/>
    <w:multiLevelType w:val="multilevel"/>
    <w:tmpl w:val="7FC05027"/>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num w:numId="1">
    <w:abstractNumId w:val="11"/>
  </w:num>
  <w:num w:numId="2">
    <w:abstractNumId w:val="10"/>
  </w:num>
  <w:num w:numId="3">
    <w:abstractNumId w:val="31"/>
  </w:num>
  <w:num w:numId="4">
    <w:abstractNumId w:val="29"/>
  </w:num>
  <w:num w:numId="5">
    <w:abstractNumId w:val="106"/>
  </w:num>
  <w:num w:numId="6">
    <w:abstractNumId w:val="46"/>
  </w:num>
  <w:num w:numId="7">
    <w:abstractNumId w:val="37"/>
  </w:num>
  <w:num w:numId="8">
    <w:abstractNumId w:val="14"/>
  </w:num>
  <w:num w:numId="9">
    <w:abstractNumId w:val="60"/>
  </w:num>
  <w:num w:numId="10">
    <w:abstractNumId w:val="35"/>
  </w:num>
  <w:num w:numId="11">
    <w:abstractNumId w:val="111"/>
  </w:num>
  <w:num w:numId="12">
    <w:abstractNumId w:val="48"/>
  </w:num>
  <w:num w:numId="13">
    <w:abstractNumId w:val="67"/>
  </w:num>
  <w:num w:numId="14">
    <w:abstractNumId w:val="57"/>
  </w:num>
  <w:num w:numId="15">
    <w:abstractNumId w:val="70"/>
  </w:num>
  <w:num w:numId="16">
    <w:abstractNumId w:val="92"/>
  </w:num>
  <w:num w:numId="17">
    <w:abstractNumId w:val="17"/>
  </w:num>
  <w:num w:numId="18">
    <w:abstractNumId w:val="88"/>
  </w:num>
  <w:num w:numId="19">
    <w:abstractNumId w:val="41"/>
  </w:num>
  <w:num w:numId="20">
    <w:abstractNumId w:val="40"/>
  </w:num>
  <w:num w:numId="21">
    <w:abstractNumId w:val="13"/>
  </w:num>
  <w:num w:numId="22">
    <w:abstractNumId w:val="110"/>
  </w:num>
  <w:num w:numId="23">
    <w:abstractNumId w:val="107"/>
  </w:num>
  <w:num w:numId="24">
    <w:abstractNumId w:val="33"/>
  </w:num>
  <w:num w:numId="25">
    <w:abstractNumId w:val="100"/>
  </w:num>
  <w:num w:numId="26">
    <w:abstractNumId w:val="94"/>
  </w:num>
  <w:num w:numId="27">
    <w:abstractNumId w:val="101"/>
  </w:num>
  <w:num w:numId="28">
    <w:abstractNumId w:val="82"/>
  </w:num>
  <w:num w:numId="29">
    <w:abstractNumId w:val="104"/>
  </w:num>
  <w:num w:numId="30">
    <w:abstractNumId w:val="21"/>
  </w:num>
  <w:num w:numId="31">
    <w:abstractNumId w:val="34"/>
  </w:num>
  <w:num w:numId="32">
    <w:abstractNumId w:val="51"/>
  </w:num>
  <w:num w:numId="33">
    <w:abstractNumId w:val="19"/>
  </w:num>
  <w:num w:numId="34">
    <w:abstractNumId w:val="52"/>
  </w:num>
  <w:num w:numId="35">
    <w:abstractNumId w:val="39"/>
  </w:num>
  <w:num w:numId="36">
    <w:abstractNumId w:val="6"/>
  </w:num>
  <w:num w:numId="37">
    <w:abstractNumId w:val="93"/>
  </w:num>
  <w:num w:numId="38">
    <w:abstractNumId w:val="9"/>
  </w:num>
  <w:num w:numId="39">
    <w:abstractNumId w:val="3"/>
  </w:num>
  <w:num w:numId="40">
    <w:abstractNumId w:val="24"/>
  </w:num>
  <w:num w:numId="41">
    <w:abstractNumId w:val="112"/>
  </w:num>
  <w:num w:numId="42">
    <w:abstractNumId w:val="99"/>
  </w:num>
  <w:num w:numId="43">
    <w:abstractNumId w:val="97"/>
  </w:num>
  <w:num w:numId="44">
    <w:abstractNumId w:val="20"/>
  </w:num>
  <w:num w:numId="45">
    <w:abstractNumId w:val="45"/>
  </w:num>
  <w:num w:numId="46">
    <w:abstractNumId w:val="81"/>
  </w:num>
  <w:num w:numId="47">
    <w:abstractNumId w:val="73"/>
    <w:lvlOverride w:ilvl="0">
      <w:startOverride w:val="1"/>
    </w:lvlOverride>
  </w:num>
  <w:num w:numId="48">
    <w:abstractNumId w:val="69"/>
    <w:lvlOverride w:ilvl="0">
      <w:startOverride w:val="1"/>
    </w:lvlOverride>
  </w:num>
  <w:num w:numId="49">
    <w:abstractNumId w:val="50"/>
    <w:lvlOverride w:ilvl="0">
      <w:startOverride w:val="1"/>
    </w:lvlOverride>
  </w:num>
  <w:num w:numId="50">
    <w:abstractNumId w:val="103"/>
    <w:lvlOverride w:ilvl="0">
      <w:startOverride w:val="1"/>
    </w:lvlOverride>
  </w:num>
  <w:num w:numId="51">
    <w:abstractNumId w:val="49"/>
    <w:lvlOverride w:ilvl="0">
      <w:startOverride w:val="4"/>
    </w:lvlOverride>
  </w:num>
  <w:num w:numId="52">
    <w:abstractNumId w:val="87"/>
    <w:lvlOverride w:ilvl="0">
      <w:startOverride w:val="1"/>
    </w:lvlOverride>
  </w:num>
  <w:num w:numId="53">
    <w:abstractNumId w:val="27"/>
    <w:lvlOverride w:ilvl="0">
      <w:startOverride w:val="4"/>
    </w:lvlOverride>
  </w:num>
  <w:num w:numId="54">
    <w:abstractNumId w:val="89"/>
    <w:lvlOverride w:ilvl="0">
      <w:startOverride w:val="1"/>
    </w:lvlOverride>
  </w:num>
  <w:num w:numId="55">
    <w:abstractNumId w:val="64"/>
    <w:lvlOverride w:ilvl="0">
      <w:startOverride w:val="4"/>
    </w:lvlOverride>
  </w:num>
  <w:num w:numId="56">
    <w:abstractNumId w:val="23"/>
    <w:lvlOverride w:ilvl="0">
      <w:startOverride w:val="1"/>
    </w:lvlOverride>
  </w:num>
  <w:num w:numId="57">
    <w:abstractNumId w:val="30"/>
    <w:lvlOverride w:ilvl="0">
      <w:startOverride w:val="1"/>
    </w:lvlOverride>
  </w:num>
  <w:num w:numId="58">
    <w:abstractNumId w:val="90"/>
    <w:lvlOverride w:ilvl="0">
      <w:startOverride w:val="1"/>
    </w:lvlOverride>
  </w:num>
  <w:num w:numId="59">
    <w:abstractNumId w:val="65"/>
    <w:lvlOverride w:ilvl="0">
      <w:startOverride w:val="1"/>
    </w:lvlOverride>
  </w:num>
  <w:num w:numId="60">
    <w:abstractNumId w:val="61"/>
    <w:lvlOverride w:ilvl="0">
      <w:startOverride w:val="1"/>
    </w:lvlOverride>
  </w:num>
  <w:num w:numId="61">
    <w:abstractNumId w:val="59"/>
    <w:lvlOverride w:ilvl="0">
      <w:startOverride w:val="1"/>
    </w:lvlOverride>
  </w:num>
  <w:num w:numId="62">
    <w:abstractNumId w:val="18"/>
    <w:lvlOverride w:ilvl="0">
      <w:startOverride w:val="1"/>
    </w:lvlOverride>
  </w:num>
  <w:num w:numId="63">
    <w:abstractNumId w:val="56"/>
    <w:lvlOverride w:ilvl="0">
      <w:startOverride w:val="1"/>
    </w:lvlOverride>
  </w:num>
  <w:num w:numId="64">
    <w:abstractNumId w:val="25"/>
    <w:lvlOverride w:ilvl="0">
      <w:startOverride w:val="1"/>
    </w:lvlOverride>
  </w:num>
  <w:num w:numId="65">
    <w:abstractNumId w:val="113"/>
    <w:lvlOverride w:ilvl="0">
      <w:startOverride w:val="1"/>
    </w:lvlOverride>
  </w:num>
  <w:num w:numId="66">
    <w:abstractNumId w:val="66"/>
    <w:lvlOverride w:ilvl="0">
      <w:startOverride w:val="1"/>
    </w:lvlOverride>
  </w:num>
  <w:num w:numId="67">
    <w:abstractNumId w:val="83"/>
    <w:lvlOverride w:ilvl="0">
      <w:startOverride w:val="1"/>
    </w:lvlOverride>
  </w:num>
  <w:num w:numId="68">
    <w:abstractNumId w:val="75"/>
    <w:lvlOverride w:ilvl="0">
      <w:startOverride w:val="1"/>
    </w:lvlOverride>
  </w:num>
  <w:num w:numId="69">
    <w:abstractNumId w:val="55"/>
    <w:lvlOverride w:ilvl="0">
      <w:startOverride w:val="1"/>
    </w:lvlOverride>
  </w:num>
  <w:num w:numId="70">
    <w:abstractNumId w:val="102"/>
    <w:lvlOverride w:ilvl="0">
      <w:startOverride w:val="1"/>
    </w:lvlOverride>
  </w:num>
  <w:num w:numId="71">
    <w:abstractNumId w:val="53"/>
    <w:lvlOverride w:ilvl="0">
      <w:startOverride w:val="1"/>
    </w:lvlOverride>
  </w:num>
  <w:num w:numId="72">
    <w:abstractNumId w:val="80"/>
    <w:lvlOverride w:ilvl="0">
      <w:startOverride w:val="1"/>
    </w:lvlOverride>
  </w:num>
  <w:num w:numId="73">
    <w:abstractNumId w:val="71"/>
    <w:lvlOverride w:ilvl="0">
      <w:startOverride w:val="1"/>
    </w:lvlOverride>
  </w:num>
  <w:num w:numId="74">
    <w:abstractNumId w:val="91"/>
    <w:lvlOverride w:ilvl="0">
      <w:startOverride w:val="1"/>
    </w:lvlOverride>
  </w:num>
  <w:num w:numId="75">
    <w:abstractNumId w:val="68"/>
    <w:lvlOverride w:ilvl="0">
      <w:startOverride w:val="1"/>
    </w:lvlOverride>
  </w:num>
  <w:num w:numId="76">
    <w:abstractNumId w:val="26"/>
    <w:lvlOverride w:ilvl="0">
      <w:startOverride w:val="1"/>
    </w:lvlOverride>
  </w:num>
  <w:num w:numId="77">
    <w:abstractNumId w:val="44"/>
    <w:lvlOverride w:ilvl="0">
      <w:startOverride w:val="1"/>
    </w:lvlOverride>
  </w:num>
  <w:num w:numId="78">
    <w:abstractNumId w:val="108"/>
    <w:lvlOverride w:ilvl="0">
      <w:startOverride w:val="1"/>
    </w:lvlOverride>
  </w:num>
  <w:num w:numId="79">
    <w:abstractNumId w:val="96"/>
    <w:lvlOverride w:ilvl="0">
      <w:startOverride w:val="1"/>
    </w:lvlOverride>
  </w:num>
  <w:num w:numId="80">
    <w:abstractNumId w:val="74"/>
    <w:lvlOverride w:ilvl="0">
      <w:startOverride w:val="1"/>
    </w:lvlOverride>
  </w:num>
  <w:num w:numId="81">
    <w:abstractNumId w:val="72"/>
    <w:lvlOverride w:ilvl="0">
      <w:startOverride w:val="1"/>
    </w:lvlOverride>
  </w:num>
  <w:num w:numId="82">
    <w:abstractNumId w:val="32"/>
    <w:lvlOverride w:ilvl="0">
      <w:startOverride w:val="1"/>
    </w:lvlOverride>
  </w:num>
  <w:num w:numId="83">
    <w:abstractNumId w:val="42"/>
    <w:lvlOverride w:ilvl="0">
      <w:startOverride w:val="1"/>
    </w:lvlOverride>
  </w:num>
  <w:num w:numId="84">
    <w:abstractNumId w:val="38"/>
    <w:lvlOverride w:ilvl="0">
      <w:startOverride w:val="1"/>
    </w:lvlOverride>
  </w:num>
  <w:num w:numId="85">
    <w:abstractNumId w:val="105"/>
    <w:lvlOverride w:ilvl="0">
      <w:startOverride w:val="1"/>
    </w:lvlOverride>
  </w:num>
  <w:num w:numId="86">
    <w:abstractNumId w:val="95"/>
    <w:lvlOverride w:ilvl="0">
      <w:startOverride w:val="1"/>
    </w:lvlOverride>
  </w:num>
  <w:num w:numId="87">
    <w:abstractNumId w:val="28"/>
    <w:lvlOverride w:ilvl="0">
      <w:startOverride w:val="1"/>
    </w:lvlOverride>
  </w:num>
  <w:num w:numId="88">
    <w:abstractNumId w:val="85"/>
    <w:lvlOverride w:ilvl="0">
      <w:startOverride w:val="1"/>
    </w:lvlOverride>
  </w:num>
  <w:num w:numId="89">
    <w:abstractNumId w:val="86"/>
    <w:lvlOverride w:ilvl="0">
      <w:startOverride w:val="1"/>
    </w:lvlOverride>
  </w:num>
  <w:num w:numId="90">
    <w:abstractNumId w:val="4"/>
  </w:num>
  <w:num w:numId="91">
    <w:abstractNumId w:val="16"/>
  </w:num>
  <w:num w:numId="92">
    <w:abstractNumId w:val="84"/>
  </w:num>
  <w:num w:numId="93">
    <w:abstractNumId w:val="77"/>
  </w:num>
  <w:num w:numId="94">
    <w:abstractNumId w:val="0"/>
  </w:num>
  <w:num w:numId="95">
    <w:abstractNumId w:val="63"/>
  </w:num>
  <w:num w:numId="96">
    <w:abstractNumId w:val="54"/>
  </w:num>
  <w:num w:numId="97">
    <w:abstractNumId w:val="15"/>
  </w:num>
  <w:num w:numId="98">
    <w:abstractNumId w:val="36"/>
  </w:num>
  <w:num w:numId="99">
    <w:abstractNumId w:val="78"/>
  </w:num>
  <w:num w:numId="100">
    <w:abstractNumId w:val="62"/>
  </w:num>
  <w:num w:numId="101">
    <w:abstractNumId w:val="58"/>
  </w:num>
  <w:num w:numId="102">
    <w:abstractNumId w:val="79"/>
  </w:num>
  <w:num w:numId="103">
    <w:abstractNumId w:val="109"/>
  </w:num>
  <w:num w:numId="104">
    <w:abstractNumId w:val="47"/>
  </w:num>
  <w:num w:numId="105">
    <w:abstractNumId w:val="76"/>
  </w:num>
  <w:num w:numId="106">
    <w:abstractNumId w:val="98"/>
  </w:num>
  <w:num w:numId="107">
    <w:abstractNumId w:val="43"/>
  </w:num>
  <w:num w:numId="108">
    <w:abstractNumId w:val="2"/>
  </w:num>
  <w:num w:numId="109">
    <w:abstractNumId w:val="5"/>
  </w:num>
  <w:num w:numId="110">
    <w:abstractNumId w:val="7"/>
  </w:num>
  <w:num w:numId="111">
    <w:abstractNumId w:val="12"/>
  </w:num>
  <w:num w:numId="112">
    <w:abstractNumId w:val="1"/>
  </w:num>
  <w:num w:numId="113">
    <w:abstractNumId w:val="22"/>
  </w:num>
  <w:num w:numId="114">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采购部">
    <w15:presenceInfo w15:providerId="None" w15:userId="采购部"/>
  </w15:person>
  <w15:person w15:author="张剑峰">
    <w15:presenceInfo w15:providerId="None" w15:userId="张剑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hideSpellingErrors/>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kYjIyMjcxNTBjMWYzYTc1ZjMzMTRjZmMyNTg0MTI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300F"/>
    <w:rsid w:val="00013262"/>
    <w:rsid w:val="0001451A"/>
    <w:rsid w:val="0001480D"/>
    <w:rsid w:val="00014A5C"/>
    <w:rsid w:val="00015388"/>
    <w:rsid w:val="00015BDD"/>
    <w:rsid w:val="00015C88"/>
    <w:rsid w:val="00016D97"/>
    <w:rsid w:val="0001716B"/>
    <w:rsid w:val="00017F81"/>
    <w:rsid w:val="00020691"/>
    <w:rsid w:val="000211EA"/>
    <w:rsid w:val="000234B2"/>
    <w:rsid w:val="00025AE4"/>
    <w:rsid w:val="0002684B"/>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CD1"/>
    <w:rsid w:val="00036A2B"/>
    <w:rsid w:val="000377D2"/>
    <w:rsid w:val="00040D3C"/>
    <w:rsid w:val="00040E5A"/>
    <w:rsid w:val="00042897"/>
    <w:rsid w:val="00042C84"/>
    <w:rsid w:val="00043739"/>
    <w:rsid w:val="00043A89"/>
    <w:rsid w:val="00045739"/>
    <w:rsid w:val="00046D30"/>
    <w:rsid w:val="000510B6"/>
    <w:rsid w:val="00051133"/>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335B"/>
    <w:rsid w:val="00063C25"/>
    <w:rsid w:val="00064231"/>
    <w:rsid w:val="00064892"/>
    <w:rsid w:val="00064C7A"/>
    <w:rsid w:val="00066026"/>
    <w:rsid w:val="000661FF"/>
    <w:rsid w:val="00066537"/>
    <w:rsid w:val="0006660A"/>
    <w:rsid w:val="0006670C"/>
    <w:rsid w:val="00067960"/>
    <w:rsid w:val="0007003A"/>
    <w:rsid w:val="00070210"/>
    <w:rsid w:val="000707BF"/>
    <w:rsid w:val="00071FF0"/>
    <w:rsid w:val="0007277D"/>
    <w:rsid w:val="000734CD"/>
    <w:rsid w:val="00074403"/>
    <w:rsid w:val="00074CF0"/>
    <w:rsid w:val="000750DC"/>
    <w:rsid w:val="0007583C"/>
    <w:rsid w:val="00076057"/>
    <w:rsid w:val="000770EC"/>
    <w:rsid w:val="00081E95"/>
    <w:rsid w:val="00082667"/>
    <w:rsid w:val="00082AD2"/>
    <w:rsid w:val="00083DC6"/>
    <w:rsid w:val="000840D4"/>
    <w:rsid w:val="00084857"/>
    <w:rsid w:val="00084F26"/>
    <w:rsid w:val="0008503C"/>
    <w:rsid w:val="000850AF"/>
    <w:rsid w:val="000852EB"/>
    <w:rsid w:val="00086539"/>
    <w:rsid w:val="000869D8"/>
    <w:rsid w:val="00086CA6"/>
    <w:rsid w:val="00090213"/>
    <w:rsid w:val="000903AC"/>
    <w:rsid w:val="00092FC7"/>
    <w:rsid w:val="00093133"/>
    <w:rsid w:val="0009395E"/>
    <w:rsid w:val="00094603"/>
    <w:rsid w:val="000954D5"/>
    <w:rsid w:val="00095723"/>
    <w:rsid w:val="0009618D"/>
    <w:rsid w:val="0009709B"/>
    <w:rsid w:val="000975E3"/>
    <w:rsid w:val="00097DDA"/>
    <w:rsid w:val="000A1DD1"/>
    <w:rsid w:val="000A21A5"/>
    <w:rsid w:val="000A3908"/>
    <w:rsid w:val="000A4C29"/>
    <w:rsid w:val="000A5EA4"/>
    <w:rsid w:val="000A6E2B"/>
    <w:rsid w:val="000A79D3"/>
    <w:rsid w:val="000B05E2"/>
    <w:rsid w:val="000B0C99"/>
    <w:rsid w:val="000B0F8B"/>
    <w:rsid w:val="000B2213"/>
    <w:rsid w:val="000B2568"/>
    <w:rsid w:val="000B41BB"/>
    <w:rsid w:val="000B5357"/>
    <w:rsid w:val="000B5853"/>
    <w:rsid w:val="000B597F"/>
    <w:rsid w:val="000B634D"/>
    <w:rsid w:val="000B7465"/>
    <w:rsid w:val="000C14CB"/>
    <w:rsid w:val="000C18BC"/>
    <w:rsid w:val="000C1EE4"/>
    <w:rsid w:val="000C1FF9"/>
    <w:rsid w:val="000C21C4"/>
    <w:rsid w:val="000C4151"/>
    <w:rsid w:val="000C4425"/>
    <w:rsid w:val="000C4B12"/>
    <w:rsid w:val="000C4FCB"/>
    <w:rsid w:val="000C5EA0"/>
    <w:rsid w:val="000C5FA7"/>
    <w:rsid w:val="000C7E71"/>
    <w:rsid w:val="000D16AA"/>
    <w:rsid w:val="000D1A7D"/>
    <w:rsid w:val="000D2309"/>
    <w:rsid w:val="000D2CCA"/>
    <w:rsid w:val="000D366B"/>
    <w:rsid w:val="000D38F9"/>
    <w:rsid w:val="000D5D6B"/>
    <w:rsid w:val="000D62C8"/>
    <w:rsid w:val="000D76F9"/>
    <w:rsid w:val="000D7A20"/>
    <w:rsid w:val="000E0BFC"/>
    <w:rsid w:val="000E161C"/>
    <w:rsid w:val="000E266E"/>
    <w:rsid w:val="000E2B61"/>
    <w:rsid w:val="000E470B"/>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425"/>
    <w:rsid w:val="00100570"/>
    <w:rsid w:val="00100C7B"/>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2FD3"/>
    <w:rsid w:val="00133A61"/>
    <w:rsid w:val="001341E8"/>
    <w:rsid w:val="001362BD"/>
    <w:rsid w:val="0013673A"/>
    <w:rsid w:val="00137F86"/>
    <w:rsid w:val="001410EB"/>
    <w:rsid w:val="00141B41"/>
    <w:rsid w:val="00143554"/>
    <w:rsid w:val="00143653"/>
    <w:rsid w:val="00143934"/>
    <w:rsid w:val="00143B3A"/>
    <w:rsid w:val="00143E43"/>
    <w:rsid w:val="00143FFC"/>
    <w:rsid w:val="001453B3"/>
    <w:rsid w:val="00146ABB"/>
    <w:rsid w:val="00147338"/>
    <w:rsid w:val="00147A48"/>
    <w:rsid w:val="00150143"/>
    <w:rsid w:val="001509AB"/>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0411"/>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96C"/>
    <w:rsid w:val="00191EA7"/>
    <w:rsid w:val="00192164"/>
    <w:rsid w:val="00193EB7"/>
    <w:rsid w:val="00194ACA"/>
    <w:rsid w:val="00194C98"/>
    <w:rsid w:val="00194FB7"/>
    <w:rsid w:val="00196B4E"/>
    <w:rsid w:val="001975A1"/>
    <w:rsid w:val="001A027A"/>
    <w:rsid w:val="001A08E4"/>
    <w:rsid w:val="001A0D2C"/>
    <w:rsid w:val="001A11D8"/>
    <w:rsid w:val="001A12B5"/>
    <w:rsid w:val="001A174B"/>
    <w:rsid w:val="001A1C72"/>
    <w:rsid w:val="001A2976"/>
    <w:rsid w:val="001A3980"/>
    <w:rsid w:val="001A422B"/>
    <w:rsid w:val="001A440A"/>
    <w:rsid w:val="001A47C6"/>
    <w:rsid w:val="001A4A55"/>
    <w:rsid w:val="001A5C6F"/>
    <w:rsid w:val="001A61D0"/>
    <w:rsid w:val="001A6A4F"/>
    <w:rsid w:val="001A76B7"/>
    <w:rsid w:val="001B015C"/>
    <w:rsid w:val="001B1339"/>
    <w:rsid w:val="001B1B58"/>
    <w:rsid w:val="001B1F55"/>
    <w:rsid w:val="001B2049"/>
    <w:rsid w:val="001B2934"/>
    <w:rsid w:val="001B4A37"/>
    <w:rsid w:val="001B4BB2"/>
    <w:rsid w:val="001B6FAD"/>
    <w:rsid w:val="001C04B2"/>
    <w:rsid w:val="001C1FDE"/>
    <w:rsid w:val="001C2063"/>
    <w:rsid w:val="001C21E1"/>
    <w:rsid w:val="001C3426"/>
    <w:rsid w:val="001C4768"/>
    <w:rsid w:val="001C5839"/>
    <w:rsid w:val="001C6431"/>
    <w:rsid w:val="001C6AF6"/>
    <w:rsid w:val="001C7129"/>
    <w:rsid w:val="001C77E1"/>
    <w:rsid w:val="001C7ADA"/>
    <w:rsid w:val="001D0FD3"/>
    <w:rsid w:val="001D121D"/>
    <w:rsid w:val="001D1C29"/>
    <w:rsid w:val="001D3543"/>
    <w:rsid w:val="001D35FD"/>
    <w:rsid w:val="001D3B85"/>
    <w:rsid w:val="001D3DF1"/>
    <w:rsid w:val="001D4151"/>
    <w:rsid w:val="001D4BB9"/>
    <w:rsid w:val="001D501B"/>
    <w:rsid w:val="001D58E5"/>
    <w:rsid w:val="001D5EAE"/>
    <w:rsid w:val="001E07AA"/>
    <w:rsid w:val="001E0FAB"/>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41B9"/>
    <w:rsid w:val="001F4BE8"/>
    <w:rsid w:val="001F4EB8"/>
    <w:rsid w:val="001F560A"/>
    <w:rsid w:val="001F6318"/>
    <w:rsid w:val="001F65B1"/>
    <w:rsid w:val="001F6B83"/>
    <w:rsid w:val="001F6F6A"/>
    <w:rsid w:val="001F7595"/>
    <w:rsid w:val="001F7FE7"/>
    <w:rsid w:val="002000B8"/>
    <w:rsid w:val="00200B4C"/>
    <w:rsid w:val="0020303B"/>
    <w:rsid w:val="00203267"/>
    <w:rsid w:val="00203897"/>
    <w:rsid w:val="0020391D"/>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67D"/>
    <w:rsid w:val="002166A1"/>
    <w:rsid w:val="002166A6"/>
    <w:rsid w:val="00216BB6"/>
    <w:rsid w:val="0022048B"/>
    <w:rsid w:val="0022175C"/>
    <w:rsid w:val="00221D76"/>
    <w:rsid w:val="00222261"/>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1E0"/>
    <w:rsid w:val="00233A54"/>
    <w:rsid w:val="00234440"/>
    <w:rsid w:val="002347C9"/>
    <w:rsid w:val="00235A73"/>
    <w:rsid w:val="00236E72"/>
    <w:rsid w:val="002411BD"/>
    <w:rsid w:val="00244711"/>
    <w:rsid w:val="00244AE4"/>
    <w:rsid w:val="00245EBE"/>
    <w:rsid w:val="00246C63"/>
    <w:rsid w:val="002472C1"/>
    <w:rsid w:val="002473F4"/>
    <w:rsid w:val="00250600"/>
    <w:rsid w:val="002506E1"/>
    <w:rsid w:val="00250F42"/>
    <w:rsid w:val="00252934"/>
    <w:rsid w:val="00252EBA"/>
    <w:rsid w:val="0025361A"/>
    <w:rsid w:val="002545EF"/>
    <w:rsid w:val="00254B44"/>
    <w:rsid w:val="00254E99"/>
    <w:rsid w:val="00255B9B"/>
    <w:rsid w:val="002562E9"/>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662AC"/>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449E"/>
    <w:rsid w:val="0029488D"/>
    <w:rsid w:val="00294E82"/>
    <w:rsid w:val="002951FD"/>
    <w:rsid w:val="0029530C"/>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B0660"/>
    <w:rsid w:val="002B1286"/>
    <w:rsid w:val="002B18D6"/>
    <w:rsid w:val="002B1B98"/>
    <w:rsid w:val="002B22D4"/>
    <w:rsid w:val="002B3259"/>
    <w:rsid w:val="002B3984"/>
    <w:rsid w:val="002B4595"/>
    <w:rsid w:val="002B45EE"/>
    <w:rsid w:val="002B4BF3"/>
    <w:rsid w:val="002B55C8"/>
    <w:rsid w:val="002B5E4B"/>
    <w:rsid w:val="002B660D"/>
    <w:rsid w:val="002B7969"/>
    <w:rsid w:val="002C0031"/>
    <w:rsid w:val="002C0485"/>
    <w:rsid w:val="002C0762"/>
    <w:rsid w:val="002C0C86"/>
    <w:rsid w:val="002C1397"/>
    <w:rsid w:val="002C257A"/>
    <w:rsid w:val="002C2BEC"/>
    <w:rsid w:val="002C30C0"/>
    <w:rsid w:val="002C4F4B"/>
    <w:rsid w:val="002C6EC0"/>
    <w:rsid w:val="002C7A58"/>
    <w:rsid w:val="002D0356"/>
    <w:rsid w:val="002D07C0"/>
    <w:rsid w:val="002D0F98"/>
    <w:rsid w:val="002D1DFB"/>
    <w:rsid w:val="002D45BF"/>
    <w:rsid w:val="002D4A85"/>
    <w:rsid w:val="002D4B65"/>
    <w:rsid w:val="002D6162"/>
    <w:rsid w:val="002D64DF"/>
    <w:rsid w:val="002D71EF"/>
    <w:rsid w:val="002E00F3"/>
    <w:rsid w:val="002E242E"/>
    <w:rsid w:val="002E255F"/>
    <w:rsid w:val="002E2CED"/>
    <w:rsid w:val="002E2FEC"/>
    <w:rsid w:val="002E38DB"/>
    <w:rsid w:val="002E4AB1"/>
    <w:rsid w:val="002E4F8A"/>
    <w:rsid w:val="002E505D"/>
    <w:rsid w:val="002E73B8"/>
    <w:rsid w:val="002F0823"/>
    <w:rsid w:val="002F0F0F"/>
    <w:rsid w:val="002F113B"/>
    <w:rsid w:val="002F2471"/>
    <w:rsid w:val="002F2B7A"/>
    <w:rsid w:val="002F3105"/>
    <w:rsid w:val="002F4864"/>
    <w:rsid w:val="002F5E6C"/>
    <w:rsid w:val="002F6DD7"/>
    <w:rsid w:val="002F72FF"/>
    <w:rsid w:val="002F7987"/>
    <w:rsid w:val="002F79D4"/>
    <w:rsid w:val="003005C9"/>
    <w:rsid w:val="00300BF3"/>
    <w:rsid w:val="0030143F"/>
    <w:rsid w:val="00301BCD"/>
    <w:rsid w:val="003024C7"/>
    <w:rsid w:val="00303636"/>
    <w:rsid w:val="00303ACF"/>
    <w:rsid w:val="0030463E"/>
    <w:rsid w:val="003047AB"/>
    <w:rsid w:val="00304ED6"/>
    <w:rsid w:val="0030661C"/>
    <w:rsid w:val="00306D5D"/>
    <w:rsid w:val="00306FF4"/>
    <w:rsid w:val="003074C6"/>
    <w:rsid w:val="00307A08"/>
    <w:rsid w:val="0031060A"/>
    <w:rsid w:val="00310EE1"/>
    <w:rsid w:val="00311901"/>
    <w:rsid w:val="003122B0"/>
    <w:rsid w:val="00312390"/>
    <w:rsid w:val="003138EB"/>
    <w:rsid w:val="003139DD"/>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18A6"/>
    <w:rsid w:val="00331D51"/>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5F52"/>
    <w:rsid w:val="0034629D"/>
    <w:rsid w:val="0034652C"/>
    <w:rsid w:val="00346606"/>
    <w:rsid w:val="00346B62"/>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494"/>
    <w:rsid w:val="00360C00"/>
    <w:rsid w:val="00360E7E"/>
    <w:rsid w:val="00361935"/>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FA4"/>
    <w:rsid w:val="003756C6"/>
    <w:rsid w:val="00375EFF"/>
    <w:rsid w:val="00376E35"/>
    <w:rsid w:val="003773E4"/>
    <w:rsid w:val="00377F6C"/>
    <w:rsid w:val="00380094"/>
    <w:rsid w:val="00380256"/>
    <w:rsid w:val="0038165D"/>
    <w:rsid w:val="00381812"/>
    <w:rsid w:val="00383071"/>
    <w:rsid w:val="00383BBC"/>
    <w:rsid w:val="0038418D"/>
    <w:rsid w:val="003849DF"/>
    <w:rsid w:val="00385444"/>
    <w:rsid w:val="00385717"/>
    <w:rsid w:val="00385C8D"/>
    <w:rsid w:val="00385F39"/>
    <w:rsid w:val="00386070"/>
    <w:rsid w:val="003900A5"/>
    <w:rsid w:val="00390941"/>
    <w:rsid w:val="003917AD"/>
    <w:rsid w:val="00391FAB"/>
    <w:rsid w:val="00392539"/>
    <w:rsid w:val="00392677"/>
    <w:rsid w:val="00393431"/>
    <w:rsid w:val="00393633"/>
    <w:rsid w:val="00393B41"/>
    <w:rsid w:val="003945E2"/>
    <w:rsid w:val="00394981"/>
    <w:rsid w:val="003953A8"/>
    <w:rsid w:val="003958E6"/>
    <w:rsid w:val="00395D76"/>
    <w:rsid w:val="00396986"/>
    <w:rsid w:val="00396F7B"/>
    <w:rsid w:val="00396FA3"/>
    <w:rsid w:val="00397077"/>
    <w:rsid w:val="0039788E"/>
    <w:rsid w:val="00397BCF"/>
    <w:rsid w:val="00397F0D"/>
    <w:rsid w:val="003A0DC3"/>
    <w:rsid w:val="003A1CF5"/>
    <w:rsid w:val="003A2812"/>
    <w:rsid w:val="003A2D0C"/>
    <w:rsid w:val="003A3298"/>
    <w:rsid w:val="003A3304"/>
    <w:rsid w:val="003A3551"/>
    <w:rsid w:val="003A38F0"/>
    <w:rsid w:val="003A443D"/>
    <w:rsid w:val="003A4708"/>
    <w:rsid w:val="003A4BAB"/>
    <w:rsid w:val="003A6A5A"/>
    <w:rsid w:val="003A72E9"/>
    <w:rsid w:val="003B06AD"/>
    <w:rsid w:val="003B06B9"/>
    <w:rsid w:val="003B0979"/>
    <w:rsid w:val="003B15E9"/>
    <w:rsid w:val="003B175A"/>
    <w:rsid w:val="003B3231"/>
    <w:rsid w:val="003B357A"/>
    <w:rsid w:val="003B4714"/>
    <w:rsid w:val="003B499C"/>
    <w:rsid w:val="003B4CCD"/>
    <w:rsid w:val="003B53D4"/>
    <w:rsid w:val="003B7298"/>
    <w:rsid w:val="003C0036"/>
    <w:rsid w:val="003C0FF8"/>
    <w:rsid w:val="003C43DA"/>
    <w:rsid w:val="003C4FD5"/>
    <w:rsid w:val="003C5585"/>
    <w:rsid w:val="003C57DD"/>
    <w:rsid w:val="003C582B"/>
    <w:rsid w:val="003C614D"/>
    <w:rsid w:val="003C77E9"/>
    <w:rsid w:val="003D152F"/>
    <w:rsid w:val="003D19EE"/>
    <w:rsid w:val="003D2333"/>
    <w:rsid w:val="003D2374"/>
    <w:rsid w:val="003D2B3A"/>
    <w:rsid w:val="003D3241"/>
    <w:rsid w:val="003D4804"/>
    <w:rsid w:val="003D5413"/>
    <w:rsid w:val="003D73E4"/>
    <w:rsid w:val="003D7685"/>
    <w:rsid w:val="003D7E9A"/>
    <w:rsid w:val="003E0366"/>
    <w:rsid w:val="003E100C"/>
    <w:rsid w:val="003E1678"/>
    <w:rsid w:val="003E2FFE"/>
    <w:rsid w:val="003E37AA"/>
    <w:rsid w:val="003E37BB"/>
    <w:rsid w:val="003E3871"/>
    <w:rsid w:val="003E411A"/>
    <w:rsid w:val="003E4310"/>
    <w:rsid w:val="003E47DE"/>
    <w:rsid w:val="003E4FFA"/>
    <w:rsid w:val="003E6E11"/>
    <w:rsid w:val="003E7BA8"/>
    <w:rsid w:val="003F0536"/>
    <w:rsid w:val="003F10D3"/>
    <w:rsid w:val="003F1548"/>
    <w:rsid w:val="003F2B3D"/>
    <w:rsid w:val="003F2EDF"/>
    <w:rsid w:val="003F3105"/>
    <w:rsid w:val="003F3BBA"/>
    <w:rsid w:val="003F3C44"/>
    <w:rsid w:val="003F4172"/>
    <w:rsid w:val="003F4249"/>
    <w:rsid w:val="003F4E3B"/>
    <w:rsid w:val="003F5086"/>
    <w:rsid w:val="003F5108"/>
    <w:rsid w:val="003F5D2C"/>
    <w:rsid w:val="003F64BC"/>
    <w:rsid w:val="003F6CAF"/>
    <w:rsid w:val="003F7679"/>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96"/>
    <w:rsid w:val="00411B37"/>
    <w:rsid w:val="004125ED"/>
    <w:rsid w:val="00412B4D"/>
    <w:rsid w:val="00413B39"/>
    <w:rsid w:val="00413D4D"/>
    <w:rsid w:val="0041450E"/>
    <w:rsid w:val="0041456E"/>
    <w:rsid w:val="00414BE5"/>
    <w:rsid w:val="00415370"/>
    <w:rsid w:val="00415781"/>
    <w:rsid w:val="00416485"/>
    <w:rsid w:val="00416F40"/>
    <w:rsid w:val="00417769"/>
    <w:rsid w:val="00417F0D"/>
    <w:rsid w:val="00421795"/>
    <w:rsid w:val="00421EF2"/>
    <w:rsid w:val="00422668"/>
    <w:rsid w:val="004252CD"/>
    <w:rsid w:val="0042602D"/>
    <w:rsid w:val="00427004"/>
    <w:rsid w:val="0042772E"/>
    <w:rsid w:val="00430CF3"/>
    <w:rsid w:val="00431AC1"/>
    <w:rsid w:val="00431DE1"/>
    <w:rsid w:val="004329C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FA3"/>
    <w:rsid w:val="00446553"/>
    <w:rsid w:val="004466DA"/>
    <w:rsid w:val="00446A92"/>
    <w:rsid w:val="00446CEB"/>
    <w:rsid w:val="00447664"/>
    <w:rsid w:val="004501B4"/>
    <w:rsid w:val="0045082F"/>
    <w:rsid w:val="00450C00"/>
    <w:rsid w:val="0045135E"/>
    <w:rsid w:val="004522E5"/>
    <w:rsid w:val="00452434"/>
    <w:rsid w:val="00452C53"/>
    <w:rsid w:val="004539C7"/>
    <w:rsid w:val="00453F8A"/>
    <w:rsid w:val="00454597"/>
    <w:rsid w:val="004548E6"/>
    <w:rsid w:val="0045543A"/>
    <w:rsid w:val="00455880"/>
    <w:rsid w:val="00455D1D"/>
    <w:rsid w:val="004561F9"/>
    <w:rsid w:val="0045637C"/>
    <w:rsid w:val="004569A3"/>
    <w:rsid w:val="00456A7F"/>
    <w:rsid w:val="004578ED"/>
    <w:rsid w:val="004611B6"/>
    <w:rsid w:val="00461997"/>
    <w:rsid w:val="00463F8B"/>
    <w:rsid w:val="004649AD"/>
    <w:rsid w:val="004650E7"/>
    <w:rsid w:val="0046687B"/>
    <w:rsid w:val="004674FB"/>
    <w:rsid w:val="00470418"/>
    <w:rsid w:val="004704DA"/>
    <w:rsid w:val="004704EA"/>
    <w:rsid w:val="0047056A"/>
    <w:rsid w:val="0047071D"/>
    <w:rsid w:val="00471464"/>
    <w:rsid w:val="004727C4"/>
    <w:rsid w:val="00473579"/>
    <w:rsid w:val="00474E5A"/>
    <w:rsid w:val="004754AE"/>
    <w:rsid w:val="0047558F"/>
    <w:rsid w:val="0047561A"/>
    <w:rsid w:val="00475FD5"/>
    <w:rsid w:val="0047770B"/>
    <w:rsid w:val="00477AFC"/>
    <w:rsid w:val="004812F4"/>
    <w:rsid w:val="0048231B"/>
    <w:rsid w:val="00482BD9"/>
    <w:rsid w:val="004838D4"/>
    <w:rsid w:val="004845AC"/>
    <w:rsid w:val="00484C31"/>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78"/>
    <w:rsid w:val="004B1CAB"/>
    <w:rsid w:val="004B2FF9"/>
    <w:rsid w:val="004B3506"/>
    <w:rsid w:val="004B36ED"/>
    <w:rsid w:val="004B3D73"/>
    <w:rsid w:val="004B40DB"/>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1240"/>
    <w:rsid w:val="004D133B"/>
    <w:rsid w:val="004D49EE"/>
    <w:rsid w:val="004D4AE0"/>
    <w:rsid w:val="004D4C0B"/>
    <w:rsid w:val="004D512D"/>
    <w:rsid w:val="004D6042"/>
    <w:rsid w:val="004D62C0"/>
    <w:rsid w:val="004D69FC"/>
    <w:rsid w:val="004D77BD"/>
    <w:rsid w:val="004D77DE"/>
    <w:rsid w:val="004D7BF4"/>
    <w:rsid w:val="004D7C92"/>
    <w:rsid w:val="004E0D46"/>
    <w:rsid w:val="004E295C"/>
    <w:rsid w:val="004E38B2"/>
    <w:rsid w:val="004E3936"/>
    <w:rsid w:val="004E4277"/>
    <w:rsid w:val="004E490B"/>
    <w:rsid w:val="004E57F7"/>
    <w:rsid w:val="004E5D9C"/>
    <w:rsid w:val="004E6707"/>
    <w:rsid w:val="004E6985"/>
    <w:rsid w:val="004E6B8E"/>
    <w:rsid w:val="004F0543"/>
    <w:rsid w:val="004F126D"/>
    <w:rsid w:val="004F2385"/>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6A30"/>
    <w:rsid w:val="005077C5"/>
    <w:rsid w:val="00507F3A"/>
    <w:rsid w:val="0051168A"/>
    <w:rsid w:val="005117D2"/>
    <w:rsid w:val="005118A6"/>
    <w:rsid w:val="005122F4"/>
    <w:rsid w:val="0051292D"/>
    <w:rsid w:val="005131DC"/>
    <w:rsid w:val="0051405F"/>
    <w:rsid w:val="0051444F"/>
    <w:rsid w:val="005156A6"/>
    <w:rsid w:val="00516393"/>
    <w:rsid w:val="005179A5"/>
    <w:rsid w:val="00520B4F"/>
    <w:rsid w:val="005238D6"/>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6917"/>
    <w:rsid w:val="0053712D"/>
    <w:rsid w:val="00537DA5"/>
    <w:rsid w:val="005403F4"/>
    <w:rsid w:val="00541136"/>
    <w:rsid w:val="00541C39"/>
    <w:rsid w:val="0054216F"/>
    <w:rsid w:val="00542F18"/>
    <w:rsid w:val="00544853"/>
    <w:rsid w:val="00544CA5"/>
    <w:rsid w:val="005450E2"/>
    <w:rsid w:val="00545B19"/>
    <w:rsid w:val="005470DD"/>
    <w:rsid w:val="005476CE"/>
    <w:rsid w:val="0055035F"/>
    <w:rsid w:val="005507FD"/>
    <w:rsid w:val="005511C0"/>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1923"/>
    <w:rsid w:val="005622F8"/>
    <w:rsid w:val="0056310A"/>
    <w:rsid w:val="00563236"/>
    <w:rsid w:val="0056336F"/>
    <w:rsid w:val="005636C6"/>
    <w:rsid w:val="00565366"/>
    <w:rsid w:val="00565AF7"/>
    <w:rsid w:val="00570C34"/>
    <w:rsid w:val="00571020"/>
    <w:rsid w:val="0057189C"/>
    <w:rsid w:val="00571BD2"/>
    <w:rsid w:val="00571CD7"/>
    <w:rsid w:val="00571D59"/>
    <w:rsid w:val="00572CCE"/>
    <w:rsid w:val="00572E3E"/>
    <w:rsid w:val="005732E0"/>
    <w:rsid w:val="005738F7"/>
    <w:rsid w:val="0057420B"/>
    <w:rsid w:val="005756C1"/>
    <w:rsid w:val="0057593B"/>
    <w:rsid w:val="0057799B"/>
    <w:rsid w:val="00580280"/>
    <w:rsid w:val="00580B9E"/>
    <w:rsid w:val="0058135A"/>
    <w:rsid w:val="00583358"/>
    <w:rsid w:val="005839BF"/>
    <w:rsid w:val="00584058"/>
    <w:rsid w:val="005844A5"/>
    <w:rsid w:val="005846B4"/>
    <w:rsid w:val="005850E5"/>
    <w:rsid w:val="005851E0"/>
    <w:rsid w:val="00585571"/>
    <w:rsid w:val="005856F9"/>
    <w:rsid w:val="00585B91"/>
    <w:rsid w:val="00586BF1"/>
    <w:rsid w:val="00587DC4"/>
    <w:rsid w:val="005903E4"/>
    <w:rsid w:val="005907D5"/>
    <w:rsid w:val="005913EE"/>
    <w:rsid w:val="00592461"/>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1482"/>
    <w:rsid w:val="005B152C"/>
    <w:rsid w:val="005B1C64"/>
    <w:rsid w:val="005B1DE8"/>
    <w:rsid w:val="005B2590"/>
    <w:rsid w:val="005B25BC"/>
    <w:rsid w:val="005B2807"/>
    <w:rsid w:val="005B3606"/>
    <w:rsid w:val="005B3BFF"/>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B55"/>
    <w:rsid w:val="005D160D"/>
    <w:rsid w:val="005D356C"/>
    <w:rsid w:val="005D4A04"/>
    <w:rsid w:val="005D4CF7"/>
    <w:rsid w:val="005D5347"/>
    <w:rsid w:val="005D5CC5"/>
    <w:rsid w:val="005D5FE6"/>
    <w:rsid w:val="005D61EA"/>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5573"/>
    <w:rsid w:val="005F5D1D"/>
    <w:rsid w:val="005F60C9"/>
    <w:rsid w:val="005F64C6"/>
    <w:rsid w:val="005F6F05"/>
    <w:rsid w:val="006008F1"/>
    <w:rsid w:val="00601714"/>
    <w:rsid w:val="00601735"/>
    <w:rsid w:val="00602BD2"/>
    <w:rsid w:val="00604980"/>
    <w:rsid w:val="00605BDB"/>
    <w:rsid w:val="0060614D"/>
    <w:rsid w:val="0061005A"/>
    <w:rsid w:val="006101C5"/>
    <w:rsid w:val="00610871"/>
    <w:rsid w:val="00610E48"/>
    <w:rsid w:val="0061160D"/>
    <w:rsid w:val="0061286C"/>
    <w:rsid w:val="00612E83"/>
    <w:rsid w:val="00613C47"/>
    <w:rsid w:val="00615086"/>
    <w:rsid w:val="00615B0A"/>
    <w:rsid w:val="00616201"/>
    <w:rsid w:val="00616225"/>
    <w:rsid w:val="00616917"/>
    <w:rsid w:val="0061705E"/>
    <w:rsid w:val="00617A8B"/>
    <w:rsid w:val="00621904"/>
    <w:rsid w:val="00622248"/>
    <w:rsid w:val="00622FEA"/>
    <w:rsid w:val="00623CDF"/>
    <w:rsid w:val="00623DB1"/>
    <w:rsid w:val="006245F3"/>
    <w:rsid w:val="00624DBE"/>
    <w:rsid w:val="00625450"/>
    <w:rsid w:val="0062624F"/>
    <w:rsid w:val="006319C1"/>
    <w:rsid w:val="006319CA"/>
    <w:rsid w:val="00632D91"/>
    <w:rsid w:val="00633B3E"/>
    <w:rsid w:val="00634B64"/>
    <w:rsid w:val="00634EC0"/>
    <w:rsid w:val="006351C3"/>
    <w:rsid w:val="0063627F"/>
    <w:rsid w:val="0063642A"/>
    <w:rsid w:val="006376C4"/>
    <w:rsid w:val="006403E7"/>
    <w:rsid w:val="00642D72"/>
    <w:rsid w:val="006443CB"/>
    <w:rsid w:val="006448B8"/>
    <w:rsid w:val="00644F80"/>
    <w:rsid w:val="00645874"/>
    <w:rsid w:val="006458E5"/>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2DFC"/>
    <w:rsid w:val="00672F5B"/>
    <w:rsid w:val="00673BD7"/>
    <w:rsid w:val="00673DEE"/>
    <w:rsid w:val="00674E69"/>
    <w:rsid w:val="00675A33"/>
    <w:rsid w:val="0067602A"/>
    <w:rsid w:val="006763ED"/>
    <w:rsid w:val="00676433"/>
    <w:rsid w:val="006767FD"/>
    <w:rsid w:val="0067720F"/>
    <w:rsid w:val="0067738E"/>
    <w:rsid w:val="00677F23"/>
    <w:rsid w:val="00680936"/>
    <w:rsid w:val="00680BBE"/>
    <w:rsid w:val="00680D8C"/>
    <w:rsid w:val="00680D99"/>
    <w:rsid w:val="006821B2"/>
    <w:rsid w:val="00682725"/>
    <w:rsid w:val="00682A1B"/>
    <w:rsid w:val="00682D73"/>
    <w:rsid w:val="00682ED3"/>
    <w:rsid w:val="006846E8"/>
    <w:rsid w:val="0068541E"/>
    <w:rsid w:val="00685E9D"/>
    <w:rsid w:val="00685EBD"/>
    <w:rsid w:val="0068605C"/>
    <w:rsid w:val="006861C3"/>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A01FB"/>
    <w:rsid w:val="006A07DF"/>
    <w:rsid w:val="006A1093"/>
    <w:rsid w:val="006A1D3D"/>
    <w:rsid w:val="006A2150"/>
    <w:rsid w:val="006A2216"/>
    <w:rsid w:val="006A241D"/>
    <w:rsid w:val="006A3288"/>
    <w:rsid w:val="006A3294"/>
    <w:rsid w:val="006A43E6"/>
    <w:rsid w:val="006A4AEE"/>
    <w:rsid w:val="006A526F"/>
    <w:rsid w:val="006A70BE"/>
    <w:rsid w:val="006A7934"/>
    <w:rsid w:val="006B0001"/>
    <w:rsid w:val="006B04AF"/>
    <w:rsid w:val="006B059F"/>
    <w:rsid w:val="006B0A56"/>
    <w:rsid w:val="006B2048"/>
    <w:rsid w:val="006B20A6"/>
    <w:rsid w:val="006B32D5"/>
    <w:rsid w:val="006B342E"/>
    <w:rsid w:val="006B3812"/>
    <w:rsid w:val="006B3B80"/>
    <w:rsid w:val="006B4611"/>
    <w:rsid w:val="006B6870"/>
    <w:rsid w:val="006B6F32"/>
    <w:rsid w:val="006B7130"/>
    <w:rsid w:val="006B73CC"/>
    <w:rsid w:val="006B7695"/>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B97"/>
    <w:rsid w:val="006F1DE7"/>
    <w:rsid w:val="006F1EA3"/>
    <w:rsid w:val="006F2627"/>
    <w:rsid w:val="006F2BF8"/>
    <w:rsid w:val="006F3568"/>
    <w:rsid w:val="006F40AD"/>
    <w:rsid w:val="006F4A5F"/>
    <w:rsid w:val="006F4D7B"/>
    <w:rsid w:val="006F6360"/>
    <w:rsid w:val="006F6436"/>
    <w:rsid w:val="006F65C5"/>
    <w:rsid w:val="006F687A"/>
    <w:rsid w:val="006F68EF"/>
    <w:rsid w:val="006F6D38"/>
    <w:rsid w:val="006F6D4C"/>
    <w:rsid w:val="006F6E67"/>
    <w:rsid w:val="006F7157"/>
    <w:rsid w:val="006F78E0"/>
    <w:rsid w:val="00702B1B"/>
    <w:rsid w:val="00702ED6"/>
    <w:rsid w:val="007032B3"/>
    <w:rsid w:val="00703E86"/>
    <w:rsid w:val="00704164"/>
    <w:rsid w:val="007044BF"/>
    <w:rsid w:val="00706A58"/>
    <w:rsid w:val="00707517"/>
    <w:rsid w:val="007078ED"/>
    <w:rsid w:val="00710187"/>
    <w:rsid w:val="007110E1"/>
    <w:rsid w:val="00711B18"/>
    <w:rsid w:val="00714394"/>
    <w:rsid w:val="00714ED6"/>
    <w:rsid w:val="007151B7"/>
    <w:rsid w:val="00715E8D"/>
    <w:rsid w:val="00716D8A"/>
    <w:rsid w:val="00717854"/>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312BF"/>
    <w:rsid w:val="00734510"/>
    <w:rsid w:val="00734887"/>
    <w:rsid w:val="007365B6"/>
    <w:rsid w:val="007373C8"/>
    <w:rsid w:val="007401E2"/>
    <w:rsid w:val="00740205"/>
    <w:rsid w:val="00740D67"/>
    <w:rsid w:val="007411E5"/>
    <w:rsid w:val="00741605"/>
    <w:rsid w:val="00742AD3"/>
    <w:rsid w:val="00742F72"/>
    <w:rsid w:val="007436F2"/>
    <w:rsid w:val="0074436D"/>
    <w:rsid w:val="007446DA"/>
    <w:rsid w:val="007462C2"/>
    <w:rsid w:val="00746772"/>
    <w:rsid w:val="00746951"/>
    <w:rsid w:val="00746F65"/>
    <w:rsid w:val="007472C3"/>
    <w:rsid w:val="0074791E"/>
    <w:rsid w:val="0075028E"/>
    <w:rsid w:val="00750948"/>
    <w:rsid w:val="0075115D"/>
    <w:rsid w:val="00751A33"/>
    <w:rsid w:val="00751F77"/>
    <w:rsid w:val="00753890"/>
    <w:rsid w:val="007555DF"/>
    <w:rsid w:val="007569DC"/>
    <w:rsid w:val="0075711E"/>
    <w:rsid w:val="007579F2"/>
    <w:rsid w:val="007602CB"/>
    <w:rsid w:val="00761434"/>
    <w:rsid w:val="00761FD5"/>
    <w:rsid w:val="007620C9"/>
    <w:rsid w:val="00762BB6"/>
    <w:rsid w:val="007632A0"/>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79A"/>
    <w:rsid w:val="007871FE"/>
    <w:rsid w:val="007902AD"/>
    <w:rsid w:val="00790606"/>
    <w:rsid w:val="007908ED"/>
    <w:rsid w:val="00790F74"/>
    <w:rsid w:val="007912E8"/>
    <w:rsid w:val="00792288"/>
    <w:rsid w:val="00792447"/>
    <w:rsid w:val="007928C6"/>
    <w:rsid w:val="007929C0"/>
    <w:rsid w:val="00794F7C"/>
    <w:rsid w:val="007951F4"/>
    <w:rsid w:val="0079694C"/>
    <w:rsid w:val="00797AF9"/>
    <w:rsid w:val="00797FBD"/>
    <w:rsid w:val="007A0187"/>
    <w:rsid w:val="007A04E8"/>
    <w:rsid w:val="007A19AC"/>
    <w:rsid w:val="007A2640"/>
    <w:rsid w:val="007A268F"/>
    <w:rsid w:val="007A4A53"/>
    <w:rsid w:val="007A4C72"/>
    <w:rsid w:val="007A4C93"/>
    <w:rsid w:val="007A4E17"/>
    <w:rsid w:val="007A5AC6"/>
    <w:rsid w:val="007A6A01"/>
    <w:rsid w:val="007A7D0A"/>
    <w:rsid w:val="007A7F6D"/>
    <w:rsid w:val="007B0799"/>
    <w:rsid w:val="007B0FBD"/>
    <w:rsid w:val="007B1BAF"/>
    <w:rsid w:val="007B2393"/>
    <w:rsid w:val="007B2FE8"/>
    <w:rsid w:val="007B30DB"/>
    <w:rsid w:val="007B35F7"/>
    <w:rsid w:val="007B4DD5"/>
    <w:rsid w:val="007B4F72"/>
    <w:rsid w:val="007B5148"/>
    <w:rsid w:val="007B5A16"/>
    <w:rsid w:val="007B660D"/>
    <w:rsid w:val="007B7219"/>
    <w:rsid w:val="007C0073"/>
    <w:rsid w:val="007C03FE"/>
    <w:rsid w:val="007C0E04"/>
    <w:rsid w:val="007C17D3"/>
    <w:rsid w:val="007C1E98"/>
    <w:rsid w:val="007C1FA2"/>
    <w:rsid w:val="007C2827"/>
    <w:rsid w:val="007C3A26"/>
    <w:rsid w:val="007C4032"/>
    <w:rsid w:val="007C4CE1"/>
    <w:rsid w:val="007C537A"/>
    <w:rsid w:val="007C57D1"/>
    <w:rsid w:val="007C6B3E"/>
    <w:rsid w:val="007C6F13"/>
    <w:rsid w:val="007C7130"/>
    <w:rsid w:val="007C74E5"/>
    <w:rsid w:val="007C7DAB"/>
    <w:rsid w:val="007C7F57"/>
    <w:rsid w:val="007D0348"/>
    <w:rsid w:val="007D0E43"/>
    <w:rsid w:val="007D13E7"/>
    <w:rsid w:val="007D153B"/>
    <w:rsid w:val="007D1E37"/>
    <w:rsid w:val="007D2256"/>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D90"/>
    <w:rsid w:val="007F3D9B"/>
    <w:rsid w:val="007F3F6F"/>
    <w:rsid w:val="007F48A9"/>
    <w:rsid w:val="007F4A1F"/>
    <w:rsid w:val="007F4E28"/>
    <w:rsid w:val="007F4E6E"/>
    <w:rsid w:val="007F4F82"/>
    <w:rsid w:val="007F6D96"/>
    <w:rsid w:val="007F7CFA"/>
    <w:rsid w:val="00801D7A"/>
    <w:rsid w:val="008020F2"/>
    <w:rsid w:val="00802462"/>
    <w:rsid w:val="008036FC"/>
    <w:rsid w:val="00803F74"/>
    <w:rsid w:val="00804653"/>
    <w:rsid w:val="00804C48"/>
    <w:rsid w:val="0080505A"/>
    <w:rsid w:val="00805478"/>
    <w:rsid w:val="00806639"/>
    <w:rsid w:val="00806A84"/>
    <w:rsid w:val="008073A4"/>
    <w:rsid w:val="00807C6C"/>
    <w:rsid w:val="00807C7A"/>
    <w:rsid w:val="008115ED"/>
    <w:rsid w:val="00811A42"/>
    <w:rsid w:val="0081254B"/>
    <w:rsid w:val="008132BB"/>
    <w:rsid w:val="0081340B"/>
    <w:rsid w:val="00813788"/>
    <w:rsid w:val="00813F40"/>
    <w:rsid w:val="00814FED"/>
    <w:rsid w:val="00815822"/>
    <w:rsid w:val="00815B93"/>
    <w:rsid w:val="00815BA2"/>
    <w:rsid w:val="00816585"/>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6F4C"/>
    <w:rsid w:val="00831573"/>
    <w:rsid w:val="00833C51"/>
    <w:rsid w:val="008349A6"/>
    <w:rsid w:val="00835271"/>
    <w:rsid w:val="00835679"/>
    <w:rsid w:val="008360DF"/>
    <w:rsid w:val="0083731C"/>
    <w:rsid w:val="008377DA"/>
    <w:rsid w:val="00837BD7"/>
    <w:rsid w:val="00840591"/>
    <w:rsid w:val="00841F21"/>
    <w:rsid w:val="00842991"/>
    <w:rsid w:val="008429B0"/>
    <w:rsid w:val="00843900"/>
    <w:rsid w:val="00844C5B"/>
    <w:rsid w:val="0084581F"/>
    <w:rsid w:val="00845898"/>
    <w:rsid w:val="00845A15"/>
    <w:rsid w:val="0084632F"/>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1C1"/>
    <w:rsid w:val="00876C1B"/>
    <w:rsid w:val="00876E70"/>
    <w:rsid w:val="008804E1"/>
    <w:rsid w:val="00880E30"/>
    <w:rsid w:val="008815B6"/>
    <w:rsid w:val="008818F6"/>
    <w:rsid w:val="00881D45"/>
    <w:rsid w:val="008829F8"/>
    <w:rsid w:val="0088398E"/>
    <w:rsid w:val="00885182"/>
    <w:rsid w:val="0088647E"/>
    <w:rsid w:val="00887E02"/>
    <w:rsid w:val="00890382"/>
    <w:rsid w:val="0089046A"/>
    <w:rsid w:val="00891106"/>
    <w:rsid w:val="00892833"/>
    <w:rsid w:val="00893479"/>
    <w:rsid w:val="0089375D"/>
    <w:rsid w:val="008943CB"/>
    <w:rsid w:val="008946B9"/>
    <w:rsid w:val="008960A2"/>
    <w:rsid w:val="008979BC"/>
    <w:rsid w:val="008A056E"/>
    <w:rsid w:val="008A0882"/>
    <w:rsid w:val="008A10C1"/>
    <w:rsid w:val="008A181A"/>
    <w:rsid w:val="008A1C47"/>
    <w:rsid w:val="008A2289"/>
    <w:rsid w:val="008A3766"/>
    <w:rsid w:val="008A4F66"/>
    <w:rsid w:val="008A5290"/>
    <w:rsid w:val="008A593A"/>
    <w:rsid w:val="008A6A60"/>
    <w:rsid w:val="008A6C5A"/>
    <w:rsid w:val="008A6CCA"/>
    <w:rsid w:val="008B1B85"/>
    <w:rsid w:val="008B1B8C"/>
    <w:rsid w:val="008B25B1"/>
    <w:rsid w:val="008B2C59"/>
    <w:rsid w:val="008B2DF3"/>
    <w:rsid w:val="008B353B"/>
    <w:rsid w:val="008B376A"/>
    <w:rsid w:val="008B444E"/>
    <w:rsid w:val="008B569F"/>
    <w:rsid w:val="008B7220"/>
    <w:rsid w:val="008C0669"/>
    <w:rsid w:val="008C08A5"/>
    <w:rsid w:val="008C1DD7"/>
    <w:rsid w:val="008C26FA"/>
    <w:rsid w:val="008C36BB"/>
    <w:rsid w:val="008C4566"/>
    <w:rsid w:val="008C46B6"/>
    <w:rsid w:val="008C46C3"/>
    <w:rsid w:val="008C522A"/>
    <w:rsid w:val="008C5E71"/>
    <w:rsid w:val="008C64E3"/>
    <w:rsid w:val="008C6A8B"/>
    <w:rsid w:val="008C77F7"/>
    <w:rsid w:val="008C799C"/>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2A60"/>
    <w:rsid w:val="008F310D"/>
    <w:rsid w:val="008F3888"/>
    <w:rsid w:val="008F3A90"/>
    <w:rsid w:val="008F3B22"/>
    <w:rsid w:val="008F43C7"/>
    <w:rsid w:val="008F4823"/>
    <w:rsid w:val="008F551B"/>
    <w:rsid w:val="008F606D"/>
    <w:rsid w:val="008F6597"/>
    <w:rsid w:val="008F7150"/>
    <w:rsid w:val="008F71CC"/>
    <w:rsid w:val="008F721C"/>
    <w:rsid w:val="008F757D"/>
    <w:rsid w:val="00900662"/>
    <w:rsid w:val="00901953"/>
    <w:rsid w:val="00901DF8"/>
    <w:rsid w:val="00902166"/>
    <w:rsid w:val="00902A0C"/>
    <w:rsid w:val="009040A1"/>
    <w:rsid w:val="009043AA"/>
    <w:rsid w:val="0090473B"/>
    <w:rsid w:val="0090487F"/>
    <w:rsid w:val="00905282"/>
    <w:rsid w:val="00905908"/>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33CE"/>
    <w:rsid w:val="00923C3F"/>
    <w:rsid w:val="00924853"/>
    <w:rsid w:val="009252E0"/>
    <w:rsid w:val="00925501"/>
    <w:rsid w:val="00926982"/>
    <w:rsid w:val="00926B5A"/>
    <w:rsid w:val="00926D4C"/>
    <w:rsid w:val="009270C4"/>
    <w:rsid w:val="00931743"/>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4BF0"/>
    <w:rsid w:val="00946136"/>
    <w:rsid w:val="00946CD9"/>
    <w:rsid w:val="00947046"/>
    <w:rsid w:val="00947A00"/>
    <w:rsid w:val="009505F4"/>
    <w:rsid w:val="00951216"/>
    <w:rsid w:val="0095279B"/>
    <w:rsid w:val="0095316C"/>
    <w:rsid w:val="00954282"/>
    <w:rsid w:val="00954427"/>
    <w:rsid w:val="009545B9"/>
    <w:rsid w:val="009564ED"/>
    <w:rsid w:val="00956CA2"/>
    <w:rsid w:val="00960385"/>
    <w:rsid w:val="0096079B"/>
    <w:rsid w:val="00960CA9"/>
    <w:rsid w:val="0096218D"/>
    <w:rsid w:val="00964509"/>
    <w:rsid w:val="00964525"/>
    <w:rsid w:val="0096501B"/>
    <w:rsid w:val="0096662B"/>
    <w:rsid w:val="009666AF"/>
    <w:rsid w:val="00967180"/>
    <w:rsid w:val="0096797D"/>
    <w:rsid w:val="00967B7F"/>
    <w:rsid w:val="00970704"/>
    <w:rsid w:val="00970B65"/>
    <w:rsid w:val="00971127"/>
    <w:rsid w:val="0097119E"/>
    <w:rsid w:val="00971EB0"/>
    <w:rsid w:val="0097272C"/>
    <w:rsid w:val="009734B8"/>
    <w:rsid w:val="00973514"/>
    <w:rsid w:val="009741E7"/>
    <w:rsid w:val="00975C75"/>
    <w:rsid w:val="00977506"/>
    <w:rsid w:val="00980CFF"/>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B5F"/>
    <w:rsid w:val="00995768"/>
    <w:rsid w:val="00996326"/>
    <w:rsid w:val="00996B7D"/>
    <w:rsid w:val="00996F95"/>
    <w:rsid w:val="00997745"/>
    <w:rsid w:val="00997EA5"/>
    <w:rsid w:val="009A07D5"/>
    <w:rsid w:val="009A1303"/>
    <w:rsid w:val="009A1BC9"/>
    <w:rsid w:val="009A1FE7"/>
    <w:rsid w:val="009A2967"/>
    <w:rsid w:val="009A36B7"/>
    <w:rsid w:val="009A3720"/>
    <w:rsid w:val="009A42CF"/>
    <w:rsid w:val="009A44E8"/>
    <w:rsid w:val="009A4A49"/>
    <w:rsid w:val="009A581E"/>
    <w:rsid w:val="009A679E"/>
    <w:rsid w:val="009B0460"/>
    <w:rsid w:val="009B13AF"/>
    <w:rsid w:val="009B1DA5"/>
    <w:rsid w:val="009B1E1D"/>
    <w:rsid w:val="009B2602"/>
    <w:rsid w:val="009B28FD"/>
    <w:rsid w:val="009B2AD6"/>
    <w:rsid w:val="009B3172"/>
    <w:rsid w:val="009B4575"/>
    <w:rsid w:val="009B461D"/>
    <w:rsid w:val="009B5594"/>
    <w:rsid w:val="009B59ED"/>
    <w:rsid w:val="009B6EE8"/>
    <w:rsid w:val="009B729E"/>
    <w:rsid w:val="009B7498"/>
    <w:rsid w:val="009C264B"/>
    <w:rsid w:val="009C34F1"/>
    <w:rsid w:val="009C381A"/>
    <w:rsid w:val="009C3B80"/>
    <w:rsid w:val="009C3D84"/>
    <w:rsid w:val="009C48C6"/>
    <w:rsid w:val="009C5D76"/>
    <w:rsid w:val="009C5DFB"/>
    <w:rsid w:val="009C5FDE"/>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D71C8"/>
    <w:rsid w:val="009D7EFC"/>
    <w:rsid w:val="009E04BB"/>
    <w:rsid w:val="009E0525"/>
    <w:rsid w:val="009E05A9"/>
    <w:rsid w:val="009E1370"/>
    <w:rsid w:val="009E20A6"/>
    <w:rsid w:val="009E233F"/>
    <w:rsid w:val="009E2F30"/>
    <w:rsid w:val="009E323A"/>
    <w:rsid w:val="009E328B"/>
    <w:rsid w:val="009E4130"/>
    <w:rsid w:val="009E6122"/>
    <w:rsid w:val="009E6DD0"/>
    <w:rsid w:val="009E6DEE"/>
    <w:rsid w:val="009E6E87"/>
    <w:rsid w:val="009E700C"/>
    <w:rsid w:val="009E7F79"/>
    <w:rsid w:val="009F082A"/>
    <w:rsid w:val="009F0BD9"/>
    <w:rsid w:val="009F12B4"/>
    <w:rsid w:val="009F33FA"/>
    <w:rsid w:val="009F347C"/>
    <w:rsid w:val="009F4D19"/>
    <w:rsid w:val="009F54D7"/>
    <w:rsid w:val="009F6619"/>
    <w:rsid w:val="009F68FF"/>
    <w:rsid w:val="009F6FEE"/>
    <w:rsid w:val="009F768E"/>
    <w:rsid w:val="009F7F88"/>
    <w:rsid w:val="00A00E77"/>
    <w:rsid w:val="00A01A4C"/>
    <w:rsid w:val="00A01C1F"/>
    <w:rsid w:val="00A01C98"/>
    <w:rsid w:val="00A04B6F"/>
    <w:rsid w:val="00A054CB"/>
    <w:rsid w:val="00A05E8F"/>
    <w:rsid w:val="00A0690B"/>
    <w:rsid w:val="00A06A54"/>
    <w:rsid w:val="00A0787D"/>
    <w:rsid w:val="00A10025"/>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E5D"/>
    <w:rsid w:val="00A276A6"/>
    <w:rsid w:val="00A276FF"/>
    <w:rsid w:val="00A30C82"/>
    <w:rsid w:val="00A31A01"/>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757"/>
    <w:rsid w:val="00A639E0"/>
    <w:rsid w:val="00A63D89"/>
    <w:rsid w:val="00A64393"/>
    <w:rsid w:val="00A6526E"/>
    <w:rsid w:val="00A65DA4"/>
    <w:rsid w:val="00A66E04"/>
    <w:rsid w:val="00A67194"/>
    <w:rsid w:val="00A671B3"/>
    <w:rsid w:val="00A676F1"/>
    <w:rsid w:val="00A67968"/>
    <w:rsid w:val="00A7040E"/>
    <w:rsid w:val="00A70D5A"/>
    <w:rsid w:val="00A734F2"/>
    <w:rsid w:val="00A73DEE"/>
    <w:rsid w:val="00A74678"/>
    <w:rsid w:val="00A75AEA"/>
    <w:rsid w:val="00A75EA3"/>
    <w:rsid w:val="00A76063"/>
    <w:rsid w:val="00A767EB"/>
    <w:rsid w:val="00A771BF"/>
    <w:rsid w:val="00A77299"/>
    <w:rsid w:val="00A803C1"/>
    <w:rsid w:val="00A805F1"/>
    <w:rsid w:val="00A815B6"/>
    <w:rsid w:val="00A81953"/>
    <w:rsid w:val="00A827C9"/>
    <w:rsid w:val="00A83BF3"/>
    <w:rsid w:val="00A85B31"/>
    <w:rsid w:val="00A860FD"/>
    <w:rsid w:val="00A861F3"/>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A16"/>
    <w:rsid w:val="00A97B61"/>
    <w:rsid w:val="00A97C2E"/>
    <w:rsid w:val="00A97CE3"/>
    <w:rsid w:val="00A97E0C"/>
    <w:rsid w:val="00AA01DA"/>
    <w:rsid w:val="00AA11BA"/>
    <w:rsid w:val="00AA182B"/>
    <w:rsid w:val="00AA2394"/>
    <w:rsid w:val="00AA2D62"/>
    <w:rsid w:val="00AA2E2C"/>
    <w:rsid w:val="00AA2E90"/>
    <w:rsid w:val="00AA3077"/>
    <w:rsid w:val="00AA375B"/>
    <w:rsid w:val="00AA38AF"/>
    <w:rsid w:val="00AA41DE"/>
    <w:rsid w:val="00AA450C"/>
    <w:rsid w:val="00AA4B62"/>
    <w:rsid w:val="00AA571A"/>
    <w:rsid w:val="00AA5EB3"/>
    <w:rsid w:val="00AA5F1A"/>
    <w:rsid w:val="00AA6916"/>
    <w:rsid w:val="00AB022F"/>
    <w:rsid w:val="00AB110E"/>
    <w:rsid w:val="00AB11CF"/>
    <w:rsid w:val="00AB1287"/>
    <w:rsid w:val="00AB1CE8"/>
    <w:rsid w:val="00AB2470"/>
    <w:rsid w:val="00AB3FCD"/>
    <w:rsid w:val="00AB4506"/>
    <w:rsid w:val="00AB5190"/>
    <w:rsid w:val="00AB5513"/>
    <w:rsid w:val="00AB6DFC"/>
    <w:rsid w:val="00AB6E0F"/>
    <w:rsid w:val="00AB7354"/>
    <w:rsid w:val="00AB75DD"/>
    <w:rsid w:val="00AB7C46"/>
    <w:rsid w:val="00AC071C"/>
    <w:rsid w:val="00AC2076"/>
    <w:rsid w:val="00AC3637"/>
    <w:rsid w:val="00AC3D4F"/>
    <w:rsid w:val="00AC3DB7"/>
    <w:rsid w:val="00AC4699"/>
    <w:rsid w:val="00AC57CD"/>
    <w:rsid w:val="00AC59DF"/>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330"/>
    <w:rsid w:val="00AE27D6"/>
    <w:rsid w:val="00AE55BC"/>
    <w:rsid w:val="00AE5A99"/>
    <w:rsid w:val="00AE62E7"/>
    <w:rsid w:val="00AE686D"/>
    <w:rsid w:val="00AE6B27"/>
    <w:rsid w:val="00AE77AC"/>
    <w:rsid w:val="00AF0DC0"/>
    <w:rsid w:val="00AF0F96"/>
    <w:rsid w:val="00AF17E4"/>
    <w:rsid w:val="00AF21D7"/>
    <w:rsid w:val="00AF282C"/>
    <w:rsid w:val="00AF28EB"/>
    <w:rsid w:val="00AF31BA"/>
    <w:rsid w:val="00AF36B6"/>
    <w:rsid w:val="00AF4803"/>
    <w:rsid w:val="00AF4D10"/>
    <w:rsid w:val="00AF58CB"/>
    <w:rsid w:val="00AF7217"/>
    <w:rsid w:val="00AF726F"/>
    <w:rsid w:val="00AF783F"/>
    <w:rsid w:val="00B00208"/>
    <w:rsid w:val="00B00506"/>
    <w:rsid w:val="00B00673"/>
    <w:rsid w:val="00B00ED5"/>
    <w:rsid w:val="00B02315"/>
    <w:rsid w:val="00B02BF0"/>
    <w:rsid w:val="00B034DD"/>
    <w:rsid w:val="00B03AB4"/>
    <w:rsid w:val="00B04C3C"/>
    <w:rsid w:val="00B05B91"/>
    <w:rsid w:val="00B06ED4"/>
    <w:rsid w:val="00B077CC"/>
    <w:rsid w:val="00B07A28"/>
    <w:rsid w:val="00B1123F"/>
    <w:rsid w:val="00B13397"/>
    <w:rsid w:val="00B1400D"/>
    <w:rsid w:val="00B144AA"/>
    <w:rsid w:val="00B147C9"/>
    <w:rsid w:val="00B15BB2"/>
    <w:rsid w:val="00B1666B"/>
    <w:rsid w:val="00B16EBE"/>
    <w:rsid w:val="00B20655"/>
    <w:rsid w:val="00B21443"/>
    <w:rsid w:val="00B21D0E"/>
    <w:rsid w:val="00B22C57"/>
    <w:rsid w:val="00B23C76"/>
    <w:rsid w:val="00B23EEE"/>
    <w:rsid w:val="00B25E1E"/>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6B6"/>
    <w:rsid w:val="00B42C20"/>
    <w:rsid w:val="00B43AD9"/>
    <w:rsid w:val="00B443D5"/>
    <w:rsid w:val="00B44482"/>
    <w:rsid w:val="00B45012"/>
    <w:rsid w:val="00B450D9"/>
    <w:rsid w:val="00B45D36"/>
    <w:rsid w:val="00B46A93"/>
    <w:rsid w:val="00B46FF2"/>
    <w:rsid w:val="00B539EB"/>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173"/>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3D1E"/>
    <w:rsid w:val="00B74530"/>
    <w:rsid w:val="00B74E4D"/>
    <w:rsid w:val="00B75D3F"/>
    <w:rsid w:val="00B75D4C"/>
    <w:rsid w:val="00B76F2C"/>
    <w:rsid w:val="00B774EE"/>
    <w:rsid w:val="00B77723"/>
    <w:rsid w:val="00B77863"/>
    <w:rsid w:val="00B80008"/>
    <w:rsid w:val="00B801AC"/>
    <w:rsid w:val="00B809E2"/>
    <w:rsid w:val="00B815D3"/>
    <w:rsid w:val="00B8270D"/>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BE5"/>
    <w:rsid w:val="00B9556B"/>
    <w:rsid w:val="00B96069"/>
    <w:rsid w:val="00B968F3"/>
    <w:rsid w:val="00BA0A76"/>
    <w:rsid w:val="00BA11A9"/>
    <w:rsid w:val="00BA30C2"/>
    <w:rsid w:val="00BA31C6"/>
    <w:rsid w:val="00BA4B0A"/>
    <w:rsid w:val="00BA4BBB"/>
    <w:rsid w:val="00BA699B"/>
    <w:rsid w:val="00BA76AB"/>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6FE"/>
    <w:rsid w:val="00BC1221"/>
    <w:rsid w:val="00BC1765"/>
    <w:rsid w:val="00BC1FD6"/>
    <w:rsid w:val="00BC25D7"/>
    <w:rsid w:val="00BC320C"/>
    <w:rsid w:val="00BC43C2"/>
    <w:rsid w:val="00BC464D"/>
    <w:rsid w:val="00BC4883"/>
    <w:rsid w:val="00BC5454"/>
    <w:rsid w:val="00BC5F7F"/>
    <w:rsid w:val="00BC72BA"/>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2A00"/>
    <w:rsid w:val="00BE369C"/>
    <w:rsid w:val="00BE4FBC"/>
    <w:rsid w:val="00BE5338"/>
    <w:rsid w:val="00BE5A5B"/>
    <w:rsid w:val="00BE5B7C"/>
    <w:rsid w:val="00BE61C4"/>
    <w:rsid w:val="00BE72FD"/>
    <w:rsid w:val="00BE733C"/>
    <w:rsid w:val="00BE73D4"/>
    <w:rsid w:val="00BE791F"/>
    <w:rsid w:val="00BE7AF2"/>
    <w:rsid w:val="00BF1EF8"/>
    <w:rsid w:val="00BF25A9"/>
    <w:rsid w:val="00BF2DE5"/>
    <w:rsid w:val="00BF39B7"/>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439"/>
    <w:rsid w:val="00C2092E"/>
    <w:rsid w:val="00C20F37"/>
    <w:rsid w:val="00C211AE"/>
    <w:rsid w:val="00C213FD"/>
    <w:rsid w:val="00C21C42"/>
    <w:rsid w:val="00C23520"/>
    <w:rsid w:val="00C23FE1"/>
    <w:rsid w:val="00C24AE3"/>
    <w:rsid w:val="00C25082"/>
    <w:rsid w:val="00C2570A"/>
    <w:rsid w:val="00C25B91"/>
    <w:rsid w:val="00C265D4"/>
    <w:rsid w:val="00C26DC6"/>
    <w:rsid w:val="00C27447"/>
    <w:rsid w:val="00C275FC"/>
    <w:rsid w:val="00C2772B"/>
    <w:rsid w:val="00C30615"/>
    <w:rsid w:val="00C30715"/>
    <w:rsid w:val="00C30D84"/>
    <w:rsid w:val="00C3131B"/>
    <w:rsid w:val="00C317A7"/>
    <w:rsid w:val="00C33383"/>
    <w:rsid w:val="00C33614"/>
    <w:rsid w:val="00C33AEC"/>
    <w:rsid w:val="00C35493"/>
    <w:rsid w:val="00C35C8E"/>
    <w:rsid w:val="00C361E9"/>
    <w:rsid w:val="00C3671E"/>
    <w:rsid w:val="00C36B1D"/>
    <w:rsid w:val="00C3742C"/>
    <w:rsid w:val="00C410D2"/>
    <w:rsid w:val="00C41363"/>
    <w:rsid w:val="00C42209"/>
    <w:rsid w:val="00C429D5"/>
    <w:rsid w:val="00C42A78"/>
    <w:rsid w:val="00C42DC9"/>
    <w:rsid w:val="00C437D6"/>
    <w:rsid w:val="00C45897"/>
    <w:rsid w:val="00C4601D"/>
    <w:rsid w:val="00C470F6"/>
    <w:rsid w:val="00C47B1C"/>
    <w:rsid w:val="00C504EF"/>
    <w:rsid w:val="00C509D2"/>
    <w:rsid w:val="00C51CCA"/>
    <w:rsid w:val="00C53131"/>
    <w:rsid w:val="00C54473"/>
    <w:rsid w:val="00C55945"/>
    <w:rsid w:val="00C55D94"/>
    <w:rsid w:val="00C55DCB"/>
    <w:rsid w:val="00C55FBB"/>
    <w:rsid w:val="00C57582"/>
    <w:rsid w:val="00C608EF"/>
    <w:rsid w:val="00C60E9C"/>
    <w:rsid w:val="00C612BB"/>
    <w:rsid w:val="00C612BF"/>
    <w:rsid w:val="00C61338"/>
    <w:rsid w:val="00C6207E"/>
    <w:rsid w:val="00C6324D"/>
    <w:rsid w:val="00C64773"/>
    <w:rsid w:val="00C64FAE"/>
    <w:rsid w:val="00C653CC"/>
    <w:rsid w:val="00C66344"/>
    <w:rsid w:val="00C66EDC"/>
    <w:rsid w:val="00C674F7"/>
    <w:rsid w:val="00C67D05"/>
    <w:rsid w:val="00C714EE"/>
    <w:rsid w:val="00C731E1"/>
    <w:rsid w:val="00C7335A"/>
    <w:rsid w:val="00C741A7"/>
    <w:rsid w:val="00C745D7"/>
    <w:rsid w:val="00C74F7C"/>
    <w:rsid w:val="00C75F87"/>
    <w:rsid w:val="00C7702A"/>
    <w:rsid w:val="00C773C8"/>
    <w:rsid w:val="00C806B8"/>
    <w:rsid w:val="00C80A25"/>
    <w:rsid w:val="00C80E5E"/>
    <w:rsid w:val="00C82930"/>
    <w:rsid w:val="00C82C9E"/>
    <w:rsid w:val="00C83945"/>
    <w:rsid w:val="00C841BF"/>
    <w:rsid w:val="00C84BF3"/>
    <w:rsid w:val="00C8531E"/>
    <w:rsid w:val="00C85560"/>
    <w:rsid w:val="00C85A50"/>
    <w:rsid w:val="00C85B6C"/>
    <w:rsid w:val="00C85ECE"/>
    <w:rsid w:val="00C85F1C"/>
    <w:rsid w:val="00C86BFE"/>
    <w:rsid w:val="00C86D8A"/>
    <w:rsid w:val="00C86FF3"/>
    <w:rsid w:val="00C87E2F"/>
    <w:rsid w:val="00C900B0"/>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525"/>
    <w:rsid w:val="00CD652E"/>
    <w:rsid w:val="00CD68DD"/>
    <w:rsid w:val="00CD6A0A"/>
    <w:rsid w:val="00CD6EF2"/>
    <w:rsid w:val="00CD786B"/>
    <w:rsid w:val="00CD7B8B"/>
    <w:rsid w:val="00CE01F8"/>
    <w:rsid w:val="00CE08BB"/>
    <w:rsid w:val="00CE24B9"/>
    <w:rsid w:val="00CE2ADD"/>
    <w:rsid w:val="00CE2B04"/>
    <w:rsid w:val="00CE2C27"/>
    <w:rsid w:val="00CE3E8B"/>
    <w:rsid w:val="00CE47DC"/>
    <w:rsid w:val="00CE5298"/>
    <w:rsid w:val="00CE5322"/>
    <w:rsid w:val="00CE58EB"/>
    <w:rsid w:val="00CE69E4"/>
    <w:rsid w:val="00CF0041"/>
    <w:rsid w:val="00CF02F9"/>
    <w:rsid w:val="00CF0D4B"/>
    <w:rsid w:val="00CF2605"/>
    <w:rsid w:val="00CF2804"/>
    <w:rsid w:val="00CF35B2"/>
    <w:rsid w:val="00CF38D4"/>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9E0"/>
    <w:rsid w:val="00D27131"/>
    <w:rsid w:val="00D31AD0"/>
    <w:rsid w:val="00D31B9E"/>
    <w:rsid w:val="00D31BBD"/>
    <w:rsid w:val="00D32658"/>
    <w:rsid w:val="00D34E83"/>
    <w:rsid w:val="00D35189"/>
    <w:rsid w:val="00D352D0"/>
    <w:rsid w:val="00D3701D"/>
    <w:rsid w:val="00D37354"/>
    <w:rsid w:val="00D404B1"/>
    <w:rsid w:val="00D40C33"/>
    <w:rsid w:val="00D4104F"/>
    <w:rsid w:val="00D4313E"/>
    <w:rsid w:val="00D43988"/>
    <w:rsid w:val="00D4707E"/>
    <w:rsid w:val="00D47238"/>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4AE1"/>
    <w:rsid w:val="00D654F8"/>
    <w:rsid w:val="00D66697"/>
    <w:rsid w:val="00D676B3"/>
    <w:rsid w:val="00D6787A"/>
    <w:rsid w:val="00D67ACA"/>
    <w:rsid w:val="00D67F69"/>
    <w:rsid w:val="00D71103"/>
    <w:rsid w:val="00D71213"/>
    <w:rsid w:val="00D713E4"/>
    <w:rsid w:val="00D72FAD"/>
    <w:rsid w:val="00D7314F"/>
    <w:rsid w:val="00D73259"/>
    <w:rsid w:val="00D73AF1"/>
    <w:rsid w:val="00D73E64"/>
    <w:rsid w:val="00D74504"/>
    <w:rsid w:val="00D74639"/>
    <w:rsid w:val="00D74926"/>
    <w:rsid w:val="00D74E38"/>
    <w:rsid w:val="00D75449"/>
    <w:rsid w:val="00D770D5"/>
    <w:rsid w:val="00D809B7"/>
    <w:rsid w:val="00D812A9"/>
    <w:rsid w:val="00D813B0"/>
    <w:rsid w:val="00D8141C"/>
    <w:rsid w:val="00D81A57"/>
    <w:rsid w:val="00D82664"/>
    <w:rsid w:val="00D8269A"/>
    <w:rsid w:val="00D82962"/>
    <w:rsid w:val="00D82A4C"/>
    <w:rsid w:val="00D83A65"/>
    <w:rsid w:val="00D846CF"/>
    <w:rsid w:val="00D85683"/>
    <w:rsid w:val="00D86320"/>
    <w:rsid w:val="00D86D21"/>
    <w:rsid w:val="00D86D72"/>
    <w:rsid w:val="00D8772B"/>
    <w:rsid w:val="00D90114"/>
    <w:rsid w:val="00D90679"/>
    <w:rsid w:val="00D90F8A"/>
    <w:rsid w:val="00D91621"/>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87B"/>
    <w:rsid w:val="00D97BA1"/>
    <w:rsid w:val="00D97F28"/>
    <w:rsid w:val="00DA09FC"/>
    <w:rsid w:val="00DA28A7"/>
    <w:rsid w:val="00DA2BB0"/>
    <w:rsid w:val="00DA2BCC"/>
    <w:rsid w:val="00DA2FCA"/>
    <w:rsid w:val="00DA348E"/>
    <w:rsid w:val="00DA373A"/>
    <w:rsid w:val="00DA5162"/>
    <w:rsid w:val="00DA59D2"/>
    <w:rsid w:val="00DA5A9C"/>
    <w:rsid w:val="00DA5F60"/>
    <w:rsid w:val="00DA6E9D"/>
    <w:rsid w:val="00DA6FF3"/>
    <w:rsid w:val="00DB1595"/>
    <w:rsid w:val="00DB297D"/>
    <w:rsid w:val="00DB2B7E"/>
    <w:rsid w:val="00DB2BA7"/>
    <w:rsid w:val="00DB2F6C"/>
    <w:rsid w:val="00DB345D"/>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F57"/>
    <w:rsid w:val="00DD60E3"/>
    <w:rsid w:val="00DD7F9B"/>
    <w:rsid w:val="00DE3385"/>
    <w:rsid w:val="00DE3503"/>
    <w:rsid w:val="00DE3CA1"/>
    <w:rsid w:val="00DE4007"/>
    <w:rsid w:val="00DE4638"/>
    <w:rsid w:val="00DE4651"/>
    <w:rsid w:val="00DE534A"/>
    <w:rsid w:val="00DE55FD"/>
    <w:rsid w:val="00DE7265"/>
    <w:rsid w:val="00DE7525"/>
    <w:rsid w:val="00DF2247"/>
    <w:rsid w:val="00DF2353"/>
    <w:rsid w:val="00DF2531"/>
    <w:rsid w:val="00DF3AB2"/>
    <w:rsid w:val="00DF5784"/>
    <w:rsid w:val="00DF58B8"/>
    <w:rsid w:val="00DF5FF8"/>
    <w:rsid w:val="00DF6EE5"/>
    <w:rsid w:val="00E0077B"/>
    <w:rsid w:val="00E00898"/>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CD4"/>
    <w:rsid w:val="00E45B91"/>
    <w:rsid w:val="00E46804"/>
    <w:rsid w:val="00E46C57"/>
    <w:rsid w:val="00E470BF"/>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EF"/>
    <w:rsid w:val="00E62CF0"/>
    <w:rsid w:val="00E62F1A"/>
    <w:rsid w:val="00E63F1D"/>
    <w:rsid w:val="00E63FA5"/>
    <w:rsid w:val="00E646D5"/>
    <w:rsid w:val="00E64964"/>
    <w:rsid w:val="00E64EEE"/>
    <w:rsid w:val="00E66F49"/>
    <w:rsid w:val="00E67F4F"/>
    <w:rsid w:val="00E721A9"/>
    <w:rsid w:val="00E72ABF"/>
    <w:rsid w:val="00E73549"/>
    <w:rsid w:val="00E74861"/>
    <w:rsid w:val="00E748DD"/>
    <w:rsid w:val="00E74EC9"/>
    <w:rsid w:val="00E750A5"/>
    <w:rsid w:val="00E75733"/>
    <w:rsid w:val="00E75A9D"/>
    <w:rsid w:val="00E76B19"/>
    <w:rsid w:val="00E80CF7"/>
    <w:rsid w:val="00E81B8E"/>
    <w:rsid w:val="00E81ED7"/>
    <w:rsid w:val="00E82FC0"/>
    <w:rsid w:val="00E8369B"/>
    <w:rsid w:val="00E8377F"/>
    <w:rsid w:val="00E83850"/>
    <w:rsid w:val="00E85244"/>
    <w:rsid w:val="00E86159"/>
    <w:rsid w:val="00E86741"/>
    <w:rsid w:val="00E87AE4"/>
    <w:rsid w:val="00E90C1F"/>
    <w:rsid w:val="00E9124A"/>
    <w:rsid w:val="00E91A8F"/>
    <w:rsid w:val="00E9222C"/>
    <w:rsid w:val="00E92AA5"/>
    <w:rsid w:val="00E9314A"/>
    <w:rsid w:val="00E9558B"/>
    <w:rsid w:val="00E95D1B"/>
    <w:rsid w:val="00E9735C"/>
    <w:rsid w:val="00EA234B"/>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AF"/>
    <w:rsid w:val="00EB57BD"/>
    <w:rsid w:val="00EB623E"/>
    <w:rsid w:val="00EB6502"/>
    <w:rsid w:val="00EB7D9C"/>
    <w:rsid w:val="00EC1076"/>
    <w:rsid w:val="00EC1406"/>
    <w:rsid w:val="00EC1526"/>
    <w:rsid w:val="00EC16C0"/>
    <w:rsid w:val="00EC23F3"/>
    <w:rsid w:val="00EC2677"/>
    <w:rsid w:val="00EC2AB5"/>
    <w:rsid w:val="00EC36F2"/>
    <w:rsid w:val="00EC46CC"/>
    <w:rsid w:val="00EC4856"/>
    <w:rsid w:val="00EC4B79"/>
    <w:rsid w:val="00EC4F33"/>
    <w:rsid w:val="00EC5115"/>
    <w:rsid w:val="00EC7E82"/>
    <w:rsid w:val="00EC7E91"/>
    <w:rsid w:val="00ED0B81"/>
    <w:rsid w:val="00ED166B"/>
    <w:rsid w:val="00ED1A64"/>
    <w:rsid w:val="00ED28DD"/>
    <w:rsid w:val="00ED2E31"/>
    <w:rsid w:val="00ED3133"/>
    <w:rsid w:val="00ED35A0"/>
    <w:rsid w:val="00ED43A6"/>
    <w:rsid w:val="00ED69B3"/>
    <w:rsid w:val="00ED6FB9"/>
    <w:rsid w:val="00ED7371"/>
    <w:rsid w:val="00ED7E2F"/>
    <w:rsid w:val="00ED7EA8"/>
    <w:rsid w:val="00EE02A3"/>
    <w:rsid w:val="00EE0650"/>
    <w:rsid w:val="00EE1313"/>
    <w:rsid w:val="00EE1F82"/>
    <w:rsid w:val="00EE2126"/>
    <w:rsid w:val="00EE3363"/>
    <w:rsid w:val="00EE4C7E"/>
    <w:rsid w:val="00EE556D"/>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7063"/>
    <w:rsid w:val="00F11635"/>
    <w:rsid w:val="00F12D86"/>
    <w:rsid w:val="00F131AA"/>
    <w:rsid w:val="00F131FD"/>
    <w:rsid w:val="00F1350B"/>
    <w:rsid w:val="00F13B05"/>
    <w:rsid w:val="00F13B5A"/>
    <w:rsid w:val="00F13EA5"/>
    <w:rsid w:val="00F13EED"/>
    <w:rsid w:val="00F14263"/>
    <w:rsid w:val="00F15AF2"/>
    <w:rsid w:val="00F1673D"/>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D63"/>
    <w:rsid w:val="00F34012"/>
    <w:rsid w:val="00F343A3"/>
    <w:rsid w:val="00F34C99"/>
    <w:rsid w:val="00F3531A"/>
    <w:rsid w:val="00F35F5C"/>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21EF"/>
    <w:rsid w:val="00F72AAF"/>
    <w:rsid w:val="00F72AC2"/>
    <w:rsid w:val="00F72F17"/>
    <w:rsid w:val="00F73923"/>
    <w:rsid w:val="00F73D91"/>
    <w:rsid w:val="00F74168"/>
    <w:rsid w:val="00F742F1"/>
    <w:rsid w:val="00F7470C"/>
    <w:rsid w:val="00F74942"/>
    <w:rsid w:val="00F76037"/>
    <w:rsid w:val="00F76171"/>
    <w:rsid w:val="00F761E0"/>
    <w:rsid w:val="00F76832"/>
    <w:rsid w:val="00F76B53"/>
    <w:rsid w:val="00F7761D"/>
    <w:rsid w:val="00F77724"/>
    <w:rsid w:val="00F77839"/>
    <w:rsid w:val="00F77AF3"/>
    <w:rsid w:val="00F77CE6"/>
    <w:rsid w:val="00F77DD1"/>
    <w:rsid w:val="00F77E8E"/>
    <w:rsid w:val="00F8023F"/>
    <w:rsid w:val="00F82021"/>
    <w:rsid w:val="00F82080"/>
    <w:rsid w:val="00F82566"/>
    <w:rsid w:val="00F82A7B"/>
    <w:rsid w:val="00F8476C"/>
    <w:rsid w:val="00F850A1"/>
    <w:rsid w:val="00F855B8"/>
    <w:rsid w:val="00F85CBD"/>
    <w:rsid w:val="00F86B84"/>
    <w:rsid w:val="00F905B8"/>
    <w:rsid w:val="00F91164"/>
    <w:rsid w:val="00F91D47"/>
    <w:rsid w:val="00F92B0F"/>
    <w:rsid w:val="00F9354E"/>
    <w:rsid w:val="00F941FC"/>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6970"/>
    <w:rsid w:val="00FC072E"/>
    <w:rsid w:val="00FC3497"/>
    <w:rsid w:val="00FC4323"/>
    <w:rsid w:val="00FC51AE"/>
    <w:rsid w:val="00FC550A"/>
    <w:rsid w:val="00FC551E"/>
    <w:rsid w:val="00FC5790"/>
    <w:rsid w:val="00FC6275"/>
    <w:rsid w:val="00FD039F"/>
    <w:rsid w:val="00FD053B"/>
    <w:rsid w:val="00FD0AF0"/>
    <w:rsid w:val="00FD1234"/>
    <w:rsid w:val="00FD18F3"/>
    <w:rsid w:val="00FD194F"/>
    <w:rsid w:val="00FD1995"/>
    <w:rsid w:val="00FD2333"/>
    <w:rsid w:val="00FD25E1"/>
    <w:rsid w:val="00FD31B5"/>
    <w:rsid w:val="00FD5688"/>
    <w:rsid w:val="00FD5725"/>
    <w:rsid w:val="00FD5E1C"/>
    <w:rsid w:val="00FD5F36"/>
    <w:rsid w:val="00FD7F6B"/>
    <w:rsid w:val="00FE0948"/>
    <w:rsid w:val="00FE0E33"/>
    <w:rsid w:val="00FE1880"/>
    <w:rsid w:val="00FE2B7B"/>
    <w:rsid w:val="00FE3256"/>
    <w:rsid w:val="00FE3B9B"/>
    <w:rsid w:val="00FE3F8E"/>
    <w:rsid w:val="00FE47ED"/>
    <w:rsid w:val="00FE5101"/>
    <w:rsid w:val="00FE61DC"/>
    <w:rsid w:val="00FE67D0"/>
    <w:rsid w:val="00FE689B"/>
    <w:rsid w:val="00FE79CE"/>
    <w:rsid w:val="00FF02D0"/>
    <w:rsid w:val="00FF081E"/>
    <w:rsid w:val="00FF1406"/>
    <w:rsid w:val="00FF145C"/>
    <w:rsid w:val="00FF26EE"/>
    <w:rsid w:val="00FF28EC"/>
    <w:rsid w:val="00FF47A3"/>
    <w:rsid w:val="00FF4B3F"/>
    <w:rsid w:val="00FF4B43"/>
    <w:rsid w:val="00FF574F"/>
    <w:rsid w:val="00FF6146"/>
    <w:rsid w:val="00FF7956"/>
    <w:rsid w:val="018F4DD0"/>
    <w:rsid w:val="02034A18"/>
    <w:rsid w:val="028A51FE"/>
    <w:rsid w:val="029F196E"/>
    <w:rsid w:val="02A37291"/>
    <w:rsid w:val="034C4249"/>
    <w:rsid w:val="03613039"/>
    <w:rsid w:val="036202D4"/>
    <w:rsid w:val="038A236C"/>
    <w:rsid w:val="03D07714"/>
    <w:rsid w:val="041E462C"/>
    <w:rsid w:val="043B2C36"/>
    <w:rsid w:val="04712667"/>
    <w:rsid w:val="047F723D"/>
    <w:rsid w:val="04820D65"/>
    <w:rsid w:val="04B94B88"/>
    <w:rsid w:val="04CB1E10"/>
    <w:rsid w:val="05050531"/>
    <w:rsid w:val="05262D76"/>
    <w:rsid w:val="056F462F"/>
    <w:rsid w:val="059004AD"/>
    <w:rsid w:val="06270849"/>
    <w:rsid w:val="06552DE0"/>
    <w:rsid w:val="067D4F9E"/>
    <w:rsid w:val="06D71535"/>
    <w:rsid w:val="07515FD1"/>
    <w:rsid w:val="07991A83"/>
    <w:rsid w:val="079943F9"/>
    <w:rsid w:val="07C02047"/>
    <w:rsid w:val="087B2F8F"/>
    <w:rsid w:val="08CA370B"/>
    <w:rsid w:val="095C2505"/>
    <w:rsid w:val="09F07824"/>
    <w:rsid w:val="0A0932C7"/>
    <w:rsid w:val="0A385366"/>
    <w:rsid w:val="0A506477"/>
    <w:rsid w:val="0A8455AD"/>
    <w:rsid w:val="0A8A4C86"/>
    <w:rsid w:val="0ABC6086"/>
    <w:rsid w:val="0AC03A76"/>
    <w:rsid w:val="0BF43322"/>
    <w:rsid w:val="0BF8196E"/>
    <w:rsid w:val="0C8D726E"/>
    <w:rsid w:val="0CE05750"/>
    <w:rsid w:val="0D1077DD"/>
    <w:rsid w:val="0D407F3C"/>
    <w:rsid w:val="0EA162F1"/>
    <w:rsid w:val="0F1748FB"/>
    <w:rsid w:val="0F3603C0"/>
    <w:rsid w:val="0F4F55B5"/>
    <w:rsid w:val="0F523385"/>
    <w:rsid w:val="0FA500EE"/>
    <w:rsid w:val="0FB078F3"/>
    <w:rsid w:val="1017657C"/>
    <w:rsid w:val="10907D14"/>
    <w:rsid w:val="110658A6"/>
    <w:rsid w:val="114A387E"/>
    <w:rsid w:val="11A5684D"/>
    <w:rsid w:val="11C84F5A"/>
    <w:rsid w:val="120E7E09"/>
    <w:rsid w:val="123D4E07"/>
    <w:rsid w:val="12415B32"/>
    <w:rsid w:val="12562AA0"/>
    <w:rsid w:val="128C51F9"/>
    <w:rsid w:val="12921A41"/>
    <w:rsid w:val="13161C63"/>
    <w:rsid w:val="137246C6"/>
    <w:rsid w:val="13AB3507"/>
    <w:rsid w:val="13C7314E"/>
    <w:rsid w:val="13D50C28"/>
    <w:rsid w:val="144A03E7"/>
    <w:rsid w:val="144E587E"/>
    <w:rsid w:val="1478143A"/>
    <w:rsid w:val="147B2BAA"/>
    <w:rsid w:val="14996598"/>
    <w:rsid w:val="14A365ED"/>
    <w:rsid w:val="15080C4C"/>
    <w:rsid w:val="15525935"/>
    <w:rsid w:val="156B7273"/>
    <w:rsid w:val="159B504D"/>
    <w:rsid w:val="167F40D4"/>
    <w:rsid w:val="169B65A7"/>
    <w:rsid w:val="16CB4F50"/>
    <w:rsid w:val="17853B61"/>
    <w:rsid w:val="17A710C7"/>
    <w:rsid w:val="17B13509"/>
    <w:rsid w:val="17CB121D"/>
    <w:rsid w:val="183A1C0C"/>
    <w:rsid w:val="18B310B8"/>
    <w:rsid w:val="19094ED0"/>
    <w:rsid w:val="199E5A21"/>
    <w:rsid w:val="19D2715C"/>
    <w:rsid w:val="19E51499"/>
    <w:rsid w:val="1A332C1D"/>
    <w:rsid w:val="1AE3658B"/>
    <w:rsid w:val="1AF86B5F"/>
    <w:rsid w:val="1B942A09"/>
    <w:rsid w:val="1BB61013"/>
    <w:rsid w:val="1BCE272A"/>
    <w:rsid w:val="1BDF7E16"/>
    <w:rsid w:val="1C4C11C0"/>
    <w:rsid w:val="1CF5584D"/>
    <w:rsid w:val="1CFF1436"/>
    <w:rsid w:val="1D035455"/>
    <w:rsid w:val="1D2B1804"/>
    <w:rsid w:val="1D2D465B"/>
    <w:rsid w:val="1E3950C5"/>
    <w:rsid w:val="1E4808ED"/>
    <w:rsid w:val="1F203444"/>
    <w:rsid w:val="1F8D4EFF"/>
    <w:rsid w:val="1FAF019C"/>
    <w:rsid w:val="2007660D"/>
    <w:rsid w:val="201C198C"/>
    <w:rsid w:val="20913CBA"/>
    <w:rsid w:val="20DB5404"/>
    <w:rsid w:val="210118AD"/>
    <w:rsid w:val="215B41C8"/>
    <w:rsid w:val="218349B6"/>
    <w:rsid w:val="23276058"/>
    <w:rsid w:val="246833F2"/>
    <w:rsid w:val="2470573C"/>
    <w:rsid w:val="255B7ED1"/>
    <w:rsid w:val="25A91F14"/>
    <w:rsid w:val="25B12A01"/>
    <w:rsid w:val="25C31279"/>
    <w:rsid w:val="26101C34"/>
    <w:rsid w:val="26BE3BAC"/>
    <w:rsid w:val="27034AD1"/>
    <w:rsid w:val="27AA5F75"/>
    <w:rsid w:val="27F12EF0"/>
    <w:rsid w:val="280C250B"/>
    <w:rsid w:val="289E1A52"/>
    <w:rsid w:val="28CF69C0"/>
    <w:rsid w:val="28DD6E23"/>
    <w:rsid w:val="28E85E68"/>
    <w:rsid w:val="2A4F0167"/>
    <w:rsid w:val="2A993CF8"/>
    <w:rsid w:val="2ADE7026"/>
    <w:rsid w:val="2B7D00B5"/>
    <w:rsid w:val="2BA76928"/>
    <w:rsid w:val="2C531C1D"/>
    <w:rsid w:val="2CDD21EA"/>
    <w:rsid w:val="2D8206C8"/>
    <w:rsid w:val="2DC85D15"/>
    <w:rsid w:val="2E83328F"/>
    <w:rsid w:val="2EEC40A0"/>
    <w:rsid w:val="2EF722EA"/>
    <w:rsid w:val="2F2D535A"/>
    <w:rsid w:val="2FD74BE1"/>
    <w:rsid w:val="2FDC432A"/>
    <w:rsid w:val="307410C2"/>
    <w:rsid w:val="30844275"/>
    <w:rsid w:val="308D0856"/>
    <w:rsid w:val="30A05F49"/>
    <w:rsid w:val="31121EF5"/>
    <w:rsid w:val="31232B7B"/>
    <w:rsid w:val="319242DF"/>
    <w:rsid w:val="31EE13DB"/>
    <w:rsid w:val="31EF7704"/>
    <w:rsid w:val="325B727C"/>
    <w:rsid w:val="33305B83"/>
    <w:rsid w:val="338B6C3E"/>
    <w:rsid w:val="33B57CD6"/>
    <w:rsid w:val="341B192F"/>
    <w:rsid w:val="342C3BEE"/>
    <w:rsid w:val="34D13403"/>
    <w:rsid w:val="35A3072E"/>
    <w:rsid w:val="35A64E04"/>
    <w:rsid w:val="35AF558A"/>
    <w:rsid w:val="36CD366D"/>
    <w:rsid w:val="377619BB"/>
    <w:rsid w:val="38A04AB1"/>
    <w:rsid w:val="38A46212"/>
    <w:rsid w:val="39667278"/>
    <w:rsid w:val="396922B4"/>
    <w:rsid w:val="39E14173"/>
    <w:rsid w:val="3A410AC4"/>
    <w:rsid w:val="3A660185"/>
    <w:rsid w:val="3AB3173C"/>
    <w:rsid w:val="3AC46908"/>
    <w:rsid w:val="3BAC5082"/>
    <w:rsid w:val="3BDD4E74"/>
    <w:rsid w:val="3C7E4EDD"/>
    <w:rsid w:val="3C991F43"/>
    <w:rsid w:val="3D303E99"/>
    <w:rsid w:val="3D8C5F4C"/>
    <w:rsid w:val="3E824310"/>
    <w:rsid w:val="3EB53DB8"/>
    <w:rsid w:val="3F2415CF"/>
    <w:rsid w:val="3F294A3B"/>
    <w:rsid w:val="3F2A2EB3"/>
    <w:rsid w:val="403305F5"/>
    <w:rsid w:val="405C2C22"/>
    <w:rsid w:val="4067717E"/>
    <w:rsid w:val="406C2BD8"/>
    <w:rsid w:val="40B97C69"/>
    <w:rsid w:val="41103AB3"/>
    <w:rsid w:val="411A2A57"/>
    <w:rsid w:val="414549F8"/>
    <w:rsid w:val="4185067D"/>
    <w:rsid w:val="41A2641C"/>
    <w:rsid w:val="41DA7122"/>
    <w:rsid w:val="423747F1"/>
    <w:rsid w:val="42576B28"/>
    <w:rsid w:val="426828AB"/>
    <w:rsid w:val="42A11473"/>
    <w:rsid w:val="42D24149"/>
    <w:rsid w:val="42E51F94"/>
    <w:rsid w:val="435805B4"/>
    <w:rsid w:val="44502E5B"/>
    <w:rsid w:val="44C558EE"/>
    <w:rsid w:val="44EA61C6"/>
    <w:rsid w:val="44F600D9"/>
    <w:rsid w:val="453E0749"/>
    <w:rsid w:val="45E17242"/>
    <w:rsid w:val="46712183"/>
    <w:rsid w:val="46C55DCC"/>
    <w:rsid w:val="46CF4FC2"/>
    <w:rsid w:val="46EC288D"/>
    <w:rsid w:val="46ED1809"/>
    <w:rsid w:val="477B46DA"/>
    <w:rsid w:val="477F19A8"/>
    <w:rsid w:val="47946BA6"/>
    <w:rsid w:val="47B6656B"/>
    <w:rsid w:val="47C44FDA"/>
    <w:rsid w:val="48C170B3"/>
    <w:rsid w:val="49044022"/>
    <w:rsid w:val="49574862"/>
    <w:rsid w:val="4A5406A2"/>
    <w:rsid w:val="4AB42F1C"/>
    <w:rsid w:val="4AC519F6"/>
    <w:rsid w:val="4B110B90"/>
    <w:rsid w:val="4CD07BAF"/>
    <w:rsid w:val="4D211BF9"/>
    <w:rsid w:val="4D4B1098"/>
    <w:rsid w:val="4D624570"/>
    <w:rsid w:val="4D942E8A"/>
    <w:rsid w:val="4D9E1AAF"/>
    <w:rsid w:val="4E276EF9"/>
    <w:rsid w:val="4E2B7F63"/>
    <w:rsid w:val="4E444B87"/>
    <w:rsid w:val="4EA135A7"/>
    <w:rsid w:val="4ED65B7A"/>
    <w:rsid w:val="4F937EAE"/>
    <w:rsid w:val="4FB34218"/>
    <w:rsid w:val="4FDB1BE4"/>
    <w:rsid w:val="519D207E"/>
    <w:rsid w:val="51C33746"/>
    <w:rsid w:val="51E054FD"/>
    <w:rsid w:val="53083749"/>
    <w:rsid w:val="531B14AC"/>
    <w:rsid w:val="5355411C"/>
    <w:rsid w:val="53590226"/>
    <w:rsid w:val="53FE1CC8"/>
    <w:rsid w:val="54803EF9"/>
    <w:rsid w:val="54DE4E87"/>
    <w:rsid w:val="54E454F0"/>
    <w:rsid w:val="54EC2043"/>
    <w:rsid w:val="555C7190"/>
    <w:rsid w:val="55891864"/>
    <w:rsid w:val="55FD133D"/>
    <w:rsid w:val="561244DD"/>
    <w:rsid w:val="562B3B54"/>
    <w:rsid w:val="563A27AE"/>
    <w:rsid w:val="568070A4"/>
    <w:rsid w:val="56BD644F"/>
    <w:rsid w:val="56F15429"/>
    <w:rsid w:val="570C5CDB"/>
    <w:rsid w:val="571B01D6"/>
    <w:rsid w:val="573F362D"/>
    <w:rsid w:val="57752C31"/>
    <w:rsid w:val="579F6F85"/>
    <w:rsid w:val="58531279"/>
    <w:rsid w:val="5879650B"/>
    <w:rsid w:val="58B205DA"/>
    <w:rsid w:val="59562254"/>
    <w:rsid w:val="597731B4"/>
    <w:rsid w:val="59971AF0"/>
    <w:rsid w:val="59E601E2"/>
    <w:rsid w:val="59F36B5D"/>
    <w:rsid w:val="5A735AF1"/>
    <w:rsid w:val="5AA23067"/>
    <w:rsid w:val="5AA51AFB"/>
    <w:rsid w:val="5AB92201"/>
    <w:rsid w:val="5B847B74"/>
    <w:rsid w:val="5BDF2D3B"/>
    <w:rsid w:val="5C074730"/>
    <w:rsid w:val="5C560019"/>
    <w:rsid w:val="5C6AB141"/>
    <w:rsid w:val="5C7D7F79"/>
    <w:rsid w:val="5CED3FF9"/>
    <w:rsid w:val="5D4476FB"/>
    <w:rsid w:val="5D571A87"/>
    <w:rsid w:val="5E8B3C4B"/>
    <w:rsid w:val="5ED8763C"/>
    <w:rsid w:val="5EEE1718"/>
    <w:rsid w:val="5F771986"/>
    <w:rsid w:val="5F8D1439"/>
    <w:rsid w:val="5FC96642"/>
    <w:rsid w:val="60032513"/>
    <w:rsid w:val="601574AE"/>
    <w:rsid w:val="60257F58"/>
    <w:rsid w:val="605C2CBF"/>
    <w:rsid w:val="60843E3A"/>
    <w:rsid w:val="61250170"/>
    <w:rsid w:val="614B2DC9"/>
    <w:rsid w:val="616D4BA1"/>
    <w:rsid w:val="62111B39"/>
    <w:rsid w:val="62315960"/>
    <w:rsid w:val="62C360BC"/>
    <w:rsid w:val="634925E3"/>
    <w:rsid w:val="64E846AF"/>
    <w:rsid w:val="650C6EA7"/>
    <w:rsid w:val="65735661"/>
    <w:rsid w:val="664960F3"/>
    <w:rsid w:val="665E5750"/>
    <w:rsid w:val="666D6BA9"/>
    <w:rsid w:val="668D4017"/>
    <w:rsid w:val="66DC2EB8"/>
    <w:rsid w:val="67402E40"/>
    <w:rsid w:val="678877B3"/>
    <w:rsid w:val="67BA41C2"/>
    <w:rsid w:val="67C12AFD"/>
    <w:rsid w:val="67C706D3"/>
    <w:rsid w:val="67E1648C"/>
    <w:rsid w:val="68965FEA"/>
    <w:rsid w:val="68DA5D31"/>
    <w:rsid w:val="693A0274"/>
    <w:rsid w:val="69A9410F"/>
    <w:rsid w:val="69C629D5"/>
    <w:rsid w:val="6AB6E8DD"/>
    <w:rsid w:val="6B100175"/>
    <w:rsid w:val="6B770FD3"/>
    <w:rsid w:val="6D0E2679"/>
    <w:rsid w:val="6D4621DE"/>
    <w:rsid w:val="6DE55656"/>
    <w:rsid w:val="6E153270"/>
    <w:rsid w:val="6E261BA7"/>
    <w:rsid w:val="6E660432"/>
    <w:rsid w:val="6E681C31"/>
    <w:rsid w:val="6E8D3E82"/>
    <w:rsid w:val="6EBA37B1"/>
    <w:rsid w:val="6ED7625C"/>
    <w:rsid w:val="6F135292"/>
    <w:rsid w:val="6F8215CE"/>
    <w:rsid w:val="6FA50623"/>
    <w:rsid w:val="701B088F"/>
    <w:rsid w:val="70722A64"/>
    <w:rsid w:val="70F50EBA"/>
    <w:rsid w:val="71266569"/>
    <w:rsid w:val="712C543B"/>
    <w:rsid w:val="715012F7"/>
    <w:rsid w:val="717C6A58"/>
    <w:rsid w:val="71D60130"/>
    <w:rsid w:val="71F76B8E"/>
    <w:rsid w:val="721D0945"/>
    <w:rsid w:val="72665F23"/>
    <w:rsid w:val="72D7E42F"/>
    <w:rsid w:val="73FA5E27"/>
    <w:rsid w:val="741E4FC3"/>
    <w:rsid w:val="7434296E"/>
    <w:rsid w:val="7447637A"/>
    <w:rsid w:val="74BF341C"/>
    <w:rsid w:val="74C667AB"/>
    <w:rsid w:val="74C876B4"/>
    <w:rsid w:val="757440A2"/>
    <w:rsid w:val="758E5037"/>
    <w:rsid w:val="75F73A2A"/>
    <w:rsid w:val="75FC7405"/>
    <w:rsid w:val="75FE6CDF"/>
    <w:rsid w:val="760F2C9B"/>
    <w:rsid w:val="766641C7"/>
    <w:rsid w:val="769958F2"/>
    <w:rsid w:val="76E96805"/>
    <w:rsid w:val="76F40F60"/>
    <w:rsid w:val="770266B0"/>
    <w:rsid w:val="779A0FFD"/>
    <w:rsid w:val="77E577FB"/>
    <w:rsid w:val="78174C2D"/>
    <w:rsid w:val="784576F8"/>
    <w:rsid w:val="78767A5E"/>
    <w:rsid w:val="7912711E"/>
    <w:rsid w:val="793D0B51"/>
    <w:rsid w:val="79AFB3FA"/>
    <w:rsid w:val="79E74EC7"/>
    <w:rsid w:val="7A5F2A48"/>
    <w:rsid w:val="7A7F7C39"/>
    <w:rsid w:val="7A8D60AA"/>
    <w:rsid w:val="7B471C92"/>
    <w:rsid w:val="7BF03CBA"/>
    <w:rsid w:val="7C5148F4"/>
    <w:rsid w:val="7CFE3D1B"/>
    <w:rsid w:val="7DA77C5D"/>
    <w:rsid w:val="7DEB27D3"/>
    <w:rsid w:val="7E6A23E5"/>
    <w:rsid w:val="7E816BC7"/>
    <w:rsid w:val="7EF402AF"/>
    <w:rsid w:val="7F2E3DC9"/>
    <w:rsid w:val="7F8F900D"/>
    <w:rsid w:val="7F97B200"/>
    <w:rsid w:val="7FD00D3D"/>
    <w:rsid w:val="7FEA3035"/>
    <w:rsid w:val="7FF0375A"/>
    <w:rsid w:val="7FFD3F9F"/>
    <w:rsid w:val="A93F438A"/>
    <w:rsid w:val="BF7A542B"/>
    <w:rsid w:val="DDAA3146"/>
    <w:rsid w:val="E6F6FE0A"/>
    <w:rsid w:val="EB6120B6"/>
    <w:rsid w:val="EEEB9068"/>
    <w:rsid w:val="F7775C52"/>
    <w:rsid w:val="F9C3B504"/>
    <w:rsid w:val="FE71CFFF"/>
    <w:rsid w:val="FFFBFD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53"/>
    <w:qFormat/>
    <w:uiPriority w:val="0"/>
    <w:pPr>
      <w:spacing w:before="340" w:after="330" w:line="360" w:lineRule="auto"/>
      <w:jc w:val="center"/>
      <w:outlineLvl w:val="0"/>
    </w:pPr>
    <w:rPr>
      <w:rFonts w:eastAsia="黑体"/>
      <w:kern w:val="44"/>
      <w:szCs w:val="44"/>
    </w:rPr>
  </w:style>
  <w:style w:type="paragraph" w:styleId="7">
    <w:name w:val="heading 2"/>
    <w:basedOn w:val="5"/>
    <w:next w:val="6"/>
    <w:link w:val="68"/>
    <w:qFormat/>
    <w:uiPriority w:val="0"/>
    <w:pPr>
      <w:adjustRightInd w:val="0"/>
      <w:jc w:val="center"/>
      <w:textAlignment w:val="baseline"/>
      <w:outlineLvl w:val="1"/>
    </w:pPr>
    <w:rPr>
      <w:kern w:val="0"/>
      <w:sz w:val="24"/>
      <w:szCs w:val="20"/>
    </w:rPr>
  </w:style>
  <w:style w:type="paragraph" w:styleId="5">
    <w:name w:val="heading 3"/>
    <w:basedOn w:val="6"/>
    <w:next w:val="1"/>
    <w:link w:val="52"/>
    <w:qFormat/>
    <w:uiPriority w:val="9"/>
    <w:pPr>
      <w:spacing w:before="260" w:after="260" w:line="240" w:lineRule="auto"/>
      <w:outlineLvl w:val="2"/>
    </w:pPr>
    <w:rPr>
      <w:rFonts w:ascii="宋体" w:hAnsi="宋体" w:eastAsia="宋体"/>
      <w:szCs w:val="32"/>
    </w:rPr>
  </w:style>
  <w:style w:type="paragraph" w:styleId="6">
    <w:name w:val="heading 4"/>
    <w:basedOn w:val="1"/>
    <w:next w:val="1"/>
    <w:link w:val="50"/>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77"/>
    <w:qFormat/>
    <w:uiPriority w:val="0"/>
    <w:pPr>
      <w:keepNext/>
      <w:keepLines/>
      <w:spacing w:before="280" w:after="290" w:line="376" w:lineRule="auto"/>
      <w:outlineLvl w:val="4"/>
    </w:pPr>
    <w:rPr>
      <w:b/>
      <w:sz w:val="28"/>
      <w:szCs w:val="20"/>
    </w:rPr>
  </w:style>
  <w:style w:type="paragraph" w:styleId="10">
    <w:name w:val="heading 6"/>
    <w:basedOn w:val="1"/>
    <w:next w:val="9"/>
    <w:link w:val="80"/>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9"/>
    <w:link w:val="81"/>
    <w:qFormat/>
    <w:uiPriority w:val="0"/>
    <w:pPr>
      <w:keepNext/>
      <w:keepLines/>
      <w:spacing w:before="240" w:after="64" w:line="320" w:lineRule="auto"/>
      <w:outlineLvl w:val="6"/>
    </w:pPr>
    <w:rPr>
      <w:b/>
      <w:sz w:val="24"/>
      <w:szCs w:val="20"/>
    </w:rPr>
  </w:style>
  <w:style w:type="paragraph" w:styleId="12">
    <w:name w:val="heading 8"/>
    <w:basedOn w:val="1"/>
    <w:next w:val="9"/>
    <w:link w:val="82"/>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9"/>
    <w:link w:val="83"/>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89"/>
    <w:qFormat/>
    <w:uiPriority w:val="0"/>
    <w:pPr>
      <w:spacing w:line="360" w:lineRule="auto"/>
    </w:pPr>
    <w:rPr>
      <w:b/>
      <w:bCs/>
      <w:sz w:val="24"/>
    </w:rPr>
  </w:style>
  <w:style w:type="paragraph" w:styleId="3">
    <w:name w:val="Body Text 2"/>
    <w:basedOn w:val="1"/>
    <w:link w:val="93"/>
    <w:qFormat/>
    <w:uiPriority w:val="0"/>
    <w:pPr>
      <w:spacing w:line="360" w:lineRule="auto"/>
    </w:pPr>
    <w:rPr>
      <w:sz w:val="24"/>
    </w:rPr>
  </w:style>
  <w:style w:type="paragraph" w:styleId="9">
    <w:name w:val="Normal Indent"/>
    <w:basedOn w:val="1"/>
    <w:link w:val="54"/>
    <w:qFormat/>
    <w:uiPriority w:val="0"/>
    <w:pPr>
      <w:ind w:firstLine="420"/>
    </w:pPr>
    <w:rPr>
      <w:szCs w:val="20"/>
    </w:rPr>
  </w:style>
  <w:style w:type="paragraph" w:styleId="14">
    <w:name w:val="toc 7"/>
    <w:basedOn w:val="1"/>
    <w:next w:val="1"/>
    <w:semiHidden/>
    <w:qFormat/>
    <w:uiPriority w:val="0"/>
    <w:pPr>
      <w:ind w:left="1260"/>
      <w:jc w:val="left"/>
    </w:pPr>
    <w:rPr>
      <w:szCs w:val="21"/>
    </w:rPr>
  </w:style>
  <w:style w:type="paragraph" w:styleId="15">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qFormat/>
    <w:uiPriority w:val="0"/>
    <w:pPr>
      <w:numPr>
        <w:ilvl w:val="0"/>
        <w:numId w:val="1"/>
      </w:numPr>
    </w:pPr>
    <w:rPr>
      <w:szCs w:val="20"/>
    </w:rPr>
  </w:style>
  <w:style w:type="paragraph" w:styleId="17">
    <w:name w:val="Document Map"/>
    <w:basedOn w:val="1"/>
    <w:semiHidden/>
    <w:qFormat/>
    <w:uiPriority w:val="0"/>
    <w:pPr>
      <w:shd w:val="clear" w:color="auto" w:fill="000080"/>
    </w:pPr>
  </w:style>
  <w:style w:type="paragraph" w:styleId="18">
    <w:name w:val="annotation text"/>
    <w:basedOn w:val="1"/>
    <w:link w:val="181"/>
    <w:qFormat/>
    <w:uiPriority w:val="99"/>
    <w:pPr>
      <w:autoSpaceDE w:val="0"/>
      <w:autoSpaceDN w:val="0"/>
      <w:adjustRightInd w:val="0"/>
      <w:jc w:val="left"/>
      <w:textAlignment w:val="baseline"/>
    </w:pPr>
    <w:rPr>
      <w:rFonts w:ascii="宋体"/>
      <w:kern w:val="0"/>
      <w:sz w:val="34"/>
      <w:szCs w:val="20"/>
    </w:rPr>
  </w:style>
  <w:style w:type="paragraph" w:styleId="19">
    <w:name w:val="Body Text 3"/>
    <w:basedOn w:val="1"/>
    <w:link w:val="95"/>
    <w:qFormat/>
    <w:uiPriority w:val="0"/>
    <w:pPr>
      <w:spacing w:after="120"/>
    </w:pPr>
    <w:rPr>
      <w:sz w:val="16"/>
      <w:szCs w:val="16"/>
    </w:rPr>
  </w:style>
  <w:style w:type="paragraph" w:styleId="20">
    <w:name w:val="Body Text Indent"/>
    <w:basedOn w:val="1"/>
    <w:link w:val="76"/>
    <w:qFormat/>
    <w:uiPriority w:val="0"/>
    <w:pPr>
      <w:spacing w:line="360" w:lineRule="auto"/>
      <w:ind w:firstLine="420" w:firstLineChars="200"/>
    </w:pPr>
  </w:style>
  <w:style w:type="paragraph" w:styleId="21">
    <w:name w:val="toc 5"/>
    <w:basedOn w:val="1"/>
    <w:next w:val="1"/>
    <w:semiHidden/>
    <w:qFormat/>
    <w:uiPriority w:val="0"/>
    <w:pPr>
      <w:ind w:left="840"/>
      <w:jc w:val="left"/>
    </w:pPr>
    <w:rPr>
      <w:szCs w:val="21"/>
    </w:rPr>
  </w:style>
  <w:style w:type="paragraph" w:styleId="22">
    <w:name w:val="toc 3"/>
    <w:basedOn w:val="1"/>
    <w:next w:val="1"/>
    <w:semiHidden/>
    <w:qFormat/>
    <w:uiPriority w:val="0"/>
    <w:pPr>
      <w:ind w:left="420"/>
      <w:jc w:val="left"/>
    </w:pPr>
    <w:rPr>
      <w:i/>
      <w:iCs/>
    </w:rPr>
  </w:style>
  <w:style w:type="paragraph" w:styleId="23">
    <w:name w:val="Plain Text"/>
    <w:basedOn w:val="1"/>
    <w:link w:val="87"/>
    <w:qFormat/>
    <w:uiPriority w:val="0"/>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85"/>
    <w:qFormat/>
    <w:uiPriority w:val="0"/>
    <w:rPr>
      <w:rFonts w:ascii="宋体" w:hAnsi="Courier New"/>
      <w:sz w:val="32"/>
      <w:szCs w:val="20"/>
    </w:rPr>
  </w:style>
  <w:style w:type="paragraph" w:styleId="26">
    <w:name w:val="Body Text Indent 2"/>
    <w:basedOn w:val="1"/>
    <w:link w:val="90"/>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96"/>
    <w:semiHidden/>
    <w:qFormat/>
    <w:uiPriority w:val="99"/>
    <w:rPr>
      <w:sz w:val="18"/>
      <w:szCs w:val="18"/>
    </w:rPr>
  </w:style>
  <w:style w:type="paragraph" w:styleId="28">
    <w:name w:val="footer"/>
    <w:basedOn w:val="1"/>
    <w:link w:val="94"/>
    <w:qFormat/>
    <w:uiPriority w:val="0"/>
    <w:pPr>
      <w:tabs>
        <w:tab w:val="center" w:pos="4153"/>
        <w:tab w:val="right" w:pos="8306"/>
      </w:tabs>
      <w:snapToGrid w:val="0"/>
      <w:jc w:val="left"/>
    </w:pPr>
    <w:rPr>
      <w:sz w:val="18"/>
      <w:szCs w:val="18"/>
    </w:rPr>
  </w:style>
  <w:style w:type="paragraph" w:styleId="29">
    <w:name w:val="header"/>
    <w:basedOn w:val="1"/>
    <w:link w:val="91"/>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toc 6"/>
    <w:basedOn w:val="1"/>
    <w:next w:val="1"/>
    <w:semiHidden/>
    <w:qFormat/>
    <w:uiPriority w:val="0"/>
    <w:pPr>
      <w:ind w:left="1050"/>
      <w:jc w:val="left"/>
    </w:pPr>
    <w:rPr>
      <w:szCs w:val="21"/>
    </w:rPr>
  </w:style>
  <w:style w:type="paragraph" w:styleId="33">
    <w:name w:val="Body Text Indent 3"/>
    <w:basedOn w:val="1"/>
    <w:link w:val="92"/>
    <w:qFormat/>
    <w:uiPriority w:val="0"/>
    <w:pPr>
      <w:spacing w:line="360" w:lineRule="auto"/>
      <w:ind w:firstLine="482" w:firstLineChars="200"/>
    </w:pPr>
    <w:rPr>
      <w:rFonts w:ascii="宋体"/>
      <w:b/>
      <w:bCs/>
      <w:sz w:val="24"/>
    </w:rPr>
  </w:style>
  <w:style w:type="paragraph" w:styleId="34">
    <w:name w:val="toc 2"/>
    <w:basedOn w:val="1"/>
    <w:next w:val="1"/>
    <w:semiHidden/>
    <w:qFormat/>
    <w:uiPriority w:val="0"/>
    <w:pPr>
      <w:tabs>
        <w:tab w:val="right" w:leader="dot" w:pos="8296"/>
      </w:tabs>
      <w:ind w:left="210"/>
      <w:jc w:val="left"/>
    </w:pPr>
    <w:rPr>
      <w:smallCaps/>
    </w:rPr>
  </w:style>
  <w:style w:type="paragraph" w:styleId="35">
    <w:name w:val="toc 9"/>
    <w:basedOn w:val="1"/>
    <w:next w:val="1"/>
    <w:semiHidden/>
    <w:qFormat/>
    <w:uiPriority w:val="0"/>
    <w:pPr>
      <w:ind w:left="1680"/>
      <w:jc w:val="left"/>
    </w:pPr>
    <w:rPr>
      <w:szCs w:val="21"/>
    </w:rPr>
  </w:style>
  <w:style w:type="paragraph" w:styleId="36">
    <w:name w:val="HTML Preformatted"/>
    <w:basedOn w:val="1"/>
    <w:link w:val="8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87"/>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84"/>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8"/>
    <w:next w:val="18"/>
    <w:link w:val="182"/>
    <w:qFormat/>
    <w:uiPriority w:val="99"/>
    <w:pPr>
      <w:autoSpaceDE/>
      <w:autoSpaceDN/>
      <w:adjustRightInd/>
      <w:textAlignment w:val="auto"/>
    </w:pPr>
    <w:rPr>
      <w:rFonts w:ascii="Times New Roman"/>
      <w:b/>
      <w:bCs/>
      <w:kern w:val="2"/>
      <w:sz w:val="21"/>
      <w:szCs w:val="24"/>
    </w:rPr>
  </w:style>
  <w:style w:type="paragraph" w:styleId="41">
    <w:name w:val="Body Text First Indent"/>
    <w:basedOn w:val="2"/>
    <w:link w:val="127"/>
    <w:qFormat/>
    <w:uiPriority w:val="0"/>
    <w:pPr>
      <w:spacing w:after="120" w:line="240" w:lineRule="auto"/>
      <w:ind w:firstLine="420" w:firstLineChars="100"/>
    </w:pPr>
    <w:rPr>
      <w:sz w:val="21"/>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yperlink"/>
    <w:qFormat/>
    <w:uiPriority w:val="0"/>
    <w:rPr>
      <w:color w:val="0000FF"/>
      <w:u w:val="single"/>
    </w:rPr>
  </w:style>
  <w:style w:type="character" w:styleId="49">
    <w:name w:val="annotation reference"/>
    <w:basedOn w:val="44"/>
    <w:qFormat/>
    <w:uiPriority w:val="99"/>
    <w:rPr>
      <w:sz w:val="21"/>
      <w:szCs w:val="21"/>
    </w:rPr>
  </w:style>
  <w:style w:type="character" w:customStyle="1" w:styleId="50">
    <w:name w:val="标题 4 字符"/>
    <w:link w:val="6"/>
    <w:qFormat/>
    <w:uiPriority w:val="9"/>
    <w:rPr>
      <w:rFonts w:ascii="Arial" w:hAnsi="Arial" w:eastAsia="黑体"/>
      <w:b/>
      <w:bCs/>
      <w:kern w:val="2"/>
      <w:sz w:val="28"/>
      <w:szCs w:val="28"/>
      <w:lang w:val="en-US" w:eastAsia="zh-CN" w:bidi="ar-SA"/>
    </w:rPr>
  </w:style>
  <w:style w:type="paragraph" w:customStyle="1" w:styleId="51">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2">
    <w:name w:val="标题 3 字符"/>
    <w:link w:val="5"/>
    <w:qFormat/>
    <w:uiPriority w:val="9"/>
    <w:rPr>
      <w:rFonts w:ascii="宋体" w:hAnsi="宋体" w:eastAsia="宋体"/>
      <w:b/>
      <w:bCs/>
      <w:kern w:val="2"/>
      <w:sz w:val="28"/>
      <w:szCs w:val="32"/>
      <w:lang w:val="en-US" w:eastAsia="zh-CN" w:bidi="ar-SA"/>
    </w:rPr>
  </w:style>
  <w:style w:type="character" w:customStyle="1" w:styleId="53">
    <w:name w:val="标题 1 字符"/>
    <w:link w:val="4"/>
    <w:qFormat/>
    <w:uiPriority w:val="0"/>
    <w:rPr>
      <w:rFonts w:ascii="宋体" w:hAnsi="宋体" w:eastAsia="黑体"/>
      <w:b/>
      <w:bCs/>
      <w:kern w:val="44"/>
      <w:sz w:val="28"/>
      <w:szCs w:val="44"/>
      <w:lang w:val="en-US" w:eastAsia="zh-CN" w:bidi="ar-SA"/>
    </w:rPr>
  </w:style>
  <w:style w:type="character" w:customStyle="1" w:styleId="54">
    <w:name w:val="正文缩进 字符"/>
    <w:link w:val="9"/>
    <w:qFormat/>
    <w:uiPriority w:val="0"/>
    <w:rPr>
      <w:rFonts w:eastAsia="宋体"/>
      <w:kern w:val="2"/>
      <w:sz w:val="21"/>
      <w:lang w:val="en-US" w:eastAsia="zh-CN" w:bidi="ar-SA"/>
    </w:rPr>
  </w:style>
  <w:style w:type="character" w:customStyle="1" w:styleId="55">
    <w:name w:val="标题 3 Char"/>
    <w:qFormat/>
    <w:uiPriority w:val="0"/>
    <w:rPr>
      <w:rFonts w:ascii="黑体" w:eastAsia="黑体"/>
      <w:bCs/>
      <w:sz w:val="30"/>
    </w:rPr>
  </w:style>
  <w:style w:type="paragraph" w:customStyle="1" w:styleId="56">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57">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58">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59">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0">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1">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3">
    <w:name w:val="自定义正文"/>
    <w:basedOn w:val="1"/>
    <w:qFormat/>
    <w:uiPriority w:val="0"/>
    <w:pPr>
      <w:spacing w:afterLines="50"/>
      <w:ind w:left="600" w:leftChars="600"/>
    </w:pPr>
  </w:style>
  <w:style w:type="paragraph" w:customStyle="1" w:styleId="64">
    <w:name w:val="Char Char Char Char Char"/>
    <w:basedOn w:val="1"/>
    <w:qFormat/>
    <w:uiPriority w:val="0"/>
    <w:rPr>
      <w:rFonts w:ascii="Tahoma" w:hAnsi="Tahoma"/>
      <w:sz w:val="24"/>
      <w:szCs w:val="20"/>
    </w:rPr>
  </w:style>
  <w:style w:type="paragraph" w:customStyle="1" w:styleId="65">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66">
    <w:name w:val="Char Char"/>
    <w:basedOn w:val="1"/>
    <w:qFormat/>
    <w:uiPriority w:val="0"/>
    <w:rPr>
      <w:rFonts w:ascii="Tahoma" w:hAnsi="Tahoma"/>
      <w:sz w:val="24"/>
      <w:szCs w:val="20"/>
    </w:rPr>
  </w:style>
  <w:style w:type="paragraph" w:customStyle="1" w:styleId="67">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68">
    <w:name w:val="标题 2 字符"/>
    <w:link w:val="7"/>
    <w:qFormat/>
    <w:uiPriority w:val="0"/>
    <w:rPr>
      <w:rFonts w:ascii="宋体" w:hAnsi="宋体" w:eastAsia="宋体"/>
      <w:b/>
      <w:bCs/>
      <w:sz w:val="24"/>
      <w:lang w:val="en-US" w:eastAsia="zh-CN" w:bidi="ar-SA"/>
    </w:rPr>
  </w:style>
  <w:style w:type="paragraph" w:customStyle="1" w:styleId="6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0">
    <w:name w:val="List Paragraph"/>
    <w:basedOn w:val="1"/>
    <w:qFormat/>
    <w:uiPriority w:val="34"/>
    <w:pPr>
      <w:ind w:firstLine="420" w:firstLineChars="200"/>
    </w:pPr>
    <w:rPr>
      <w:rFonts w:ascii="Calibri" w:hAnsi="Calibri"/>
      <w:szCs w:val="22"/>
    </w:rPr>
  </w:style>
  <w:style w:type="paragraph" w:customStyle="1" w:styleId="71">
    <w:name w:val="USE 1"/>
    <w:basedOn w:val="1"/>
    <w:qFormat/>
    <w:uiPriority w:val="0"/>
    <w:pPr>
      <w:spacing w:line="200" w:lineRule="atLeast"/>
      <w:jc w:val="left"/>
    </w:pPr>
    <w:rPr>
      <w:rFonts w:ascii="宋体" w:hAnsi="宋体"/>
      <w:b/>
      <w:sz w:val="24"/>
      <w:szCs w:val="28"/>
    </w:rPr>
  </w:style>
  <w:style w:type="paragraph" w:customStyle="1" w:styleId="72">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3">
    <w:name w:val="正文文字缩进项目"/>
    <w:basedOn w:val="20"/>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4">
    <w:name w:val="样式 标题 2 + 段前: 13 磅 段后: 13 磅 行距: 单倍行距"/>
    <w:basedOn w:val="7"/>
    <w:qFormat/>
    <w:uiPriority w:val="0"/>
    <w:pPr>
      <w:adjustRightInd/>
      <w:spacing w:before="0" w:after="0"/>
      <w:jc w:val="both"/>
      <w:textAlignment w:val="auto"/>
    </w:pPr>
    <w:rPr>
      <w:rFonts w:ascii="Cambria" w:hAnsi="Cambria" w:cs="宋体"/>
      <w:kern w:val="2"/>
      <w:sz w:val="32"/>
    </w:rPr>
  </w:style>
  <w:style w:type="character" w:customStyle="1" w:styleId="75">
    <w:name w:val="H4 Char2"/>
    <w:qFormat/>
    <w:uiPriority w:val="0"/>
    <w:rPr>
      <w:rFonts w:ascii="Arial" w:hAnsi="Arial" w:eastAsia="黑体"/>
      <w:b/>
      <w:bCs/>
      <w:kern w:val="2"/>
      <w:sz w:val="28"/>
      <w:szCs w:val="28"/>
      <w:lang w:val="en-US" w:eastAsia="zh-CN" w:bidi="ar-SA"/>
    </w:rPr>
  </w:style>
  <w:style w:type="character" w:customStyle="1" w:styleId="76">
    <w:name w:val="正文文本缩进 字符"/>
    <w:link w:val="20"/>
    <w:qFormat/>
    <w:uiPriority w:val="0"/>
    <w:rPr>
      <w:rFonts w:eastAsia="宋体"/>
      <w:kern w:val="2"/>
      <w:sz w:val="21"/>
      <w:szCs w:val="24"/>
      <w:lang w:val="en-US" w:eastAsia="zh-CN" w:bidi="ar-SA"/>
    </w:rPr>
  </w:style>
  <w:style w:type="character" w:customStyle="1" w:styleId="77">
    <w:name w:val="标题 5 字符"/>
    <w:link w:val="8"/>
    <w:qFormat/>
    <w:uiPriority w:val="0"/>
    <w:rPr>
      <w:rFonts w:eastAsia="宋体"/>
      <w:b/>
      <w:kern w:val="2"/>
      <w:sz w:val="28"/>
      <w:lang w:val="en-US" w:eastAsia="zh-CN" w:bidi="ar-SA"/>
    </w:rPr>
  </w:style>
  <w:style w:type="character" w:customStyle="1" w:styleId="78">
    <w:name w:val="第*章 Char"/>
    <w:qFormat/>
    <w:uiPriority w:val="0"/>
    <w:rPr>
      <w:rFonts w:ascii="Arial" w:hAnsi="Arial" w:eastAsia="黑体"/>
      <w:b/>
      <w:bCs/>
      <w:kern w:val="2"/>
      <w:sz w:val="32"/>
      <w:szCs w:val="32"/>
    </w:rPr>
  </w:style>
  <w:style w:type="character" w:customStyle="1" w:styleId="79">
    <w:name w:val="章标题1 Char"/>
    <w:qFormat/>
    <w:uiPriority w:val="0"/>
    <w:rPr>
      <w:rFonts w:eastAsia="宋体"/>
      <w:b/>
      <w:bCs/>
      <w:kern w:val="2"/>
      <w:sz w:val="32"/>
      <w:szCs w:val="32"/>
      <w:lang w:val="en-US" w:eastAsia="zh-CN" w:bidi="ar-SA"/>
    </w:rPr>
  </w:style>
  <w:style w:type="character" w:customStyle="1" w:styleId="80">
    <w:name w:val="标题 6 字符"/>
    <w:link w:val="10"/>
    <w:qFormat/>
    <w:uiPriority w:val="0"/>
    <w:rPr>
      <w:rFonts w:ascii="Arial" w:hAnsi="Arial" w:eastAsia="黑体"/>
      <w:b/>
      <w:kern w:val="2"/>
      <w:sz w:val="24"/>
      <w:lang w:val="en-US" w:eastAsia="zh-CN" w:bidi="ar-SA"/>
    </w:rPr>
  </w:style>
  <w:style w:type="character" w:customStyle="1" w:styleId="81">
    <w:name w:val="标题 7 字符"/>
    <w:link w:val="11"/>
    <w:qFormat/>
    <w:uiPriority w:val="0"/>
    <w:rPr>
      <w:rFonts w:eastAsia="宋体"/>
      <w:b/>
      <w:kern w:val="2"/>
      <w:sz w:val="24"/>
      <w:lang w:val="en-US" w:eastAsia="zh-CN" w:bidi="ar-SA"/>
    </w:rPr>
  </w:style>
  <w:style w:type="character" w:customStyle="1" w:styleId="82">
    <w:name w:val="标题 8 字符"/>
    <w:link w:val="12"/>
    <w:qFormat/>
    <w:uiPriority w:val="0"/>
    <w:rPr>
      <w:rFonts w:ascii="Arial" w:hAnsi="Arial" w:eastAsia="黑体"/>
      <w:kern w:val="2"/>
      <w:sz w:val="24"/>
      <w:lang w:val="en-US" w:eastAsia="zh-CN" w:bidi="ar-SA"/>
    </w:rPr>
  </w:style>
  <w:style w:type="character" w:customStyle="1" w:styleId="83">
    <w:name w:val="标题 9 字符"/>
    <w:link w:val="13"/>
    <w:qFormat/>
    <w:uiPriority w:val="0"/>
    <w:rPr>
      <w:rFonts w:ascii="Arial" w:hAnsi="Arial" w:eastAsia="黑体"/>
      <w:kern w:val="2"/>
      <w:sz w:val="21"/>
      <w:lang w:val="en-US" w:eastAsia="zh-CN" w:bidi="ar-SA"/>
    </w:rPr>
  </w:style>
  <w:style w:type="character" w:customStyle="1" w:styleId="84">
    <w:name w:val="标题 字符"/>
    <w:link w:val="39"/>
    <w:qFormat/>
    <w:uiPriority w:val="0"/>
    <w:rPr>
      <w:rFonts w:ascii="Arial" w:hAnsi="Arial" w:eastAsia="隶书" w:cs="Arial"/>
      <w:b/>
      <w:bCs/>
      <w:kern w:val="2"/>
      <w:sz w:val="32"/>
      <w:szCs w:val="32"/>
      <w:lang w:val="en-US" w:eastAsia="zh-CN" w:bidi="ar-SA"/>
    </w:rPr>
  </w:style>
  <w:style w:type="character" w:customStyle="1" w:styleId="85">
    <w:name w:val="日期 字符"/>
    <w:link w:val="25"/>
    <w:qFormat/>
    <w:uiPriority w:val="0"/>
    <w:rPr>
      <w:rFonts w:ascii="宋体" w:hAnsi="Courier New" w:eastAsia="宋体"/>
      <w:kern w:val="2"/>
      <w:sz w:val="32"/>
      <w:lang w:val="en-US" w:eastAsia="zh-CN" w:bidi="ar-SA"/>
    </w:rPr>
  </w:style>
  <w:style w:type="character" w:customStyle="1" w:styleId="86">
    <w:name w:val="HTML 预设格式 字符"/>
    <w:link w:val="36"/>
    <w:qFormat/>
    <w:uiPriority w:val="0"/>
    <w:rPr>
      <w:rFonts w:ascii="Arial Unicode MS" w:hAnsi="Arial Unicode MS" w:eastAsia="Arial Unicode MS"/>
      <w:color w:val="000000"/>
      <w:lang w:val="en-US" w:eastAsia="zh-CN" w:bidi="ar-SA"/>
    </w:rPr>
  </w:style>
  <w:style w:type="character" w:customStyle="1" w:styleId="87">
    <w:name w:val="纯文本 字符"/>
    <w:link w:val="23"/>
    <w:qFormat/>
    <w:uiPriority w:val="0"/>
    <w:rPr>
      <w:rFonts w:ascii="宋体" w:hAnsi="Courier New" w:eastAsia="宋体"/>
      <w:kern w:val="2"/>
      <w:sz w:val="21"/>
      <w:lang w:val="en-US" w:eastAsia="zh-CN" w:bidi="ar-SA"/>
    </w:rPr>
  </w:style>
  <w:style w:type="character" w:customStyle="1" w:styleId="88">
    <w:name w:val="正文文字首行缩进 Char"/>
    <w:qFormat/>
    <w:uiPriority w:val="0"/>
    <w:rPr>
      <w:kern w:val="2"/>
      <w:sz w:val="21"/>
      <w:szCs w:val="24"/>
    </w:rPr>
  </w:style>
  <w:style w:type="character" w:customStyle="1" w:styleId="89">
    <w:name w:val="正文文本 字符"/>
    <w:link w:val="2"/>
    <w:qFormat/>
    <w:uiPriority w:val="0"/>
    <w:rPr>
      <w:rFonts w:eastAsia="宋体"/>
      <w:b/>
      <w:bCs/>
      <w:kern w:val="2"/>
      <w:sz w:val="24"/>
      <w:szCs w:val="24"/>
      <w:lang w:val="en-US" w:eastAsia="zh-CN" w:bidi="ar-SA"/>
    </w:rPr>
  </w:style>
  <w:style w:type="character" w:customStyle="1" w:styleId="90">
    <w:name w:val="正文文本缩进 2 字符"/>
    <w:link w:val="26"/>
    <w:qFormat/>
    <w:uiPriority w:val="0"/>
    <w:rPr>
      <w:rFonts w:ascii="宋体" w:hAnsi="宋体" w:eastAsia="宋体"/>
      <w:kern w:val="2"/>
      <w:sz w:val="21"/>
      <w:szCs w:val="24"/>
      <w:lang w:val="en-US" w:eastAsia="zh-CN" w:bidi="ar-SA"/>
    </w:rPr>
  </w:style>
  <w:style w:type="character" w:customStyle="1" w:styleId="91">
    <w:name w:val="页眉 字符"/>
    <w:link w:val="29"/>
    <w:qFormat/>
    <w:uiPriority w:val="99"/>
    <w:rPr>
      <w:rFonts w:eastAsia="宋体"/>
      <w:kern w:val="2"/>
      <w:sz w:val="18"/>
      <w:szCs w:val="18"/>
      <w:lang w:val="en-US" w:eastAsia="zh-CN" w:bidi="ar-SA"/>
    </w:rPr>
  </w:style>
  <w:style w:type="character" w:customStyle="1" w:styleId="92">
    <w:name w:val="正文文本缩进 3 字符"/>
    <w:link w:val="33"/>
    <w:qFormat/>
    <w:uiPriority w:val="0"/>
    <w:rPr>
      <w:rFonts w:ascii="宋体" w:eastAsia="宋体"/>
      <w:b/>
      <w:bCs/>
      <w:kern w:val="2"/>
      <w:sz w:val="24"/>
      <w:szCs w:val="24"/>
      <w:lang w:val="en-US" w:eastAsia="zh-CN" w:bidi="ar-SA"/>
    </w:rPr>
  </w:style>
  <w:style w:type="character" w:customStyle="1" w:styleId="93">
    <w:name w:val="正文文本 2 字符"/>
    <w:link w:val="3"/>
    <w:qFormat/>
    <w:uiPriority w:val="0"/>
    <w:rPr>
      <w:rFonts w:eastAsia="宋体"/>
      <w:kern w:val="2"/>
      <w:sz w:val="24"/>
      <w:szCs w:val="24"/>
      <w:lang w:val="en-US" w:eastAsia="zh-CN" w:bidi="ar-SA"/>
    </w:rPr>
  </w:style>
  <w:style w:type="character" w:customStyle="1" w:styleId="94">
    <w:name w:val="页脚 字符"/>
    <w:link w:val="28"/>
    <w:qFormat/>
    <w:uiPriority w:val="0"/>
    <w:rPr>
      <w:rFonts w:eastAsia="宋体"/>
      <w:kern w:val="2"/>
      <w:sz w:val="18"/>
      <w:szCs w:val="18"/>
      <w:lang w:val="en-US" w:eastAsia="zh-CN" w:bidi="ar-SA"/>
    </w:rPr>
  </w:style>
  <w:style w:type="character" w:customStyle="1" w:styleId="95">
    <w:name w:val="正文文本 3 字符"/>
    <w:link w:val="19"/>
    <w:qFormat/>
    <w:uiPriority w:val="0"/>
    <w:rPr>
      <w:rFonts w:eastAsia="宋体"/>
      <w:kern w:val="2"/>
      <w:sz w:val="16"/>
      <w:szCs w:val="16"/>
      <w:lang w:val="en-US" w:eastAsia="zh-CN" w:bidi="ar-SA"/>
    </w:rPr>
  </w:style>
  <w:style w:type="character" w:customStyle="1" w:styleId="96">
    <w:name w:val="批注框文本 字符"/>
    <w:link w:val="27"/>
    <w:semiHidden/>
    <w:qFormat/>
    <w:uiPriority w:val="99"/>
    <w:rPr>
      <w:rFonts w:eastAsia="宋体"/>
      <w:kern w:val="2"/>
      <w:sz w:val="18"/>
      <w:szCs w:val="18"/>
      <w:lang w:val="en-US" w:eastAsia="zh-CN" w:bidi="ar-SA"/>
    </w:rPr>
  </w:style>
  <w:style w:type="paragraph" w:customStyle="1" w:styleId="97">
    <w:name w:val="样式1"/>
    <w:basedOn w:val="39"/>
    <w:qFormat/>
    <w:uiPriority w:val="0"/>
    <w:pPr>
      <w:spacing w:before="120" w:after="120"/>
    </w:pPr>
    <w:rPr>
      <w:rFonts w:eastAsia="黑体"/>
      <w:b w:val="0"/>
      <w:sz w:val="30"/>
      <w:szCs w:val="21"/>
    </w:rPr>
  </w:style>
  <w:style w:type="paragraph" w:customStyle="1" w:styleId="98">
    <w:name w:val="样式2"/>
    <w:basedOn w:val="39"/>
    <w:next w:val="97"/>
    <w:qFormat/>
    <w:uiPriority w:val="0"/>
    <w:pPr>
      <w:spacing w:before="120" w:after="120"/>
    </w:pPr>
    <w:rPr>
      <w:rFonts w:eastAsia="黑体"/>
      <w:b w:val="0"/>
      <w:sz w:val="30"/>
      <w:szCs w:val="30"/>
    </w:rPr>
  </w:style>
  <w:style w:type="character" w:customStyle="1" w:styleId="99">
    <w:name w:val="标题 3 Char Char"/>
    <w:qFormat/>
    <w:uiPriority w:val="0"/>
    <w:rPr>
      <w:rFonts w:eastAsia="宋体"/>
      <w:b/>
      <w:bCs/>
      <w:kern w:val="2"/>
      <w:sz w:val="32"/>
      <w:szCs w:val="32"/>
      <w:lang w:val="en-US" w:eastAsia="zh-CN" w:bidi="ar-SA"/>
    </w:rPr>
  </w:style>
  <w:style w:type="paragraph" w:customStyle="1" w:styleId="100">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1">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2">
    <w:name w:val="--规划正文"/>
    <w:basedOn w:val="1"/>
    <w:qFormat/>
    <w:uiPriority w:val="0"/>
    <w:pPr>
      <w:spacing w:line="360" w:lineRule="auto"/>
      <w:ind w:firstLine="200" w:firstLineChars="200"/>
    </w:pPr>
    <w:rPr>
      <w:szCs w:val="20"/>
    </w:rPr>
  </w:style>
  <w:style w:type="paragraph" w:customStyle="1" w:styleId="103">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4">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05">
    <w:name w:val="样式4"/>
    <w:basedOn w:val="1"/>
    <w:qFormat/>
    <w:uiPriority w:val="0"/>
    <w:pPr>
      <w:tabs>
        <w:tab w:val="left" w:pos="842"/>
      </w:tabs>
      <w:spacing w:line="360" w:lineRule="auto"/>
      <w:ind w:left="842" w:hanging="420"/>
    </w:pPr>
    <w:rPr>
      <w:sz w:val="24"/>
    </w:rPr>
  </w:style>
  <w:style w:type="paragraph" w:customStyle="1" w:styleId="106">
    <w:name w:val="文字"/>
    <w:basedOn w:val="1"/>
    <w:qFormat/>
    <w:uiPriority w:val="0"/>
    <w:pPr>
      <w:tabs>
        <w:tab w:val="left" w:pos="8520"/>
      </w:tabs>
      <w:spacing w:line="312" w:lineRule="auto"/>
      <w:ind w:right="-210" w:firstLine="556"/>
    </w:pPr>
    <w:rPr>
      <w:rFonts w:ascii="宋体"/>
      <w:sz w:val="28"/>
      <w:szCs w:val="20"/>
    </w:rPr>
  </w:style>
  <w:style w:type="paragraph" w:customStyle="1" w:styleId="107">
    <w:name w:val="--规划-表格-居左"/>
    <w:basedOn w:val="102"/>
    <w:qFormat/>
    <w:uiPriority w:val="0"/>
    <w:pPr>
      <w:spacing w:line="240" w:lineRule="auto"/>
      <w:ind w:firstLine="0" w:firstLineChars="0"/>
    </w:pPr>
    <w:rPr>
      <w:sz w:val="20"/>
    </w:rPr>
  </w:style>
  <w:style w:type="paragraph" w:customStyle="1" w:styleId="108">
    <w:name w:val="--规划-表格-居中"/>
    <w:basedOn w:val="102"/>
    <w:qFormat/>
    <w:uiPriority w:val="0"/>
    <w:pPr>
      <w:spacing w:line="240" w:lineRule="auto"/>
      <w:ind w:firstLine="0" w:firstLineChars="0"/>
      <w:jc w:val="center"/>
    </w:pPr>
    <w:rPr>
      <w:sz w:val="20"/>
    </w:rPr>
  </w:style>
  <w:style w:type="paragraph" w:customStyle="1" w:styleId="109">
    <w:name w:val="--编号内缩进"/>
    <w:basedOn w:val="1"/>
    <w:qFormat/>
    <w:uiPriority w:val="0"/>
    <w:pPr>
      <w:spacing w:line="360" w:lineRule="auto"/>
      <w:ind w:left="420" w:firstLine="200" w:firstLineChars="200"/>
    </w:pPr>
    <w:rPr>
      <w:szCs w:val="21"/>
    </w:rPr>
  </w:style>
  <w:style w:type="paragraph" w:customStyle="1" w:styleId="110">
    <w:name w:val="--规划-题注"/>
    <w:basedOn w:val="1"/>
    <w:next w:val="102"/>
    <w:qFormat/>
    <w:uiPriority w:val="0"/>
    <w:pPr>
      <w:spacing w:line="360" w:lineRule="auto"/>
      <w:jc w:val="center"/>
    </w:pPr>
    <w:rPr>
      <w:rFonts w:eastAsia="黑体"/>
    </w:rPr>
  </w:style>
  <w:style w:type="paragraph" w:customStyle="1" w:styleId="111">
    <w:name w:val="--规划-图和表"/>
    <w:next w:val="102"/>
    <w:qFormat/>
    <w:uiPriority w:val="0"/>
    <w:pPr>
      <w:jc w:val="center"/>
    </w:pPr>
    <w:rPr>
      <w:rFonts w:ascii="Times New Roman" w:hAnsi="Times New Roman" w:eastAsia="宋体" w:cs="Times New Roman"/>
      <w:kern w:val="2"/>
      <w:sz w:val="21"/>
      <w:lang w:val="en-US" w:eastAsia="zh-CN" w:bidi="ar-SA"/>
    </w:rPr>
  </w:style>
  <w:style w:type="paragraph" w:customStyle="1" w:styleId="112">
    <w:name w:val="--规划-小标题"/>
    <w:basedOn w:val="1"/>
    <w:next w:val="102"/>
    <w:qFormat/>
    <w:uiPriority w:val="0"/>
    <w:pPr>
      <w:keepNext/>
      <w:keepLines/>
      <w:spacing w:line="360" w:lineRule="auto"/>
      <w:outlineLvl w:val="4"/>
    </w:pPr>
    <w:rPr>
      <w:rFonts w:eastAsia="黑体"/>
    </w:rPr>
  </w:style>
  <w:style w:type="paragraph" w:customStyle="1" w:styleId="113">
    <w:name w:val="--规划正文 Char"/>
    <w:basedOn w:val="1"/>
    <w:qFormat/>
    <w:uiPriority w:val="0"/>
    <w:pPr>
      <w:spacing w:line="360" w:lineRule="auto"/>
      <w:ind w:firstLine="200" w:firstLineChars="200"/>
    </w:pPr>
    <w:rPr>
      <w:sz w:val="24"/>
    </w:rPr>
  </w:style>
  <w:style w:type="paragraph" w:customStyle="1" w:styleId="114">
    <w:name w:val="缺省文本"/>
    <w:basedOn w:val="1"/>
    <w:qFormat/>
    <w:uiPriority w:val="0"/>
    <w:pPr>
      <w:autoSpaceDE w:val="0"/>
      <w:autoSpaceDN w:val="0"/>
      <w:adjustRightInd w:val="0"/>
      <w:jc w:val="left"/>
    </w:pPr>
    <w:rPr>
      <w:kern w:val="0"/>
    </w:rPr>
  </w:style>
  <w:style w:type="paragraph" w:customStyle="1" w:styleId="115">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16">
    <w:name w:val="--规划正文 Char Char"/>
    <w:qFormat/>
    <w:uiPriority w:val="0"/>
    <w:rPr>
      <w:rFonts w:eastAsia="宋体"/>
      <w:kern w:val="2"/>
      <w:sz w:val="24"/>
      <w:szCs w:val="24"/>
      <w:lang w:val="en-US" w:eastAsia="zh-CN" w:bidi="ar-SA"/>
    </w:rPr>
  </w:style>
  <w:style w:type="paragraph" w:customStyle="1" w:styleId="117">
    <w:name w:val="样式3"/>
    <w:basedOn w:val="4"/>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18">
    <w:name w:val="--规划正文 Char1"/>
    <w:qFormat/>
    <w:uiPriority w:val="0"/>
    <w:rPr>
      <w:rFonts w:eastAsia="宋体"/>
      <w:kern w:val="2"/>
      <w:sz w:val="21"/>
      <w:lang w:val="en-US" w:eastAsia="zh-CN" w:bidi="ar-SA"/>
    </w:rPr>
  </w:style>
  <w:style w:type="paragraph" w:customStyle="1" w:styleId="119">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0">
    <w:name w:val="列表项目"/>
    <w:basedOn w:val="1"/>
    <w:qFormat/>
    <w:uiPriority w:val="0"/>
    <w:pPr>
      <w:tabs>
        <w:tab w:val="left" w:pos="420"/>
        <w:tab w:val="left" w:pos="1080"/>
      </w:tabs>
      <w:spacing w:line="288" w:lineRule="auto"/>
      <w:ind w:left="1080" w:hanging="360"/>
    </w:pPr>
    <w:rPr>
      <w:sz w:val="24"/>
      <w:szCs w:val="20"/>
    </w:rPr>
  </w:style>
  <w:style w:type="character" w:customStyle="1" w:styleId="121">
    <w:name w:val="content1"/>
    <w:qFormat/>
    <w:uiPriority w:val="0"/>
    <w:rPr>
      <w:rFonts w:hint="default" w:ascii="??" w:hAnsi="??"/>
      <w:sz w:val="16"/>
      <w:szCs w:val="16"/>
      <w:u w:val="none"/>
    </w:rPr>
  </w:style>
  <w:style w:type="character" w:customStyle="1" w:styleId="122">
    <w:name w:val="unnamed4"/>
    <w:basedOn w:val="44"/>
    <w:qFormat/>
    <w:uiPriority w:val="0"/>
  </w:style>
  <w:style w:type="character" w:customStyle="1" w:styleId="123">
    <w:name w:val="font2"/>
    <w:basedOn w:val="44"/>
    <w:qFormat/>
    <w:uiPriority w:val="0"/>
  </w:style>
  <w:style w:type="character" w:customStyle="1" w:styleId="124">
    <w:name w:val="font41"/>
    <w:qFormat/>
    <w:uiPriority w:val="0"/>
    <w:rPr>
      <w:color w:val="000000"/>
      <w:spacing w:val="260"/>
      <w:sz w:val="18"/>
      <w:szCs w:val="18"/>
      <w:u w:val="none"/>
    </w:rPr>
  </w:style>
  <w:style w:type="paragraph" w:customStyle="1" w:styleId="125">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6">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27">
    <w:name w:val="正文文本首行缩进 字符"/>
    <w:link w:val="41"/>
    <w:qFormat/>
    <w:uiPriority w:val="0"/>
    <w:rPr>
      <w:rFonts w:eastAsia="宋体"/>
      <w:b/>
      <w:bCs/>
      <w:kern w:val="2"/>
      <w:sz w:val="21"/>
      <w:szCs w:val="24"/>
      <w:lang w:val="en-US" w:eastAsia="zh-CN" w:bidi="ar-SA"/>
    </w:rPr>
  </w:style>
  <w:style w:type="paragraph" w:customStyle="1" w:styleId="128">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29">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0">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1">
    <w:name w:val="mode"/>
    <w:basedOn w:val="44"/>
    <w:qFormat/>
    <w:uiPriority w:val="0"/>
  </w:style>
  <w:style w:type="paragraph" w:customStyle="1" w:styleId="132">
    <w:name w:val="9"/>
    <w:basedOn w:val="1"/>
    <w:next w:val="9"/>
    <w:qFormat/>
    <w:uiPriority w:val="0"/>
    <w:pPr>
      <w:autoSpaceDE w:val="0"/>
      <w:autoSpaceDN w:val="0"/>
      <w:adjustRightInd w:val="0"/>
      <w:ind w:firstLine="420"/>
      <w:jc w:val="left"/>
      <w:textAlignment w:val="baseline"/>
    </w:pPr>
    <w:rPr>
      <w:rFonts w:ascii="宋体"/>
      <w:kern w:val="0"/>
      <w:sz w:val="34"/>
      <w:szCs w:val="20"/>
    </w:rPr>
  </w:style>
  <w:style w:type="character" w:customStyle="1" w:styleId="133">
    <w:name w:val="unnamed3"/>
    <w:basedOn w:val="44"/>
    <w:qFormat/>
    <w:uiPriority w:val="0"/>
  </w:style>
  <w:style w:type="paragraph" w:customStyle="1" w:styleId="134">
    <w:name w:val="8"/>
    <w:basedOn w:val="1"/>
    <w:next w:val="20"/>
    <w:qFormat/>
    <w:uiPriority w:val="0"/>
    <w:pPr>
      <w:spacing w:after="120"/>
      <w:ind w:left="420" w:leftChars="200"/>
    </w:pPr>
  </w:style>
  <w:style w:type="paragraph" w:customStyle="1" w:styleId="135">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36">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37">
    <w:name w:val="5"/>
    <w:basedOn w:val="1"/>
    <w:qFormat/>
    <w:uiPriority w:val="0"/>
    <w:pPr>
      <w:autoSpaceDE w:val="0"/>
      <w:autoSpaceDN w:val="0"/>
      <w:adjustRightInd w:val="0"/>
      <w:jc w:val="left"/>
    </w:pPr>
    <w:rPr>
      <w:rFonts w:ascii="宋体"/>
      <w:b/>
      <w:bCs/>
      <w:kern w:val="0"/>
      <w:sz w:val="18"/>
      <w:szCs w:val="18"/>
    </w:rPr>
  </w:style>
  <w:style w:type="paragraph" w:customStyle="1" w:styleId="138">
    <w:name w:val="6"/>
    <w:basedOn w:val="137"/>
    <w:qFormat/>
    <w:uiPriority w:val="0"/>
    <w:pPr>
      <w:spacing w:line="270" w:lineRule="atLeast"/>
      <w:jc w:val="both"/>
    </w:pPr>
    <w:rPr>
      <w:b w:val="0"/>
      <w:bCs w:val="0"/>
    </w:rPr>
  </w:style>
  <w:style w:type="paragraph" w:customStyle="1" w:styleId="139">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0">
    <w:name w:val="姜文清定义的正文"/>
    <w:basedOn w:val="1"/>
    <w:qFormat/>
    <w:uiPriority w:val="0"/>
    <w:pPr>
      <w:spacing w:line="240" w:lineRule="atLeast"/>
      <w:ind w:firstLine="567"/>
    </w:pPr>
    <w:rPr>
      <w:szCs w:val="20"/>
    </w:rPr>
  </w:style>
  <w:style w:type="paragraph" w:customStyle="1" w:styleId="141">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2">
    <w:name w:val="CM2"/>
    <w:basedOn w:val="141"/>
    <w:next w:val="141"/>
    <w:qFormat/>
    <w:uiPriority w:val="0"/>
    <w:pPr>
      <w:spacing w:line="200" w:lineRule="atLeast"/>
    </w:pPr>
    <w:rPr>
      <w:rFonts w:ascii="Arial" w:hAnsi="Arial" w:eastAsia="宋体" w:cs="Times New Roman"/>
      <w:color w:val="auto"/>
    </w:rPr>
  </w:style>
  <w:style w:type="paragraph" w:customStyle="1" w:styleId="143">
    <w:name w:val="Normal Paragraph"/>
    <w:basedOn w:val="1"/>
    <w:qFormat/>
    <w:uiPriority w:val="0"/>
    <w:pPr>
      <w:widowControl/>
      <w:spacing w:before="120" w:line="360" w:lineRule="auto"/>
      <w:ind w:firstLine="425"/>
    </w:pPr>
    <w:rPr>
      <w:kern w:val="0"/>
      <w:sz w:val="24"/>
    </w:rPr>
  </w:style>
  <w:style w:type="character" w:customStyle="1" w:styleId="144">
    <w:name w:val="blue"/>
    <w:basedOn w:val="44"/>
    <w:qFormat/>
    <w:uiPriority w:val="0"/>
  </w:style>
  <w:style w:type="paragraph" w:customStyle="1" w:styleId="145">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6">
    <w:name w:val="font"/>
    <w:basedOn w:val="44"/>
    <w:qFormat/>
    <w:uiPriority w:val="0"/>
  </w:style>
  <w:style w:type="character" w:customStyle="1" w:styleId="147">
    <w:name w:val="font11"/>
    <w:qFormat/>
    <w:uiPriority w:val="0"/>
    <w:rPr>
      <w:rFonts w:hint="default" w:ascii="ˎ̥" w:hAnsi="ˎ̥"/>
    </w:rPr>
  </w:style>
  <w:style w:type="paragraph" w:customStyle="1" w:styleId="148">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49">
    <w:name w:val="proddescription"/>
    <w:basedOn w:val="44"/>
    <w:qFormat/>
    <w:uiPriority w:val="0"/>
  </w:style>
  <w:style w:type="character" w:customStyle="1" w:styleId="150">
    <w:name w:val="prodheadlines"/>
    <w:basedOn w:val="44"/>
    <w:qFormat/>
    <w:uiPriority w:val="0"/>
  </w:style>
  <w:style w:type="character" w:customStyle="1" w:styleId="151">
    <w:name w:val="text"/>
    <w:basedOn w:val="44"/>
    <w:qFormat/>
    <w:uiPriority w:val="0"/>
  </w:style>
  <w:style w:type="paragraph" w:customStyle="1" w:styleId="152">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3">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54">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55">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6">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57">
    <w:name w:val="段落正文"/>
    <w:basedOn w:val="23"/>
    <w:qFormat/>
    <w:uiPriority w:val="0"/>
    <w:pPr>
      <w:ind w:firstLine="560" w:firstLineChars="200"/>
    </w:pPr>
    <w:rPr>
      <w:sz w:val="28"/>
    </w:rPr>
  </w:style>
  <w:style w:type="character" w:customStyle="1" w:styleId="158">
    <w:name w:val="gray6"/>
    <w:basedOn w:val="44"/>
    <w:qFormat/>
    <w:uiPriority w:val="0"/>
  </w:style>
  <w:style w:type="character" w:customStyle="1" w:styleId="159">
    <w:name w:val="style9"/>
    <w:basedOn w:val="44"/>
    <w:qFormat/>
    <w:uiPriority w:val="0"/>
  </w:style>
  <w:style w:type="paragraph" w:customStyle="1" w:styleId="160">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1">
    <w:name w:val="grame"/>
    <w:basedOn w:val="44"/>
    <w:qFormat/>
    <w:uiPriority w:val="0"/>
  </w:style>
  <w:style w:type="paragraph" w:customStyle="1" w:styleId="162">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3">
    <w:name w:val="Char1"/>
    <w:basedOn w:val="1"/>
    <w:qFormat/>
    <w:uiPriority w:val="0"/>
    <w:pPr>
      <w:jc w:val="left"/>
    </w:pPr>
    <w:rPr>
      <w:rFonts w:ascii="Tahoma" w:hAnsi="Tahoma"/>
      <w:sz w:val="24"/>
      <w:szCs w:val="20"/>
    </w:rPr>
  </w:style>
  <w:style w:type="paragraph" w:customStyle="1" w:styleId="164">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5">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6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7">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68">
    <w:name w:val="font6"/>
    <w:basedOn w:val="1"/>
    <w:qFormat/>
    <w:uiPriority w:val="0"/>
    <w:pPr>
      <w:widowControl/>
      <w:spacing w:before="100" w:beforeAutospacing="1" w:after="100" w:afterAutospacing="1"/>
      <w:jc w:val="left"/>
    </w:pPr>
    <w:rPr>
      <w:kern w:val="0"/>
      <w:sz w:val="24"/>
    </w:rPr>
  </w:style>
  <w:style w:type="paragraph" w:customStyle="1" w:styleId="16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1">
    <w:name w:val="表格字"/>
    <w:basedOn w:val="1"/>
    <w:qFormat/>
    <w:uiPriority w:val="0"/>
    <w:pPr>
      <w:adjustRightInd w:val="0"/>
      <w:jc w:val="center"/>
    </w:pPr>
    <w:rPr>
      <w:rFonts w:ascii="宋体"/>
      <w:sz w:val="24"/>
      <w:szCs w:val="20"/>
    </w:rPr>
  </w:style>
  <w:style w:type="character" w:customStyle="1" w:styleId="172">
    <w:name w:val="样式 小三 加粗"/>
    <w:qFormat/>
    <w:uiPriority w:val="0"/>
    <w:rPr>
      <w:rFonts w:eastAsia="宋体"/>
      <w:b/>
      <w:bCs/>
      <w:sz w:val="32"/>
    </w:rPr>
  </w:style>
  <w:style w:type="paragraph" w:customStyle="1" w:styleId="17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4">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5">
    <w:name w:val="Char Char Char"/>
    <w:basedOn w:val="1"/>
    <w:qFormat/>
    <w:uiPriority w:val="0"/>
    <w:rPr>
      <w:rFonts w:ascii="Tahoma" w:hAnsi="Tahoma"/>
      <w:sz w:val="24"/>
      <w:szCs w:val="20"/>
    </w:rPr>
  </w:style>
  <w:style w:type="paragraph" w:customStyle="1" w:styleId="176">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7">
    <w:name w:val="info4"/>
    <w:basedOn w:val="44"/>
    <w:qFormat/>
    <w:uiPriority w:val="0"/>
  </w:style>
  <w:style w:type="paragraph" w:customStyle="1" w:styleId="178">
    <w:name w:val="缩进正文"/>
    <w:basedOn w:val="1"/>
    <w:link w:val="179"/>
    <w:qFormat/>
    <w:uiPriority w:val="0"/>
    <w:pPr>
      <w:ind w:firstLine="560" w:firstLineChars="200"/>
    </w:pPr>
    <w:rPr>
      <w:rFonts w:eastAsia="仿宋_GB2312" w:cs="宋体"/>
      <w:sz w:val="28"/>
      <w:szCs w:val="20"/>
    </w:rPr>
  </w:style>
  <w:style w:type="character" w:customStyle="1" w:styleId="179">
    <w:name w:val="缩进正文 Char"/>
    <w:link w:val="178"/>
    <w:qFormat/>
    <w:uiPriority w:val="0"/>
    <w:rPr>
      <w:rFonts w:eastAsia="仿宋_GB2312" w:cs="宋体"/>
      <w:kern w:val="2"/>
      <w:sz w:val="28"/>
      <w:lang w:val="en-US" w:eastAsia="zh-CN" w:bidi="ar-SA"/>
    </w:rPr>
  </w:style>
  <w:style w:type="paragraph" w:customStyle="1" w:styleId="180">
    <w:name w:val="列出段落1"/>
    <w:basedOn w:val="1"/>
    <w:qFormat/>
    <w:uiPriority w:val="0"/>
    <w:pPr>
      <w:ind w:firstLine="420" w:firstLineChars="200"/>
    </w:pPr>
    <w:rPr>
      <w:rFonts w:ascii="Calibri" w:hAnsi="Calibri" w:cs="Calibri"/>
      <w:szCs w:val="21"/>
    </w:rPr>
  </w:style>
  <w:style w:type="character" w:customStyle="1" w:styleId="181">
    <w:name w:val="批注文字 字符"/>
    <w:basedOn w:val="44"/>
    <w:link w:val="18"/>
    <w:qFormat/>
    <w:uiPriority w:val="99"/>
    <w:rPr>
      <w:rFonts w:ascii="宋体"/>
      <w:sz w:val="34"/>
    </w:rPr>
  </w:style>
  <w:style w:type="character" w:customStyle="1" w:styleId="182">
    <w:name w:val="批注主题 字符"/>
    <w:basedOn w:val="181"/>
    <w:link w:val="40"/>
    <w:qFormat/>
    <w:uiPriority w:val="99"/>
    <w:rPr>
      <w:rFonts w:ascii="宋体"/>
      <w:sz w:val="34"/>
    </w:rPr>
  </w:style>
  <w:style w:type="paragraph" w:customStyle="1" w:styleId="183">
    <w:name w:val="评价"/>
    <w:basedOn w:val="1"/>
    <w:qFormat/>
    <w:uiPriority w:val="0"/>
    <w:pPr>
      <w:spacing w:afterLines="20"/>
      <w:ind w:firstLine="1446" w:firstLineChars="200"/>
    </w:pPr>
    <w:rPr>
      <w:rFonts w:ascii="Calibri" w:hAnsi="Calibri"/>
      <w:sz w:val="24"/>
    </w:rPr>
  </w:style>
  <w:style w:type="paragraph" w:customStyle="1" w:styleId="184">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5">
    <w:name w:val="alt-edited1"/>
    <w:qFormat/>
    <w:uiPriority w:val="0"/>
    <w:rPr>
      <w:color w:val="4D90F0"/>
    </w:rPr>
  </w:style>
  <w:style w:type="character" w:customStyle="1" w:styleId="186">
    <w:name w:val="body text Char1"/>
    <w:qFormat/>
    <w:uiPriority w:val="0"/>
    <w:rPr>
      <w:rFonts w:eastAsia="宋体"/>
      <w:kern w:val="2"/>
      <w:sz w:val="21"/>
      <w:lang w:val="en-US" w:eastAsia="zh-CN" w:bidi="ar-SA"/>
    </w:rPr>
  </w:style>
  <w:style w:type="character" w:customStyle="1" w:styleId="187">
    <w:name w:val="普通(网站) 字符"/>
    <w:link w:val="37"/>
    <w:qFormat/>
    <w:uiPriority w:val="0"/>
    <w:rPr>
      <w:kern w:val="2"/>
      <w:sz w:val="24"/>
      <w:szCs w:val="24"/>
    </w:rPr>
  </w:style>
  <w:style w:type="character" w:customStyle="1" w:styleId="188">
    <w:name w:val="批注文字 Char1"/>
    <w:qFormat/>
    <w:uiPriority w:val="99"/>
    <w:rPr>
      <w:rFonts w:ascii="宋体"/>
      <w:sz w:val="34"/>
    </w:rPr>
  </w:style>
  <w:style w:type="character" w:customStyle="1" w:styleId="189">
    <w:name w:val="正文缩进 Char1"/>
    <w:qFormat/>
    <w:uiPriority w:val="0"/>
    <w:rPr>
      <w:rFonts w:eastAsia="宋体"/>
      <w:kern w:val="2"/>
      <w:sz w:val="21"/>
      <w:lang w:val="en-US" w:eastAsia="zh-CN" w:bidi="ar-SA"/>
    </w:rPr>
  </w:style>
  <w:style w:type="table" w:customStyle="1" w:styleId="190">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1">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19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3">
    <w:name w:val="Revision"/>
    <w:hidden/>
    <w:unhideWhenUsed/>
    <w:qFormat/>
    <w:uiPriority w:val="99"/>
    <w:rPr>
      <w:rFonts w:ascii="Times New Roman" w:hAnsi="Times New Roman" w:eastAsia="宋体" w:cs="Times New Roman"/>
      <w:kern w:val="2"/>
      <w:sz w:val="21"/>
      <w:szCs w:val="24"/>
      <w:lang w:val="en-US" w:eastAsia="zh-CN" w:bidi="ar-SA"/>
    </w:rPr>
  </w:style>
  <w:style w:type="table" w:customStyle="1" w:styleId="194">
    <w:name w:val="网格型2"/>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195">
    <w:name w:val="Table Paragraph"/>
    <w:basedOn w:val="1"/>
    <w:qFormat/>
    <w:uiPriority w:val="0"/>
  </w:style>
  <w:style w:type="paragraph" w:styleId="196">
    <w:name w:val="Quote"/>
    <w:next w:val="1"/>
    <w:qFormat/>
    <w:uiPriority w:val="99"/>
    <w:pPr>
      <w:widowControl w:val="0"/>
      <w:jc w:val="both"/>
    </w:pPr>
    <w:rPr>
      <w:rFonts w:ascii="Calibri" w:hAnsi="Calibri" w:eastAsia="宋体" w:cs="Calibri"/>
      <w:i/>
      <w:iCs/>
      <w:color w:val="000000"/>
      <w:kern w:val="2"/>
      <w:sz w:val="22"/>
      <w:szCs w:val="22"/>
      <w:lang w:val="en-US" w:eastAsia="zh-CN" w:bidi="ar-SA"/>
    </w:rPr>
  </w:style>
  <w:style w:type="paragraph" w:customStyle="1" w:styleId="197">
    <w:name w:val="z正文"/>
    <w:basedOn w:val="1"/>
    <w:qFormat/>
    <w:uiPriority w:val="0"/>
    <w:pPr>
      <w:widowControl/>
      <w:ind w:firstLine="480" w:firstLineChars="200"/>
      <w:jc w:val="left"/>
    </w:pPr>
    <w:rPr>
      <w:rFonts w:ascii="宋体" w:hAnsi="宋体"/>
      <w:kern w:val="0"/>
    </w:rPr>
  </w:style>
  <w:style w:type="character" w:customStyle="1" w:styleId="198">
    <w:name w:val="font51"/>
    <w:basedOn w:val="44"/>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2c02d6f6-9ff9-4e79-800c-2145d6bfe7a7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606CC9B1</paraID>
      <start xmlns="http://schemas.wps.cn/vas-ai-hub/contract-review">311</start>
      <end xmlns="http://schemas.wps.cn/vas-ai-hub/contract-review">316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de8c058f-4e7d-49c6-9524-d129e14744ab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7F684D2A</paraID>
      <start xmlns="http://schemas.wps.cn/vas-ai-hub/contract-review">39</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6fd9079b-242c-418f-aad0-f6677f5ee54f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7F684D2A</paraID>
      <start xmlns="http://schemas.wps.cn/vas-ai-hub/contract-review">47</start>
      <end xmlns="http://schemas.wps.cn/vas-ai-hub/contract-review">48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5262a739-24fe-4cfd-bcb0-75d63dfc2733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7F684D2A</paraID>
      <start xmlns="http://schemas.wps.cn/vas-ai-hub/contract-review">69</start>
      <end xmlns="http://schemas.wps.cn/vas-ai-hub/contract-review">70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dcbbe804-4616-4872-b075-e3a1953a90f1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7F684D2A</paraID>
      <start xmlns="http://schemas.wps.cn/vas-ai-hub/contract-review">74</start>
      <end xmlns="http://schemas.wps.cn/vas-ai-hub/contract-review">75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f1a6e77a-cda7-40cb-a0f1-0a2c8b95a2d6</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71CFE11B</paraID>
      <start xmlns="http://schemas.wps.cn/vas-ai-hub/contract-review">0</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c4ae7340-6846-408c-a4a0-f6b38ae1ddbd</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3DD10D4C</paraID>
      <start xmlns="http://schemas.wps.cn/vas-ai-hub/contract-review">50</start>
      <end xmlns="http://schemas.wps.cn/vas-ai-hub/contract-review">51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b7707c69-2161-4dfd-bc67-d609187ef059</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52E1CC93</paraID>
      <start xmlns="http://schemas.wps.cn/vas-ai-hub/contract-review">50</start>
      <end xmlns="http://schemas.wps.cn/vas-ai-hub/contract-review">51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e1b47c12-0d39-49e2-aab1-e611733571bd</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3A0EA8A5</paraID>
      <start xmlns="http://schemas.wps.cn/vas-ai-hub/contract-review">35</start>
      <end xmlns="http://schemas.wps.cn/vas-ai-hub/contract-review">36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f3a26d57-001d-41a3-b5e9-3c624b13d281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30436F07</paraID>
      <start xmlns="http://schemas.wps.cn/vas-ai-hub/contract-review">69</start>
      <end xmlns="http://schemas.wps.cn/vas-ai-hub/contract-review">70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adc4eb90-df6c-461e-9741-c6fd3f6ced40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2DB7DCB5</paraID>
      <start xmlns="http://schemas.wps.cn/vas-ai-hub/contract-review">75</start>
      <end xmlns="http://schemas.wps.cn/vas-ai-hub/contract-review">76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7e03051d-934f-465e-8fcf-84fd2947c55b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2DB7DCB5</paraID>
      <start xmlns="http://schemas.wps.cn/vas-ai-hub/contract-review">86</start>
      <end xmlns="http://schemas.wps.cn/vas-ai-hub/contract-review">87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62d1b021-f3c0-4910-ba5b-c47436803408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2DB7DCB5</paraID>
      <start xmlns="http://schemas.wps.cn/vas-ai-hub/contract-review">170</start>
      <end xmlns="http://schemas.wps.cn/vas-ai-hub/contract-review">171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bc377526-86f9-4e6b-8eff-31b5bfe3b5b5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2DB7DCB5</paraID>
      <start xmlns="http://schemas.wps.cn/vas-ai-hub/contract-review">184</start>
      <end xmlns="http://schemas.wps.cn/vas-ai-hub/contract-review">185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1c4162d6-1e86-4f27-b519-7cecd197d19c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54FF06CF</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096cd61c-ca56-4eff-9be9-fb72b4ce55dc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54FF06CF</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16d418be-1da1-4646-926a-eaa24bec7b42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15F6023</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bcdb7bea-aeed-4c05-9a6f-0ad4065b33db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15F6023</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2949f04a-f219-493f-b812-8e369654a056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2ED99857</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e03afdcc-076e-45df-90f1-9f2797814ca7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2ED99857</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ba147a90-c9c1-42e6-bf17-a8d1e20e550e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5B787F2B</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4f531740-4040-4c60-a195-349037476a70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5B787F2B</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dae69250-96fa-4a57-8fb3-45da3d8cb6d0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 17B2F47</paraID>
      <start xmlns="http://schemas.wps.cn/vas-ai-hub/contract-review">73</start>
      <end xmlns="http://schemas.wps.cn/vas-ai-hub/contract-review">74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a37f4d07-4a52-4e9d-8983-8dcfa463cf3e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5A6A80CD</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c04f4726-f3c3-43be-9426-1bd9564f0359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5A6A80CD</paraID>
      <start xmlns="http://schemas.wps.cn/vas-ai-hub/contract-review">6</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3e77225f-3e35-4ac3-97ba-1b0efbdf111b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495A8AB6</paraID>
      <start xmlns="http://schemas.wps.cn/vas-ai-hub/contract-review">78</start>
      <end xmlns="http://schemas.wps.cn/vas-ai-hub/contract-review">79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b44463cb-e53d-4fef-a85c-deffee044e05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8736334</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9eb4f0b5-8202-466f-afe3-a04e594be57e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F47DFEC</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80fe6b0f-377c-456f-b2cd-f97c1cc5fd03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7FF8F19B</paraID>
      <start xmlns="http://schemas.wps.cn/vas-ai-hub/contract-review">3</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47b37d64-943c-46e5-a330-72821240bdf3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7FF8F19B</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6d11bc9f-6046-4a7c-a191-980577f983c9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7FF8F19B</paraID>
      <start xmlns="http://schemas.wps.cn/vas-ai-hub/contract-review">128</start>
      <end xmlns="http://schemas.wps.cn/vas-ai-hub/contract-review">129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bb8e44f0-10da-4d50-907e-ae22ad2f8eb6</errorID>
      <errorWord xmlns="http://schemas.wps.cn/vas-ai-hub/contract-review">10%~20%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10%～20%</item>
      </candidateList>
      <explain xmlns="http://schemas.wps.cn/vas-ai-hub/contract-review">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23B14D6B</paraID>
      <start xmlns="http://schemas.wps.cn/vas-ai-hub/contract-review">70</start>
      <end xmlns="http://schemas.wps.cn/vas-ai-hub/contract-review">77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f888642a-05c1-4a99-a90c-c16cdb0b7c28</errorID>
      <errorWord xmlns="http://schemas.wps.cn/vas-ai-hub/contract-review">4%~6%</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4%～6%</item>
      </candidateList>
      <explain xmlns="http://schemas.wps.cn/vas-ai-hub/contract-review">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23B14D6B</paraID>
      <start xmlns="http://schemas.wps.cn/vas-ai-hub/contract-review">209</start>
      <end xmlns="http://schemas.wps.cn/vas-ai-hub/contract-review">214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04ac564f-a7de-471b-8452-02dd0d97135f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209C157</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8d033b7b-f623-4880-a38b-454f60e7469f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此处标点可能未正确匹配，请检查句子中是否存在标点冗余、缺失或使用错误的情况。</explain>
      <paraID xmlns="http://schemas.wps.cn/vas-ai-hub/contract-review">196B32C5</paraID>
      <start xmlns="http://schemas.wps.cn/vas-ai-hub/contract-review">115</start>
      <end xmlns="http://schemas.wps.cn/vas-ai-hub/contract-review">116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8c7e4f5d-72c6-421a-9c91-276a95df4ff8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5D54231A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3c30be9d-66af-4821-ad7f-355939481eb3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6CB4AADE</paraID>
      <start xmlns="http://schemas.wps.cn/vas-ai-hub/contract-review">161</start>
      <end xmlns="http://schemas.wps.cn/vas-ai-hub/contract-review">162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1cbfacf2-2bf4-435d-8785-c0b825a9bba4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439630B7</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3f33b7e5-2bd6-4d27-98ce-704757546b46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72871102</paraID>
      <start xmlns="http://schemas.wps.cn/vas-ai-hub/contract-review">16</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01587268-5055-4620-bf15-33edf5f554cc</errorID>
      <errorWord xmlns="http://schemas.wps.cn/vas-ai-hub/contract-review">100万以下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100万元以下</item>
      </candidateList>
      <explain xmlns="http://schemas.wps.cn/vas-ai-hub/contract-review"/>
      <paraID xmlns="http://schemas.wps.cn/vas-ai-hub/contract-review">646D6CE2</paraID>
      <start xmlns="http://schemas.wps.cn/vas-ai-hub/contract-review">9</start>
      <end xmlns="http://schemas.wps.cn/vas-ai-hub/contract-review">16</end>
      <status xmlns="http://schemas.wps.cn/vas-ai-hub/contract-review">modified</status>
      <modifiedWord xmlns="http://schemas.wps.cn/vas-ai-hub/contract-review">100万元以下</modifiedWord>
      <trackRevisions xmlns="http://schemas.wps.cn/vas-ai-hub/contract-review">false</trackRevisions>
    </reviewItem>
    <reviewItem xmlns="http://schemas.wps.cn/vas-ai-hub/contract-review">
      <errorID xmlns="http://schemas.wps.cn/vas-ai-hub/contract-review">2677f384-1699-4c0c-b9b9-b9dc3beeb129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6BA06389</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2cbd8c36-2724-485d-b95e-6605f6009344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34B47DED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ed0624eb-d7e0-479e-a041-111ff8c77706</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34B47DED</paraID>
      <start xmlns="http://schemas.wps.cn/vas-ai-hub/contract-review">24</start>
      <end xmlns="http://schemas.wps.cn/vas-ai-hub/contract-review">26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00b35df7-0bd4-41aa-b085-a806d4a97926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E0DBE69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32fed4f4-540c-4780-ade9-6b679b48c3cf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5148AAC7</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3f2a367c-e9c6-4ea3-98e4-ce9b2b13eac4</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15DFEF7B</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4921dded-e19d-4f77-805d-f7ec63f7c277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6F57F559</paraID>
      <start xmlns="http://schemas.wps.cn/vas-ai-hub/contract-review">0</start>
      <end xmlns="http://schemas.wps.cn/vas-ai-hub/contract-review">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37733db9-b7aa-490f-b39f-12f5ee95f54a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448B9934</paraID>
      <start xmlns="http://schemas.wps.cn/vas-ai-hub/contract-review">0</start>
      <end xmlns="http://schemas.wps.cn/vas-ai-hub/contract-review">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b1fae07d-3b0d-4a78-aadf-fe9bafd7b792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160C7E7F</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8e05b01e-41a6-4382-af9d-308abc8d1346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4D4D176E</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75849740-3be4-4bdc-a018-e3e18cc10adf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97B3524</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0a8db25f-7bf7-4d4d-ad38-56910bd2bf79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75691166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7bbd3bc1-a16f-4da2-913d-8dff75252075</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61D7FC35</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c57bb7fd-68d8-4903-bdb4-c99a49682f51</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1662F64A</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1dc5a6c3-2179-4662-812a-de00d7fd0d8e</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1662F64A</paraID>
      <start xmlns="http://schemas.wps.cn/vas-ai-hub/contract-review">26</start>
      <end xmlns="http://schemas.wps.cn/vas-ai-hub/contract-review">28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4794c154-e126-4108-a43f-169210516ea9</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F75767B</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7d76e331-3b51-4fb7-8caa-37cb5ce9bc02</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516F8D13</paraID>
      <start xmlns="http://schemas.wps.cn/vas-ai-hub/contract-review">122</start>
      <end xmlns="http://schemas.wps.cn/vas-ai-hub/contract-review">123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3b654c9a-3c7d-40be-908e-17cc6a58c2e4</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〉的通知》</item>
      </candidateList>
      <explain xmlns="http://schemas.wps.cn/vas-ai-hub/contract-review"/>
      <paraID xmlns="http://schemas.wps.cn/vas-ai-hub/contract-review">516F8D13</paraID>
      <start xmlns="http://schemas.wps.cn/vas-ai-hub/contract-review">141</start>
      <end xmlns="http://schemas.wps.cn/vas-ai-hub/contract-review">146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64e1a13d-21eb-4730-8e92-2b38c2b0f415</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597C9D36</paraID>
      <start xmlns="http://schemas.wps.cn/vas-ai-hub/contract-review">40</start>
      <end xmlns="http://schemas.wps.cn/vas-ai-hub/contract-review">41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a69e22dd-aac9-425d-8161-a37d256586d3</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〉的通知》</item>
      </candidateList>
      <explain xmlns="http://schemas.wps.cn/vas-ai-hub/contract-review"/>
      <paraID xmlns="http://schemas.wps.cn/vas-ai-hub/contract-review">597C9D36</paraID>
      <start xmlns="http://schemas.wps.cn/vas-ai-hub/contract-review">62</start>
      <end xmlns="http://schemas.wps.cn/vas-ai-hub/contract-review">67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368722e6-c614-49b5-86c4-831c766a1c13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 B6048A4</paraID>
      <start xmlns="http://schemas.wps.cn/vas-ai-hub/contract-review">36</start>
      <end xmlns="http://schemas.wps.cn/vas-ai-hub/contract-review">37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1e20ed1e-1abc-4da8-853d-5520617b79c3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 B6048A4</paraID>
      <start xmlns="http://schemas.wps.cn/vas-ai-hub/contract-review">45</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98a0b17f-6e49-4418-8eea-49e944cc7999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15D76601</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e37d5efc-f11d-46da-84c3-be0c19f03a73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2E7D9390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32119414-e9c8-4823-a245-f2141ade6740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7854E03D</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31bdc392-4675-4397-9cdc-89e0a753d227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45948407</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a2ab3c14-3cfb-4e48-babb-be290bb84307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217AD712</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8619a0ab-dc44-43e0-8fa5-8b47530e83a1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217AD712</paraID>
      <start xmlns="http://schemas.wps.cn/vas-ai-hub/contract-review">18</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65b13845-c896-4486-8972-57ac9f64a6a7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217AD712</paraID>
      <start xmlns="http://schemas.wps.cn/vas-ai-hub/contract-review">23</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34e61386-ca35-47d6-b85a-f68e489ef229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C47C672</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65c0bf5e-280f-4a8a-928e-307cdbe3387d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280314A6</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4bc87537-eb89-4d48-b194-6674f9d03deb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48201973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11acdd4d-6141-452b-8703-9770d29d592a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19382286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06323376-597c-488d-a5c1-4aa615d76bfb</errorID>
      <errorWord xmlns="http://schemas.wps.cn/vas-ai-hub/contract-review">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于以</item>
      </candidateList>
      <explain xmlns="http://schemas.wps.cn/vas-ai-hub/contract-review"/>
      <paraID xmlns="http://schemas.wps.cn/vas-ai-hub/contract-review">6D51034E</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1cbf3740-2b9c-420f-b869-0c3d033938de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7F1AF0AD</paraID>
      <start xmlns="http://schemas.wps.cn/vas-ai-hub/contract-review">59</start>
      <end xmlns="http://schemas.wps.cn/vas-ai-hub/contract-review">60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68d30c5b-01a0-4a91-ad46-2a30b5915f48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7F1AF0AD</paraID>
      <start xmlns="http://schemas.wps.cn/vas-ai-hub/contract-review">64</start>
      <end xmlns="http://schemas.wps.cn/vas-ai-hub/contract-review">65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f74fa7e1-f9dd-461e-ba30-0c2d24130fbb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7F1AF0AD</paraID>
      <start xmlns="http://schemas.wps.cn/vas-ai-hub/contract-review">92</start>
      <end xmlns="http://schemas.wps.cn/vas-ai-hub/contract-review">93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bc1f9e0e-33b9-4432-8f3b-83ebb5bcc4dd</errorID>
      <errorWord xmlns="http://schemas.wps.cn/vas-ai-hub/contract-review">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于以</item>
      </candidateList>
      <explain xmlns="http://schemas.wps.cn/vas-ai-hub/contract-review"/>
      <paraID xmlns="http://schemas.wps.cn/vas-ai-hub/contract-review">7F1AF0AD</paraID>
      <start xmlns="http://schemas.wps.cn/vas-ai-hub/contract-review">115</start>
      <end xmlns="http://schemas.wps.cn/vas-ai-hub/contract-review">116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a7e868d2-7ea5-492c-b13a-2df4fac860c3</errorID>
      <errorWord xmlns="http://schemas.wps.cn/vas-ai-hub/contract-review">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于以</item>
      </candidateList>
      <explain xmlns="http://schemas.wps.cn/vas-ai-hub/contract-review"/>
      <paraID xmlns="http://schemas.wps.cn/vas-ai-hub/contract-review">6E322EBD</paraID>
      <start xmlns="http://schemas.wps.cn/vas-ai-hub/contract-review">118</start>
      <end xmlns="http://schemas.wps.cn/vas-ai-hub/contract-review">119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1b3fd8c4-9bc7-408a-8db6-38c107ed1b90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4ABBF75B</paraID>
      <start xmlns="http://schemas.wps.cn/vas-ai-hub/contract-review">14</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50ddad44-ba90-4a02-b2ef-edac6217195e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4ABBF75B</paraID>
      <start xmlns="http://schemas.wps.cn/vas-ai-hub/contract-review">20</start>
      <end xmlns="http://schemas.wps.cn/vas-ai-hub/contract-review">22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797e3198-187d-4135-8106-1da7216abf44</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6D7C28A</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fcbe4c48-e0c0-49e9-b3a8-89fb390f5c98</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2D131300</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7b69d174-5b09-4172-822c-70c279ad39ec</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5383A563</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c4a09d60-67f0-409b-9291-cc40034a096f</errorID>
      <errorWord xmlns="http://schemas.wps.cn/vas-ai-hub/contract-review">《政府采购法》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《中华人民共和国政府采购法》</item>
      </candidateList>
      <explain xmlns="http://schemas.wps.cn/vas-ai-hub/contract-review"/>
      <paraID xmlns="http://schemas.wps.cn/vas-ai-hub/contract-review">560E4AD3</paraID>
      <start xmlns="http://schemas.wps.cn/vas-ai-hub/contract-review">194</start>
      <end xmlns="http://schemas.wps.cn/vas-ai-hub/contract-review">201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5b2c0594-1f4b-4443-9ff7-3e46b53f8771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61417FCA</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63f284c5-5c8f-4270-8c7e-a000e2c107ee</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11B6B8EF</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e5d3ccd4-5845-4f1a-82f1-b499634be1c7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57DFCCDB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2426dbd5-56cb-4f67-b490-d1bb57c86a27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3CA15A0B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4b83738a-ba06-4f63-b969-2346f4974e2e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23143333</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8bee1829-75e4-4e9f-889a-d5ad93e336ad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5B2FDC6</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3445c445-4a74-4737-af00-df92edde1ecb</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5B2FDC6</paraID>
      <start xmlns="http://schemas.wps.cn/vas-ai-hub/contract-review">10</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e70eebcd-122d-4ca0-897e-3bae283553df</errorID>
      <errorWord xmlns="http://schemas.wps.cn/vas-ai-hub/contract-review">&gt;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5B2FDC6</paraID>
      <start xmlns="http://schemas.wps.cn/vas-ai-hub/contract-review">41</start>
      <end xmlns="http://schemas.wps.cn/vas-ai-hub/contract-review">42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885ebbd9-0483-4eaa-ac8a-76cbd57c9a0b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19EF8008</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470f9f4a-73d0-4287-b015-90ba9fe8a5ea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6E25966D</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6d838fc9-7787-4d08-9ab3-dabbe1fa9dfa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4629D7D6</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c884dd20-4ac6-48c3-80c3-ce047c28382a</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4FC5C10E</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d5852f8e-8d63-428a-9520-fe2128b25fbd</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 D29C673</paraID>
      <start xmlns="http://schemas.wps.cn/vas-ai-hub/contract-review">102</start>
      <end xmlns="http://schemas.wps.cn/vas-ai-hub/contract-review">106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f1dcc3e4-654b-4099-a757-4dc967286a6b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
      <paraID xmlns="http://schemas.wps.cn/vas-ai-hub/contract-review">674045B6</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e6c39b07-37d4-4f5a-901f-cd52d4fdad81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
      <paraID xmlns="http://schemas.wps.cn/vas-ai-hub/contract-review">45D07F8D</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162247cf-5621-41c1-bde7-d1d4682ecb73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
      <paraID xmlns="http://schemas.wps.cn/vas-ai-hub/contract-review">250DD45B</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7bcf2aae-0e78-451d-967c-169e50c39d65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1900A4C6</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7e1c7bed-f47b-4c12-bfc6-55ce7196fe7b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1900A4C6</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7a4417e8-6415-425f-b5c9-95a4b05214c0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6EB2BF60</paraID>
      <start xmlns="http://schemas.wps.cn/vas-ai-hub/contract-review">17</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2fd17580-fea6-49f2-8917-d804f336cf77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10BE42A1</paraID>
      <start xmlns="http://schemas.wps.cn/vas-ai-hub/contract-review">28</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39157405-9d8e-4130-ac48-7b5ae0466533</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74D359A7</paraID>
      <start xmlns="http://schemas.wps.cn/vas-ai-hub/contract-review">9</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3d649575-b830-4cb1-a49d-39a55bc2efe8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5E19A3C2</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a66b55fb-4ba9-4525-bfdc-a3c3902a9621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4E4C4561</paraID>
      <start xmlns="http://schemas.wps.cn/vas-ai-hub/contract-review">217</start>
      <end xmlns="http://schemas.wps.cn/vas-ai-hub/contract-review">218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af89a5a1-6063-4938-9465-1a45bee9c072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4E4C4561</paraID>
      <start xmlns="http://schemas.wps.cn/vas-ai-hub/contract-review">265</start>
      <end xmlns="http://schemas.wps.cn/vas-ai-hub/contract-review">267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31701403-ecae-429f-be6d-a61a7308176c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4E4C4561</paraID>
      <start xmlns="http://schemas.wps.cn/vas-ai-hub/contract-review">308</start>
      <end xmlns="http://schemas.wps.cn/vas-ai-hub/contract-review">310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d57025d8-8eb1-4c2c-b4e2-e85535bd4d06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15B94A4D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72f8db5f-d7a4-44f5-a0a9-ec3a6c168596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此处标点可能未正确匹配，请检查句子中是否存在标点冗余、缺失或使用错误的情况。</explain>
      <paraID xmlns="http://schemas.wps.cn/vas-ai-hub/contract-review">7FBF444D</paraID>
      <start xmlns="http://schemas.wps.cn/vas-ai-hub/contract-review">71</start>
      <end xmlns="http://schemas.wps.cn/vas-ai-hub/contract-review">72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6aff82f5-2138-4f25-900d-7f2f17282b8a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78FA9B8</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b6441406-81c7-4bbb-8151-d7f6f2b0c855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59E30437</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11c36114-6c2a-4d25-b225-14f69111e468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7E9451EC</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0a7518f9-c9a4-469a-b504-56172dcb24d6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5B804046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e0dde634-84b4-4e29-93e0-ce571abf86ee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29CE687E</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431c2a9f-6b50-4d59-8f23-d60e298ac9f6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66DF6A64</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032c5cef-f455-454b-aa8d-291ce4f9d248</errorID>
      <errorWord xmlns="http://schemas.wps.cn/vas-ai-hub/contract-review">１</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1</item>
      </candidateList>
      <explain xmlns="http://schemas.wps.cn/vas-ai-hub/contract-review">文本全半角错误。</explain>
      <paraID xmlns="http://schemas.wps.cn/vas-ai-hub/contract-review">1FF23F81</paraID>
      <start xmlns="http://schemas.wps.cn/vas-ai-hub/contract-review">0</start>
      <end xmlns="http://schemas.wps.cn/vas-ai-hub/contract-review">1</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d9868d04-813c-4418-bc8d-e24c7f9dce5b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3148688</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5c241f45-1172-4c38-8182-7a8fae7abfe1</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1A0554C7</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c154d18f-3e3a-4bfa-adca-7d2bae246155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63D3EDD4</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72891022-e4b7-4d48-8ae7-842d1300b0b0</errorID>
      <errorWord xmlns="http://schemas.wps.cn/vas-ai-hub/contract-review">相关的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相关</item>
      </candidateList>
      <explain xmlns="http://schemas.wps.cn/vas-ai-hub/contract-review">〈动〉彼此关连：休戚～｜体育事业和人民健康密切～。</explain>
      <paraID xmlns="http://schemas.wps.cn/vas-ai-hub/contract-review">63D3EDD4</paraID>
      <start xmlns="http://schemas.wps.cn/vas-ai-hub/contract-review">16</start>
      <end xmlns="http://schemas.wps.cn/vas-ai-hub/contract-review">18</end>
      <status xmlns="http://schemas.wps.cn/vas-ai-hub/contract-review">modified</status>
      <modifiedWord xmlns="http://schemas.wps.cn/vas-ai-hub/contract-review">相关</modifiedWord>
      <trackRevisions xmlns="http://schemas.wps.cn/vas-ai-hub/contract-review">false</trackRevisions>
    </reviewItem>
    <reviewItem xmlns="http://schemas.wps.cn/vas-ai-hub/contract-review">
      <errorID xmlns="http://schemas.wps.cn/vas-ai-hub/contract-review">6ceb0d23-d66d-47a0-8dc0-1fa9ae823d73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3FDC35B1</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5a4414fa-3404-4cb4-93e7-e11922eeb2a4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6F821DA2</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2e162025-c507-4907-855c-3ff5ae243e9c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2BD0F2C4</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c92d9248-03cc-43bb-ba4b-787df1a3b262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433096A8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98c2e0d8-62af-46b0-813b-4834444aa377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1A6C26FC</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a46b6109-7a38-47ae-a860-6ebc49252024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41763B9D</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f98d58d6-8cb3-4ce8-a253-40fa694dd527</errorID>
      <errorWord xmlns="http://schemas.wps.cn/vas-ai-hub/contract-review">违约责任，赔偿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违约责任，并赔偿</item>
      </candidateList>
      <explain xmlns="http://schemas.wps.cn/vas-ai-hub/contract-review"/>
      <paraID xmlns="http://schemas.wps.cn/vas-ai-hub/contract-review">41763B9D</paraID>
      <start xmlns="http://schemas.wps.cn/vas-ai-hub/contract-review">24</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d096a439-6c74-4430-bdd9-00bb64b9dfab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4C6522C1</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31e79c87-5290-40a9-97d8-49e28fc5357f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B018790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ea3153b2-bb0e-42e7-b3cd-9f44108c35f7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7F4981A3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ce83c950-a885-4adb-b4ac-e4356e760bf1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2F1D1A96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1831d085-f317-40fa-b35d-08c57c5b97ca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100149CD</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7a9eb300-988c-47f1-9f08-8a4576a80ed9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2557E209</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020e1cab-f90f-44f0-8e4d-48b1c769b845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1508600B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e49aec79-97be-4109-85d6-5bda885e4207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1B6679DD</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c51e71e4-1a72-4d47-aa50-92cb991e0736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58BFB2C1</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b4ba0a71-5719-457d-b743-ec7cad1ca3cd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3B3BEC8F</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d12fa129-0854-41a7-bc71-ac2c946d12e8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1770A47B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68806b9e-23e0-445b-973f-35f8cfb00b82</errorID>
      <errorWord xmlns="http://schemas.wps.cn/vas-ai-hub/contract-review">不得泄漏给除甲方或其</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不得泄露给除甲方或其</item>
      </candidateList>
      <explain xmlns="http://schemas.wps.cn/vas-ai-hub/contract-review">词汇[不得泄漏给除甲方或其]为不规范表述或旧称，其规范书面表述为[不得泄露给除甲方或其]。</explain>
      <paraID xmlns="http://schemas.wps.cn/vas-ai-hub/contract-review">1770A47B</paraID>
      <start xmlns="http://schemas.wps.cn/vas-ai-hub/contract-review">59</start>
      <end xmlns="http://schemas.wps.cn/vas-ai-hub/contract-review">69</end>
      <status xmlns="http://schemas.wps.cn/vas-ai-hub/contract-review">modified</status>
      <modifiedWord xmlns="http://schemas.wps.cn/vas-ai-hub/contract-review">不得泄露给除甲方或其</modifiedWord>
      <trackRevisions xmlns="http://schemas.wps.cn/vas-ai-hub/contract-review">false</trackRevisions>
    </reviewItem>
    <reviewItem xmlns="http://schemas.wps.cn/vas-ai-hub/contract-review">
      <errorID xmlns="http://schemas.wps.cn/vas-ai-hub/contract-review">dfcebe19-097f-476e-9839-c73118fa813a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5FBADE2B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332019a5-ccf0-4a02-94c5-158b73cb6aa5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81B16D2</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b0e38845-4afb-4f43-b2a8-c39ffc454f19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6C9C5CC</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8df599fe-472b-4a72-981e-99f1f841ed6d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5420099E</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1c65d498-64cd-4db5-a70a-0421927d4880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5420099E</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270f413d-422e-451e-9900-2fc6ce17fec3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17E903BD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55d93fe5-32f9-46ff-871e-de84637a0453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7BF4B3C9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0c37ded1-962a-4e0b-ac61-4496f916438c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2B673CEA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65c39441-c46c-4771-90c4-b053c3574d77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222EB28F</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2c586cf5-261d-4516-afc0-3c24d8a1700d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13E810BB</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d9bf3962-46c2-41c9-af8e-d74c637c407e</errorID>
      <errorWord xmlns="http://schemas.wps.cn/vas-ai-hub/contract-review">人民法院诉讼解决</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人民法院提起诉讼</item>
      </candidateList>
      <explain xmlns="http://schemas.wps.cn/vas-ai-hub/contract-review"/>
      <paraID xmlns="http://schemas.wps.cn/vas-ai-hub/contract-review">398222A8</paraID>
      <start xmlns="http://schemas.wps.cn/vas-ai-hub/contract-review">36</start>
      <end xmlns="http://schemas.wps.cn/vas-ai-hub/contract-review">44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1c252d1c-f9a5-499d-a6e7-ac1a13515e15</errorID>
      <errorWord xmlns="http://schemas.wps.cn/vas-ai-hub/contract-review">１</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1</item>
      </candidateList>
      <explain xmlns="http://schemas.wps.cn/vas-ai-hub/contract-review">文本全半角错误。</explain>
      <paraID xmlns="http://schemas.wps.cn/vas-ai-hub/contract-review">4989E138</paraID>
      <start xmlns="http://schemas.wps.cn/vas-ai-hub/contract-review">0</start>
      <end xmlns="http://schemas.wps.cn/vas-ai-hub/contract-review">1</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f652383b-3911-4947-974b-67b44b9cca2a</errorID>
      <errorWord xmlns="http://schemas.wps.cn/vas-ai-hub/contract-review">完全地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完全</item>
      </candidateList>
      <explain xmlns="http://schemas.wps.cn/vas-ai-hub/contract-review"/>
      <paraID xmlns="http://schemas.wps.cn/vas-ai-hub/contract-review">4989E138</paraID>
      <start xmlns="http://schemas.wps.cn/vas-ai-hub/contract-review">5</start>
      <end xmlns="http://schemas.wps.cn/vas-ai-hub/contract-review">7</end>
      <status xmlns="http://schemas.wps.cn/vas-ai-hub/contract-review">modified</status>
      <modifiedWord xmlns="http://schemas.wps.cn/vas-ai-hub/contract-review">完全</modifiedWord>
      <trackRevisions xmlns="http://schemas.wps.cn/vas-ai-hub/contract-review">false</trackRevisions>
    </reviewItem>
    <reviewItem xmlns="http://schemas.wps.cn/vas-ai-hub/contract-review">
      <errorID xmlns="http://schemas.wps.cn/vas-ai-hub/contract-review">e6e0979e-4ccb-44b0-a7e6-97d54c11d0e6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14C8A2F6</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b7a0ad8a-7237-4f87-b50c-3af7226c55f1</errorID>
      <errorWord xmlns="http://schemas.wps.cn/vas-ai-hub/contract-review">１</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1</item>
      </candidateList>
      <explain xmlns="http://schemas.wps.cn/vas-ai-hub/contract-review">文本全半角错误。</explain>
      <paraID xmlns="http://schemas.wps.cn/vas-ai-hub/contract-review">4BB303C2</paraID>
      <start xmlns="http://schemas.wps.cn/vas-ai-hub/contract-review">0</start>
      <end xmlns="http://schemas.wps.cn/vas-ai-hub/contract-review">1</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d84477e3-71c9-4cd5-a0a4-3d6a51366210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79CEC643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9b952664-fe31-47b9-8956-9533c2001d45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2DD26D6E</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f56c63e6-bcce-4247-baf0-540d9cd1df63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323F8D9B</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f04ddf8e-10db-489a-90c2-523bdc800fc8</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7866D77A</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0cebcf22-3143-4513-88cb-75e3631839d5</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17CE549B</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cfb1e2e6-c6e1-4576-aa22-ac709c7f2a2a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68F000B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a2608682-7b18-42a7-b23c-53fd4200749c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31EB0C79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22bf5fe9-f614-40d4-ac41-c8ee12085658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5E0544E3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914cedc6-7a12-4043-a767-f59b968b209b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5781C1F9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2c6ac964-fede-4abc-a912-cf11d87fe389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62350B81</paraID>
      <start xmlns="http://schemas.wps.cn/vas-ai-hub/contract-review">26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d31a5d79-69da-483e-ba91-1e5ecbbcfda6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45732505</paraID>
      <start xmlns="http://schemas.wps.cn/vas-ai-hub/contract-review">90</start>
      <end xmlns="http://schemas.wps.cn/vas-ai-hub/contract-review">91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c88c1482-d6f7-4617-aeb8-96a51853e3b0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45732505</paraID>
      <start xmlns="http://schemas.wps.cn/vas-ai-hub/contract-review">224</start>
      <end xmlns="http://schemas.wps.cn/vas-ai-hub/contract-review">225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4cd14d51-9b90-421f-abd6-4541f6d2ee00</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3F849FBC</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b868970d-793c-4aff-a713-757702c3cc16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1C1FA5BC</paraID>
      <start xmlns="http://schemas.wps.cn/vas-ai-hub/contract-review">101</start>
      <end xmlns="http://schemas.wps.cn/vas-ai-hub/contract-review">102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3d6cca0b-fe98-4668-9dcf-c55f3dfde9d8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2C7E1E2E</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7d6f3b39-c1f2-432c-8c9d-68be29cfcadf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50CA9B34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e5379dda-0409-4c5a-8404-6bca5f6543c6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1F0C911A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36fcaf01-e5e2-4c54-92fe-6e2e0447323a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5A4A7A56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71f25672-e654-45ac-a9e0-e40d14875003</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B82FDA4</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cb836f57-8429-461f-b111-df81af760f13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12F171B1</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07183778-db2f-49dd-91ae-c6e745e9d612</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15008CBE</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c3dc4301-0916-4489-bc74-05efddeee609</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1D2BB0CF</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4fed9728-a2b0-4812-9e71-3357cf196527</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4D86CB46</paraID>
      <start xmlns="http://schemas.wps.cn/vas-ai-hub/contract-review">0</start>
      <end xmlns="http://schemas.wps.cn/vas-ai-hub/contract-review">2</end>
      <status xmlns="http://schemas.wps.cn/vas-ai-hub/contract-review">modified</status>
      <modifiedWord xmlns="http://schemas.wps.cn/vas-ai-hub/contract-review">9.</modifiedWord>
      <trackRevisions xmlns="http://schemas.wps.cn/vas-ai-hub/contract-review">false</trackRevisions>
    </reviewItem>
    <reviewItem xmlns="http://schemas.wps.cn/vas-ai-hub/contract-review">
      <errorID xmlns="http://schemas.wps.cn/vas-ai-hub/contract-review">92625298-c4ea-421e-985d-4ca8362f94bd</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6A0E7267</paraID>
      <start xmlns="http://schemas.wps.cn/vas-ai-hub/contract-review">0</start>
      <end xmlns="http://schemas.wps.cn/vas-ai-hub/contract-review">3</end>
      <status xmlns="http://schemas.wps.cn/vas-ai-hub/contract-review">modified</status>
      <modifiedWord xmlns="http://schemas.wps.cn/vas-ai-hub/contract-review">10.</modifiedWord>
      <trackRevisions xmlns="http://schemas.wps.cn/vas-ai-hub/contract-review">false</trackRevisions>
    </reviewItem>
    <reviewItem xmlns="http://schemas.wps.cn/vas-ai-hub/contract-review">
      <errorID xmlns="http://schemas.wps.cn/vas-ai-hub/contract-review">6f615bce-0a64-4d53-9122-ca30bcfaddaa</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54283B9F</paraID>
      <start xmlns="http://schemas.wps.cn/vas-ai-hub/contract-review">0</start>
      <end xmlns="http://schemas.wps.cn/vas-ai-hub/contract-review">3</end>
      <status xmlns="http://schemas.wps.cn/vas-ai-hub/contract-review">modified</status>
      <modifiedWord xmlns="http://schemas.wps.cn/vas-ai-hub/contract-review">11.</modifiedWord>
      <trackRevisions xmlns="http://schemas.wps.cn/vas-ai-hub/contract-review">false</trackRevisions>
    </reviewItem>
    <reviewItem xmlns="http://schemas.wps.cn/vas-ai-hub/contract-review">
      <errorID xmlns="http://schemas.wps.cn/vas-ai-hub/contract-review">0e934c1d-0dcc-4523-bcb6-88765f40b923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6280C2D0</paraID>
      <start xmlns="http://schemas.wps.cn/vas-ai-hub/contract-review">48</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869e92be-dabe-4946-8c52-408c3fd4344a</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69906675</paraID>
      <start xmlns="http://schemas.wps.cn/vas-ai-hub/contract-review">0</start>
      <end xmlns="http://schemas.wps.cn/vas-ai-hub/contract-review">3</end>
      <status xmlns="http://schemas.wps.cn/vas-ai-hub/contract-review">modified</status>
      <modifiedWord xmlns="http://schemas.wps.cn/vas-ai-hub/contract-review">12.</modifiedWord>
      <trackRevisions xmlns="http://schemas.wps.cn/vas-ai-hub/contract-review">false</trackRevisions>
    </reviewItem>
    <reviewItem xmlns="http://schemas.wps.cn/vas-ai-hub/contract-review">
      <errorID xmlns="http://schemas.wps.cn/vas-ai-hub/contract-review">9cdc6d52-d891-49d0-b6fb-c28ea2530dc0</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44BF172</paraID>
      <start xmlns="http://schemas.wps.cn/vas-ai-hub/contract-review">0</start>
      <end xmlns="http://schemas.wps.cn/vas-ai-hub/contract-review">3</end>
      <status xmlns="http://schemas.wps.cn/vas-ai-hub/contract-review">modified</status>
      <modifiedWord xmlns="http://schemas.wps.cn/vas-ai-hub/contract-review">13.</modifiedWord>
      <trackRevisions xmlns="http://schemas.wps.cn/vas-ai-hub/contract-review">false</trackRevisions>
    </reviewItem>
    <reviewItem xmlns="http://schemas.wps.cn/vas-ai-hub/contract-review">
      <errorID xmlns="http://schemas.wps.cn/vas-ai-hub/contract-review">cb9cd00f-2325-4c16-9683-ebf563cf6215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630EF7E9</paraID>
      <start xmlns="http://schemas.wps.cn/vas-ai-hub/contract-review">116</start>
      <end xmlns="http://schemas.wps.cn/vas-ai-hub/contract-review">118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ba9130b0-8186-473c-9b8c-1f91e1038b51</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2DCABE64</paraID>
      <start xmlns="http://schemas.wps.cn/vas-ai-hub/contract-review">0</start>
      <end xmlns="http://schemas.wps.cn/vas-ai-hub/contract-review">3</end>
      <status xmlns="http://schemas.wps.cn/vas-ai-hub/contract-review">modified</status>
      <modifiedWord xmlns="http://schemas.wps.cn/vas-ai-hub/contract-review">14.</modifiedWord>
      <trackRevisions xmlns="http://schemas.wps.cn/vas-ai-hub/contract-review">false</trackRevisions>
    </reviewItem>
    <reviewItem xmlns="http://schemas.wps.cn/vas-ai-hub/contract-review">
      <errorID xmlns="http://schemas.wps.cn/vas-ai-hub/contract-review">bc8bee26-dec0-4087-977e-875fa03d96e8</errorID>
      <errorWord xmlns="http://schemas.wps.cn/vas-ai-hub/contract-review">其它语言</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其他语言</item>
      </candidateList>
      <explain xmlns="http://schemas.wps.cn/vas-ai-hub/contract-review">词汇[其它语言]为不规范表述或旧称，其规范书面表述为[其他语言]。</explain>
      <paraID xmlns="http://schemas.wps.cn/vas-ai-hub/contract-review">60A08125</paraID>
      <start xmlns="http://schemas.wps.cn/vas-ai-hub/contract-review">67</start>
      <end xmlns="http://schemas.wps.cn/vas-ai-hub/contract-review">71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afb53710-a47e-4196-b204-02db8c43a39f</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1396F888</paraID>
      <start xmlns="http://schemas.wps.cn/vas-ai-hub/contract-review">0</start>
      <end xmlns="http://schemas.wps.cn/vas-ai-hub/contract-review">3</end>
      <status xmlns="http://schemas.wps.cn/vas-ai-hub/contract-review">modified</status>
      <modifiedWord xmlns="http://schemas.wps.cn/vas-ai-hub/contract-review">15.</modifiedWord>
      <trackRevisions xmlns="http://schemas.wps.cn/vas-ai-hub/contract-review">false</trackRevisions>
    </reviewItem>
    <reviewItem xmlns="http://schemas.wps.cn/vas-ai-hub/contract-review">
      <errorID xmlns="http://schemas.wps.cn/vas-ai-hub/contract-review">56aa853b-e3e7-4f63-b53a-832db552ad8f</errorID>
      <errorWord xmlns="http://schemas.wps.cn/vas-ai-hub/contract-review">16．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64CFB6CD</paraID>
      <start xmlns="http://schemas.wps.cn/vas-ai-hub/contract-review">0</start>
      <end xmlns="http://schemas.wps.cn/vas-ai-hub/contract-review">3</end>
      <status xmlns="http://schemas.wps.cn/vas-ai-hub/contract-review">modified</status>
      <modifiedWord xmlns="http://schemas.wps.cn/vas-ai-hub/contract-review">16.</modifiedWord>
      <trackRevisions xmlns="http://schemas.wps.cn/vas-ai-hub/contract-review">false</trackRevisions>
    </reviewItem>
    <reviewItem xmlns="http://schemas.wps.cn/vas-ai-hub/contract-review">
      <errorID xmlns="http://schemas.wps.cn/vas-ai-hub/contract-review">db701f25-a2d7-4ba3-971a-97576777328c</errorID>
      <errorWord xmlns="http://schemas.wps.cn/vas-ai-hub/contract-review">17．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7D44061D</paraID>
      <start xmlns="http://schemas.wps.cn/vas-ai-hub/contract-review">0</start>
      <end xmlns="http://schemas.wps.cn/vas-ai-hub/contract-review">3</end>
      <status xmlns="http://schemas.wps.cn/vas-ai-hub/contract-review">modified</status>
      <modifiedWord xmlns="http://schemas.wps.cn/vas-ai-hub/contract-review">17.</modifiedWord>
      <trackRevisions xmlns="http://schemas.wps.cn/vas-ai-hub/contract-review">false</trackRevisions>
    </reviewItem>
    <reviewItem xmlns="http://schemas.wps.cn/vas-ai-hub/contract-review">
      <errorID xmlns="http://schemas.wps.cn/vas-ai-hub/contract-review">61a55b37-5cd2-45b7-8a79-406d9b420c86</errorID>
      <errorWord xmlns="http://schemas.wps.cn/vas-ai-hub/contract-review">18．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685849B5</paraID>
      <start xmlns="http://schemas.wps.cn/vas-ai-hub/contract-review">0</start>
      <end xmlns="http://schemas.wps.cn/vas-ai-hub/contract-review">3</end>
      <status xmlns="http://schemas.wps.cn/vas-ai-hub/contract-review">modified</status>
      <modifiedWord xmlns="http://schemas.wps.cn/vas-ai-hub/contract-review">18.</modifiedWord>
      <trackRevisions xmlns="http://schemas.wps.cn/vas-ai-hub/contract-review">false</trackRevisions>
    </reviewItem>
    <reviewItem xmlns="http://schemas.wps.cn/vas-ai-hub/contract-review">
      <errorID xmlns="http://schemas.wps.cn/vas-ai-hub/contract-review">584edc2a-58f8-4a48-8558-de9b90a41215</errorID>
      <errorWord xmlns="http://schemas.wps.cn/vas-ai-hub/contract-review">19．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744D5338</paraID>
      <start xmlns="http://schemas.wps.cn/vas-ai-hub/contract-review">0</start>
      <end xmlns="http://schemas.wps.cn/vas-ai-hub/contract-review">3</end>
      <status xmlns="http://schemas.wps.cn/vas-ai-hub/contract-review">modified</status>
      <modifiedWord xmlns="http://schemas.wps.cn/vas-ai-hub/contract-review">19.</modifiedWord>
      <trackRevisions xmlns="http://schemas.wps.cn/vas-ai-hub/contract-review">false</trackRevisions>
    </reviewItem>
    <reviewItem xmlns="http://schemas.wps.cn/vas-ai-hub/contract-review">
      <errorID xmlns="http://schemas.wps.cn/vas-ai-hub/contract-review">1b15ab26-9228-4400-9a9e-afc913bff116</errorID>
      <errorWord xmlns="http://schemas.wps.cn/vas-ai-hub/contract-review">20．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2BE5EB9F</paraID>
      <start xmlns="http://schemas.wps.cn/vas-ai-hub/contract-review">0</start>
      <end xmlns="http://schemas.wps.cn/vas-ai-hub/contract-review">3</end>
      <status xmlns="http://schemas.wps.cn/vas-ai-hub/contract-review">modified</status>
      <modifiedWord xmlns="http://schemas.wps.cn/vas-ai-hub/contract-review">20.</modifiedWord>
      <trackRevisions xmlns="http://schemas.wps.cn/vas-ai-hub/contract-review">false</trackRevisions>
    </reviewItem>
    <reviewItem xmlns="http://schemas.wps.cn/vas-ai-hub/contract-review">
      <errorID xmlns="http://schemas.wps.cn/vas-ai-hub/contract-review">40f9f629-6a6a-4258-a867-6d3016791d1f</errorID>
      <errorWord xmlns="http://schemas.wps.cn/vas-ai-hub/contract-review">21．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37F742F9</paraID>
      <start xmlns="http://schemas.wps.cn/vas-ai-hub/contract-review">0</start>
      <end xmlns="http://schemas.wps.cn/vas-ai-hub/contract-review">3</end>
      <status xmlns="http://schemas.wps.cn/vas-ai-hub/contract-review">modified</status>
      <modifiedWord xmlns="http://schemas.wps.cn/vas-ai-hub/contract-review">21.</modifiedWord>
      <trackRevisions xmlns="http://schemas.wps.cn/vas-ai-hub/contract-review">false</trackRevisions>
    </reviewItem>
    <reviewItem xmlns="http://schemas.wps.cn/vas-ai-hub/contract-review">
      <errorID xmlns="http://schemas.wps.cn/vas-ai-hub/contract-review">b3241896-da68-459e-a605-970893b54c36</errorID>
      <errorWord xmlns="http://schemas.wps.cn/vas-ai-hub/contract-review">22．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3F50B745</paraID>
      <start xmlns="http://schemas.wps.cn/vas-ai-hub/contract-review">0</start>
      <end xmlns="http://schemas.wps.cn/vas-ai-hub/contract-review">3</end>
      <status xmlns="http://schemas.wps.cn/vas-ai-hub/contract-review">modified</status>
      <modifiedWord xmlns="http://schemas.wps.cn/vas-ai-hub/contract-review">22.</modifiedWord>
      <trackRevisions xmlns="http://schemas.wps.cn/vas-ai-hub/contract-review">false</trackRevisions>
    </reviewItem>
    <reviewItem xmlns="http://schemas.wps.cn/vas-ai-hub/contract-review">
      <errorID xmlns="http://schemas.wps.cn/vas-ai-hub/contract-review">1abac335-6f4f-4d09-9a02-c8c9770ba86b</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5F910F36</paraID>
      <start xmlns="http://schemas.wps.cn/vas-ai-hub/contract-review">126</start>
      <end xmlns="http://schemas.wps.cn/vas-ai-hub/contract-review">128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9e669792-81d3-4ee9-811a-76da968c0f85</errorID>
      <errorWord xmlns="http://schemas.wps.cn/vas-ai-hub/contract-review">23．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7AF12CD1</paraID>
      <start xmlns="http://schemas.wps.cn/vas-ai-hub/contract-review">0</start>
      <end xmlns="http://schemas.wps.cn/vas-ai-hub/contract-review">3</end>
      <status xmlns="http://schemas.wps.cn/vas-ai-hub/contract-review">modified</status>
      <modifiedWord xmlns="http://schemas.wps.cn/vas-ai-hub/contract-review">23.</modifiedWord>
      <trackRevisions xmlns="http://schemas.wps.cn/vas-ai-hub/contract-review">false</trackRevisions>
    </reviewItem>
    <reviewItem xmlns="http://schemas.wps.cn/vas-ai-hub/contract-review">
      <errorID xmlns="http://schemas.wps.cn/vas-ai-hub/contract-review">7ab80a1c-aa93-4614-bf80-d17bdc282526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47439795</paraID>
      <start xmlns="http://schemas.wps.cn/vas-ai-hub/contract-review">53</start>
      <end xmlns="http://schemas.wps.cn/vas-ai-hub/contract-review">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bc92874d-4e12-41e1-b59f-e2a9b6497bc5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47439795</paraID>
      <start xmlns="http://schemas.wps.cn/vas-ai-hub/contract-review">100</start>
      <end xmlns="http://schemas.wps.cn/vas-ai-hub/contract-review">101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8811f9be-2a7d-4938-a087-d1ed17f10eb0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47439795</paraID>
      <start xmlns="http://schemas.wps.cn/vas-ai-hub/contract-review">182</start>
      <end xmlns="http://schemas.wps.cn/vas-ai-hub/contract-review">183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f64719bb-2fa6-4b4f-809d-9bfe0aef7956</errorID>
      <errorWord xmlns="http://schemas.wps.cn/vas-ai-hub/contract-review">其它公司的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其他公司的</item>
      </candidateList>
      <explain xmlns="http://schemas.wps.cn/vas-ai-hub/contract-review">词汇[其它公司的]为不规范表述或旧称，其规范书面表述为[其他公司的]。</explain>
      <paraID xmlns="http://schemas.wps.cn/vas-ai-hub/contract-review">2D4E8153</paraID>
      <start xmlns="http://schemas.wps.cn/vas-ai-hub/contract-review">32</start>
      <end xmlns="http://schemas.wps.cn/vas-ai-hub/contract-review">37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d94fb45d-ff76-4e6b-a9ed-2eb1688bb3d9</errorID>
      <errorWord xmlns="http://schemas.wps.cn/vas-ai-hub/contract-review">用其它方式</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用其他方式</item>
      </candidateList>
      <explain xmlns="http://schemas.wps.cn/vas-ai-hub/contract-review">词汇[用其它方式]为不规范表述或旧称，其规范书面表述为[用其他方式]。</explain>
      <paraID xmlns="http://schemas.wps.cn/vas-ai-hub/contract-review">231F283A</paraID>
      <start xmlns="http://schemas.wps.cn/vas-ai-hub/contract-review">28</start>
      <end xmlns="http://schemas.wps.cn/vas-ai-hub/contract-review">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43612ce2-15d7-4b18-805d-8effd10ba9a0</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6F11C0D2</paraID>
      <start xmlns="http://schemas.wps.cn/vas-ai-hub/contract-review">31</start>
      <end xmlns="http://schemas.wps.cn/vas-ai-hub/contract-review">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4057e753-85c9-4207-a86e-e969c2fb9a40</errorID>
      <errorWord xmlns="http://schemas.wps.cn/vas-ai-hub/contract-review">24．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6E6FFAB0</paraID>
      <start xmlns="http://schemas.wps.cn/vas-ai-hub/contract-review">0</start>
      <end xmlns="http://schemas.wps.cn/vas-ai-hub/contract-review">3</end>
      <status xmlns="http://schemas.wps.cn/vas-ai-hub/contract-review">modified</status>
      <modifiedWord xmlns="http://schemas.wps.cn/vas-ai-hub/contract-review">24.</modifiedWord>
      <trackRevisions xmlns="http://schemas.wps.cn/vas-ai-hub/contract-review">false</trackRevisions>
    </reviewItem>
    <reviewItem xmlns="http://schemas.wps.cn/vas-ai-hub/contract-review">
      <errorID xmlns="http://schemas.wps.cn/vas-ai-hub/contract-review">d4ee0fd1-2bac-48eb-a6f6-9f54a27a8327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2E37A71E</paraID>
      <start xmlns="http://schemas.wps.cn/vas-ai-hub/contract-review">15</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748a4e8d-2bf1-4688-b612-b182d95e0ebf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2E37A71E</paraID>
      <start xmlns="http://schemas.wps.cn/vas-ai-hub/contract-review">82</start>
      <end xmlns="http://schemas.wps.cn/vas-ai-hub/contract-review">83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90b8e432-d84c-47a9-aee5-24cd8a260c6f</errorID>
      <errorWord xmlns="http://schemas.wps.cn/vas-ai-hub/contract-review">25．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4F5EE57</paraID>
      <start xmlns="http://schemas.wps.cn/vas-ai-hub/contract-review">0</start>
      <end xmlns="http://schemas.wps.cn/vas-ai-hub/contract-review">3</end>
      <status xmlns="http://schemas.wps.cn/vas-ai-hub/contract-review">modified</status>
      <modifiedWord xmlns="http://schemas.wps.cn/vas-ai-hub/contract-review">25.</modifiedWord>
      <trackRevisions xmlns="http://schemas.wps.cn/vas-ai-hub/contract-review">false</trackRevisions>
    </reviewItem>
    <reviewItem xmlns="http://schemas.wps.cn/vas-ai-hub/contract-review">
      <errorID xmlns="http://schemas.wps.cn/vas-ai-hub/contract-review">98065190-46a1-4644-be35-480b1a4c980d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7FDB7916</paraID>
      <start xmlns="http://schemas.wps.cn/vas-ai-hub/contract-review">131</start>
      <end xmlns="http://schemas.wps.cn/vas-ai-hub/contract-review">132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3a604258-fa59-4027-ab35-c761949de738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7FDB7916</paraID>
      <start xmlns="http://schemas.wps.cn/vas-ai-hub/contract-review">134</start>
      <end xmlns="http://schemas.wps.cn/vas-ai-hub/contract-review">135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600bde7f-ca5d-421c-8ae8-2a6836010871</errorID>
      <errorWord xmlns="http://schemas.wps.cn/vas-ai-hub/contract-review">27．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18AFD212</paraID>
      <start xmlns="http://schemas.wps.cn/vas-ai-hub/contract-review">0</start>
      <end xmlns="http://schemas.wps.cn/vas-ai-hub/contract-review">3</end>
      <status xmlns="http://schemas.wps.cn/vas-ai-hub/contract-review">modified</status>
      <modifiedWord xmlns="http://schemas.wps.cn/vas-ai-hub/contract-review">27.</modifiedWord>
      <trackRevisions xmlns="http://schemas.wps.cn/vas-ai-hub/contract-review">false</trackRevisions>
    </reviewItem>
    <reviewItem xmlns="http://schemas.wps.cn/vas-ai-hub/contract-review">
      <errorID xmlns="http://schemas.wps.cn/vas-ai-hub/contract-review">05d68d1a-39a6-455a-a990-8e8c6d3e99dc</errorID>
      <errorWord xmlns="http://schemas.wps.cn/vas-ai-hub/contract-review">28．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6CBEC804</paraID>
      <start xmlns="http://schemas.wps.cn/vas-ai-hub/contract-review">0</start>
      <end xmlns="http://schemas.wps.cn/vas-ai-hub/contract-review">3</end>
      <status xmlns="http://schemas.wps.cn/vas-ai-hub/contract-review">modified</status>
      <modifiedWord xmlns="http://schemas.wps.cn/vas-ai-hub/contract-review">28.</modifiedWord>
      <trackRevisions xmlns="http://schemas.wps.cn/vas-ai-hub/contract-review">false</trackRevisions>
    </reviewItem>
    <reviewItem xmlns="http://schemas.wps.cn/vas-ai-hub/contract-review">
      <errorID xmlns="http://schemas.wps.cn/vas-ai-hub/contract-review">463b0e87-ad12-4aac-8c4b-e72c697c220e</errorID>
      <errorWord xmlns="http://schemas.wps.cn/vas-ai-hub/contract-review">29．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649C8D1E</paraID>
      <start xmlns="http://schemas.wps.cn/vas-ai-hub/contract-review">0</start>
      <end xmlns="http://schemas.wps.cn/vas-ai-hub/contract-review">3</end>
      <status xmlns="http://schemas.wps.cn/vas-ai-hub/contract-review">modified</status>
      <modifiedWord xmlns="http://schemas.wps.cn/vas-ai-hub/contract-review">29.</modifiedWord>
      <trackRevisions xmlns="http://schemas.wps.cn/vas-ai-hub/contract-review">false</trackRevisions>
    </reviewItem>
    <reviewItem xmlns="http://schemas.wps.cn/vas-ai-hub/contract-review">
      <errorID xmlns="http://schemas.wps.cn/vas-ai-hub/contract-review">6ddaf4d5-b251-4d8f-aa24-d518aa2b9630</errorID>
      <errorWord xmlns="http://schemas.wps.cn/vas-ai-hub/contract-review">30．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5A31D155</paraID>
      <start xmlns="http://schemas.wps.cn/vas-ai-hub/contract-review">0</start>
      <end xmlns="http://schemas.wps.cn/vas-ai-hub/contract-review">3</end>
      <status xmlns="http://schemas.wps.cn/vas-ai-hub/contract-review">modified</status>
      <modifiedWord xmlns="http://schemas.wps.cn/vas-ai-hub/contract-review">30.</modifiedWord>
      <trackRevisions xmlns="http://schemas.wps.cn/vas-ai-hub/contract-review">false</trackRevisions>
    </reviewItem>
    <reviewItem xmlns="http://schemas.wps.cn/vas-ai-hub/contract-review">
      <errorID xmlns="http://schemas.wps.cn/vas-ai-hub/contract-review">1a12b1d2-dfd2-4552-bf15-4d810a800fa9</errorID>
      <errorWord xmlns="http://schemas.wps.cn/vas-ai-hub/contract-review">必须的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必需的</item>
      </candidateList>
      <explain xmlns="http://schemas.wps.cn/vas-ai-hub/contract-review">词汇[必须的]为不规范表述或旧称，其规范书面表述为[必需的]。</explain>
      <paraID xmlns="http://schemas.wps.cn/vas-ai-hub/contract-review"> 7F97C90</paraID>
      <start xmlns="http://schemas.wps.cn/vas-ai-hub/contract-review">8</start>
      <end xmlns="http://schemas.wps.cn/vas-ai-hub/contract-review">11</end>
      <status xmlns="http://schemas.wps.cn/vas-ai-hub/contract-review">modified</status>
      <modifiedWord xmlns="http://schemas.wps.cn/vas-ai-hub/contract-review">必需的</modifiedWord>
      <trackRevisions xmlns="http://schemas.wps.cn/vas-ai-hub/contract-review">false</trackRevisions>
    </reviewItem>
    <reviewItem xmlns="http://schemas.wps.cn/vas-ai-hub/contract-review">
      <errorID xmlns="http://schemas.wps.cn/vas-ai-hub/contract-review">f6b002d3-0d14-4fdf-a42c-d5de7a49bc4d</errorID>
      <errorWord xmlns="http://schemas.wps.cn/vas-ai-hub/contract-review">31．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6CFCB7E</paraID>
      <start xmlns="http://schemas.wps.cn/vas-ai-hub/contract-review">0</start>
      <end xmlns="http://schemas.wps.cn/vas-ai-hub/contract-review">3</end>
      <status xmlns="http://schemas.wps.cn/vas-ai-hub/contract-review">modified</status>
      <modifiedWord xmlns="http://schemas.wps.cn/vas-ai-hub/contract-review">31.</modifiedWord>
      <trackRevisions xmlns="http://schemas.wps.cn/vas-ai-hub/contract-review">false</trackRevisions>
    </reviewItem>
    <reviewItem xmlns="http://schemas.wps.cn/vas-ai-hub/contract-review">
      <errorID xmlns="http://schemas.wps.cn/vas-ai-hub/contract-review">1202f64e-162f-4cb8-b0de-5544fac7211f</errorID>
      <errorWord xmlns="http://schemas.wps.cn/vas-ai-hub/contract-review">32．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48B419C</paraID>
      <start xmlns="http://schemas.wps.cn/vas-ai-hub/contract-review">0</start>
      <end xmlns="http://schemas.wps.cn/vas-ai-hub/contract-review">3</end>
      <status xmlns="http://schemas.wps.cn/vas-ai-hub/contract-review">modified</status>
      <modifiedWord xmlns="http://schemas.wps.cn/vas-ai-hub/contract-review">32.</modifiedWord>
      <trackRevisions xmlns="http://schemas.wps.cn/vas-ai-hub/contract-review">false</trackRevisions>
    </reviewItem>
    <reviewItem xmlns="http://schemas.wps.cn/vas-ai-hub/contract-review">
      <errorID xmlns="http://schemas.wps.cn/vas-ai-hub/contract-review">7555dcbc-7c2e-4dc5-ab6f-ad93c24f022d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41F418F1</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41948d9b-1350-4cf8-89dd-9dc5f2c59139</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51D1B89D</paraID>
      <start xmlns="http://schemas.wps.cn/vas-ai-hub/contract-review">13</start>
      <end xmlns="http://schemas.wps.cn/vas-ai-hub/contract-review">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ca18c010-497e-499a-8fa5-e3df24863df1</errorID>
      <errorWord xmlns="http://schemas.wps.cn/vas-ai-hub/contract-review">审查对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审查</item>
      </candidateList>
      <explain xmlns="http://schemas.wps.cn/vas-ai-hub/contract-review">〈动〉检查核对是否正确、妥当（多指计划、提案、著作、个人的资历等）：～提案｜～经费｜～属实。</explain>
      <paraID xmlns="http://schemas.wps.cn/vas-ai-hub/contract-review"> 4D88A4B</paraID>
      <start xmlns="http://schemas.wps.cn/vas-ai-hub/contract-review">12</start>
      <end xmlns="http://schemas.wps.cn/vas-ai-hub/contract-review">14</end>
      <status xmlns="http://schemas.wps.cn/vas-ai-hub/contract-review">modified</status>
      <modifiedWord xmlns="http://schemas.wps.cn/vas-ai-hub/contract-review">审查</modifiedWord>
      <trackRevisions xmlns="http://schemas.wps.cn/vas-ai-hub/contract-review">false</trackRevisions>
    </reviewItem>
    <reviewItem xmlns="http://schemas.wps.cn/vas-ai-hub/contract-review">
      <errorID xmlns="http://schemas.wps.cn/vas-ai-hub/contract-review">0f5ca7e9-458a-4d8f-80ba-fe76b8cf8247</errorID>
      <errorWord xmlns="http://schemas.wps.cn/vas-ai-hub/contract-review">33．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41C1D0C5</paraID>
      <start xmlns="http://schemas.wps.cn/vas-ai-hub/contract-review">0</start>
      <end xmlns="http://schemas.wps.cn/vas-ai-hub/contract-review">3</end>
      <status xmlns="http://schemas.wps.cn/vas-ai-hub/contract-review">modified</status>
      <modifiedWord xmlns="http://schemas.wps.cn/vas-ai-hub/contract-review">33.</modifiedWord>
      <trackRevisions xmlns="http://schemas.wps.cn/vas-ai-hub/contract-review">false</trackRevisions>
    </reviewItem>
    <reviewItem xmlns="http://schemas.wps.cn/vas-ai-hub/contract-review">
      <errorID xmlns="http://schemas.wps.cn/vas-ai-hub/contract-review">8454b240-7da5-4900-81f6-eb52fd2f75cd</errorID>
      <errorWord xmlns="http://schemas.wps.cn/vas-ai-hub/contract-review">34．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307460C5</paraID>
      <start xmlns="http://schemas.wps.cn/vas-ai-hub/contract-review">0</start>
      <end xmlns="http://schemas.wps.cn/vas-ai-hub/contract-review">3</end>
      <status xmlns="http://schemas.wps.cn/vas-ai-hub/contract-review">modified</status>
      <modifiedWord xmlns="http://schemas.wps.cn/vas-ai-hub/contract-review">34.</modifiedWord>
      <trackRevisions xmlns="http://schemas.wps.cn/vas-ai-hub/contract-review">false</trackRevisions>
    </reviewItem>
    <reviewItem xmlns="http://schemas.wps.cn/vas-ai-hub/contract-review">
      <errorID xmlns="http://schemas.wps.cn/vas-ai-hub/contract-review">9076372e-ee58-4746-af9a-dd53a343b240</errorID>
      <errorWord xmlns="http://schemas.wps.cn/vas-ai-hub/contract-review">35．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78933358</paraID>
      <start xmlns="http://schemas.wps.cn/vas-ai-hub/contract-review">0</start>
      <end xmlns="http://schemas.wps.cn/vas-ai-hub/contract-review">3</end>
      <status xmlns="http://schemas.wps.cn/vas-ai-hub/contract-review">modified</status>
      <modifiedWord xmlns="http://schemas.wps.cn/vas-ai-hub/contract-review">35.</modifiedWord>
      <trackRevisions xmlns="http://schemas.wps.cn/vas-ai-hub/contract-review">false</trackRevisions>
    </reviewItem>
    <reviewItem xmlns="http://schemas.wps.cn/vas-ai-hub/contract-review">
      <errorID xmlns="http://schemas.wps.cn/vas-ai-hub/contract-review">b4bf858f-0aa6-4bfe-8a5c-e5979c8e284b</errorID>
      <errorWord xmlns="http://schemas.wps.cn/vas-ai-hub/contract-review">36．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5D6D037B</paraID>
      <start xmlns="http://schemas.wps.cn/vas-ai-hub/contract-review">0</start>
      <end xmlns="http://schemas.wps.cn/vas-ai-hub/contract-review">3</end>
      <status xmlns="http://schemas.wps.cn/vas-ai-hub/contract-review">modified</status>
      <modifiedWord xmlns="http://schemas.wps.cn/vas-ai-hub/contract-review">36.</modifiedWord>
      <trackRevisions xmlns="http://schemas.wps.cn/vas-ai-hub/contract-review">false</trackRevisions>
    </reviewItem>
    <reviewItem xmlns="http://schemas.wps.cn/vas-ai-hub/contract-review">
      <errorID xmlns="http://schemas.wps.cn/vas-ai-hub/contract-review">19b320f9-e7f4-4342-b2de-f5730ea0ccbf</errorID>
      <errorWord xmlns="http://schemas.wps.cn/vas-ai-hub/contract-review">37．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6CBF0A1D</paraID>
      <start xmlns="http://schemas.wps.cn/vas-ai-hub/contract-review">0</start>
      <end xmlns="http://schemas.wps.cn/vas-ai-hub/contract-review">3</end>
      <status xmlns="http://schemas.wps.cn/vas-ai-hub/contract-review">modified</status>
      <modifiedWord xmlns="http://schemas.wps.cn/vas-ai-hub/contract-review">37.</modifiedWord>
      <trackRevisions xmlns="http://schemas.wps.cn/vas-ai-hub/contract-review">false</trackRevisions>
    </reviewItem>
    <reviewItem xmlns="http://schemas.wps.cn/vas-ai-hub/contract-review">
      <errorID xmlns="http://schemas.wps.cn/vas-ai-hub/contract-review">a66ef453-9dd7-4d3f-82cc-91a1fd12b1c3</errorID>
      <errorWord xmlns="http://schemas.wps.cn/vas-ai-hub/contract-review">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已</item>
      </candidateList>
      <explain xmlns="http://schemas.wps.cn/vas-ai-hub/contract-review">存在发音相同字词的误用。</explain>
      <paraID xmlns="http://schemas.wps.cn/vas-ai-hub/contract-review">2133EE0E</paraID>
      <start xmlns="http://schemas.wps.cn/vas-ai-hub/contract-review">129</start>
      <end xmlns="http://schemas.wps.cn/vas-ai-hub/contract-review">130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e69dab0b-c7ae-4d12-a755-518d72627628</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2133EE0E</paraID>
      <start xmlns="http://schemas.wps.cn/vas-ai-hub/contract-review">141</start>
      <end xmlns="http://schemas.wps.cn/vas-ai-hub/contract-review">142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d70b8475-67f8-451a-bbd5-a97c62de968a</errorID>
      <errorWord xmlns="http://schemas.wps.cn/vas-ai-hub/contract-review">&gt;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2133EE0E</paraID>
      <start xmlns="http://schemas.wps.cn/vas-ai-hub/contract-review">159</start>
      <end xmlns="http://schemas.wps.cn/vas-ai-hub/contract-review">160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a9dfaace-87cb-407d-a5d9-65ad07b2993f</errorID>
      <errorWord xmlns="http://schemas.wps.cn/vas-ai-hub/contract-review">38．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31450DF6</paraID>
      <start xmlns="http://schemas.wps.cn/vas-ai-hub/contract-review">0</start>
      <end xmlns="http://schemas.wps.cn/vas-ai-hub/contract-review">3</end>
      <status xmlns="http://schemas.wps.cn/vas-ai-hub/contract-review">modified</status>
      <modifiedWord xmlns="http://schemas.wps.cn/vas-ai-hub/contract-review">38.</modifiedWord>
      <trackRevisions xmlns="http://schemas.wps.cn/vas-ai-hub/contract-review">false</trackRevisions>
    </reviewItem>
    <reviewItem xmlns="http://schemas.wps.cn/vas-ai-hub/contract-review">
      <errorID xmlns="http://schemas.wps.cn/vas-ai-hub/contract-review">51485d23-8229-4d90-99c7-8967ec4d37fa</errorID>
      <errorWord xmlns="http://schemas.wps.cn/vas-ai-hub/contract-review">39．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6DD27C4D</paraID>
      <start xmlns="http://schemas.wps.cn/vas-ai-hub/contract-review">0</start>
      <end xmlns="http://schemas.wps.cn/vas-ai-hub/contract-review">3</end>
      <status xmlns="http://schemas.wps.cn/vas-ai-hub/contract-review">modified</status>
      <modifiedWord xmlns="http://schemas.wps.cn/vas-ai-hub/contract-review">39.</modifiedWord>
      <trackRevisions xmlns="http://schemas.wps.cn/vas-ai-hub/contract-review">false</trackRevisions>
    </reviewItem>
    <reviewItem xmlns="http://schemas.wps.cn/vas-ai-hub/contract-review">
      <errorID xmlns="http://schemas.wps.cn/vas-ai-hub/contract-review">196af02f-8cdd-4262-a711-ec8152c2b141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 375C59B</paraID>
      <start xmlns="http://schemas.wps.cn/vas-ai-hub/contract-review">80</start>
      <end xmlns="http://schemas.wps.cn/vas-ai-hub/contract-review">82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f096fbc4-e256-439c-a499-68387e0d850a</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 375C59B</paraID>
      <start xmlns="http://schemas.wps.cn/vas-ai-hub/contract-review">162</start>
      <end xmlns="http://schemas.wps.cn/vas-ai-hub/contract-review">166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25b2169d-95bd-4ad7-b86c-6df60daba8f1</errorID>
      <errorWord xmlns="http://schemas.wps.cn/vas-ai-hub/contract-review">40．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682BC205</paraID>
      <start xmlns="http://schemas.wps.cn/vas-ai-hub/contract-review">0</start>
      <end xmlns="http://schemas.wps.cn/vas-ai-hub/contract-review">3</end>
      <status xmlns="http://schemas.wps.cn/vas-ai-hub/contract-review">modified</status>
      <modifiedWord xmlns="http://schemas.wps.cn/vas-ai-hub/contract-review">40.</modifiedWord>
      <trackRevisions xmlns="http://schemas.wps.cn/vas-ai-hub/contract-review">false</trackRevisions>
    </reviewItem>
    <reviewItem xmlns="http://schemas.wps.cn/vas-ai-hub/contract-review">
      <errorID xmlns="http://schemas.wps.cn/vas-ai-hub/contract-review">3cb48dcd-c1a2-4245-8159-cbecb850277c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1E5012DE</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1af2f66f-18c9-40da-99a6-86e8c671b1cd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1E5012DE</paraID>
      <start xmlns="http://schemas.wps.cn/vas-ai-hub/contract-review">88</start>
      <end xmlns="http://schemas.wps.cn/vas-ai-hub/contract-review">90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d4a85b10-8a34-40a8-a587-bada16e85c27</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3977357A</paraID>
      <start xmlns="http://schemas.wps.cn/vas-ai-hub/contract-review">10</start>
      <end xmlns="http://schemas.wps.cn/vas-ai-hub/contract-review">12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ea9895b4-04ea-437b-864a-9501fc1b0816</errorID>
      <errorWord xmlns="http://schemas.wps.cn/vas-ai-hub/contract-review">41．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2B58228E</paraID>
      <start xmlns="http://schemas.wps.cn/vas-ai-hub/contract-review">0</start>
      <end xmlns="http://schemas.wps.cn/vas-ai-hub/contract-review">3</end>
      <status xmlns="http://schemas.wps.cn/vas-ai-hub/contract-review">modified</status>
      <modifiedWord xmlns="http://schemas.wps.cn/vas-ai-hub/contract-review">41.</modifiedWord>
      <trackRevisions xmlns="http://schemas.wps.cn/vas-ai-hub/contract-review">false</trackRevisions>
    </reviewItem>
    <reviewItem xmlns="http://schemas.wps.cn/vas-ai-hub/contract-review">
      <errorID xmlns="http://schemas.wps.cn/vas-ai-hub/contract-review">8bc843aa-7f04-4e4f-b8eb-ff4386578856</errorID>
      <errorWord xmlns="http://schemas.wps.cn/vas-ai-hub/contract-review">42．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51C443D9</paraID>
      <start xmlns="http://schemas.wps.cn/vas-ai-hub/contract-review">0</start>
      <end xmlns="http://schemas.wps.cn/vas-ai-hub/contract-review">3</end>
      <status xmlns="http://schemas.wps.cn/vas-ai-hub/contract-review">modified</status>
      <modifiedWord xmlns="http://schemas.wps.cn/vas-ai-hub/contract-review">42.</modifiedWord>
      <trackRevisions xmlns="http://schemas.wps.cn/vas-ai-hub/contract-review">false</trackRevisions>
    </reviewItem>
    <reviewItem xmlns="http://schemas.wps.cn/vas-ai-hub/contract-review">
      <errorID xmlns="http://schemas.wps.cn/vas-ai-hub/contract-review">7a3df1a8-e52e-4758-9bf7-e2771514a22e</errorID>
      <errorWord xmlns="http://schemas.wps.cn/vas-ai-hub/contract-review">43．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51C4E6E6</paraID>
      <start xmlns="http://schemas.wps.cn/vas-ai-hub/contract-review">0</start>
      <end xmlns="http://schemas.wps.cn/vas-ai-hub/contract-review">3</end>
      <status xmlns="http://schemas.wps.cn/vas-ai-hub/contract-review">modified</status>
      <modifiedWord xmlns="http://schemas.wps.cn/vas-ai-hub/contract-review">43.</modifiedWord>
      <trackRevisions xmlns="http://schemas.wps.cn/vas-ai-hub/contract-review">false</trackRevisions>
    </reviewItem>
    <reviewItem xmlns="http://schemas.wps.cn/vas-ai-hub/contract-review">
      <errorID xmlns="http://schemas.wps.cn/vas-ai-hub/contract-review">7512fc2f-ee68-4832-b11b-c02c39c6365c</errorID>
      <errorWord xmlns="http://schemas.wps.cn/vas-ai-hub/contract-review">44．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1081D635</paraID>
      <start xmlns="http://schemas.wps.cn/vas-ai-hub/contract-review">0</start>
      <end xmlns="http://schemas.wps.cn/vas-ai-hub/contract-review">3</end>
      <status xmlns="http://schemas.wps.cn/vas-ai-hub/contract-review">modified</status>
      <modifiedWord xmlns="http://schemas.wps.cn/vas-ai-hub/contract-review">44.</modifiedWord>
      <trackRevisions xmlns="http://schemas.wps.cn/vas-ai-hub/contract-review">false</trackRevisions>
    </reviewItem>
    <reviewItem xmlns="http://schemas.wps.cn/vas-ai-hub/contract-review">
      <errorID xmlns="http://schemas.wps.cn/vas-ai-hub/contract-review">0792347e-a625-4664-8f49-a330e043de6a</errorID>
      <errorWord xmlns="http://schemas.wps.cn/vas-ai-hub/contract-review">45．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4459D126</paraID>
      <start xmlns="http://schemas.wps.cn/vas-ai-hub/contract-review">0</start>
      <end xmlns="http://schemas.wps.cn/vas-ai-hub/contract-review">3</end>
      <status xmlns="http://schemas.wps.cn/vas-ai-hub/contract-review">modified</status>
      <modifiedWord xmlns="http://schemas.wps.cn/vas-ai-hub/contract-review">45.</modifiedWord>
      <trackRevisions xmlns="http://schemas.wps.cn/vas-ai-hub/contract-review">false</trackRevisions>
    </reviewItem>
    <reviewItem xmlns="http://schemas.wps.cn/vas-ai-hub/contract-review">
      <errorID xmlns="http://schemas.wps.cn/vas-ai-hub/contract-review">438d583a-670b-401d-9201-066417e0966c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4DCF63FB</paraID>
      <start xmlns="http://schemas.wps.cn/vas-ai-hub/contract-review">69</start>
      <end xmlns="http://schemas.wps.cn/vas-ai-hub/contract-review">74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24a5d118-3701-4286-9191-b342477737b7</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
      <paraID xmlns="http://schemas.wps.cn/vas-ai-hub/contract-review">7A8024D1</paraID>
      <start xmlns="http://schemas.wps.cn/vas-ai-hub/contract-review">13</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7f82eaf7-f51b-4da9-a44b-0604ed63b964</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 5618425</paraID>
      <start xmlns="http://schemas.wps.cn/vas-ai-hub/contract-review">8</start>
      <end xmlns="http://schemas.wps.cn/vas-ai-hub/contract-review">12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2747e4ab-5509-4653-a290-9fdc42f62743</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519D8C8E</paraID>
      <start xmlns="http://schemas.wps.cn/vas-ai-hub/contract-review">80</start>
      <end xmlns="http://schemas.wps.cn/vas-ai-hub/contract-review">84</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3F1051-C3BD-403C-BD85-A148BFC1F9B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124</Pages>
  <Words>11263</Words>
  <Characters>11702</Characters>
  <Lines>1418</Lines>
  <Paragraphs>1355</Paragraphs>
  <TotalTime>4</TotalTime>
  <ScaleCrop>false</ScaleCrop>
  <LinksUpToDate>false</LinksUpToDate>
  <CharactersWithSpaces>11814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2021-04-20T08:29:00Z</dcterms:created>
  <dc:creator>thsware</dc:creator>
  <cp:lastModifiedBy>yt</cp:lastModifiedBy>
  <cp:lastPrinted>2021-05-10T08:02:00Z</cp:lastPrinted>
  <dcterms:modified xsi:type="dcterms:W3CDTF">2026-08-28T17:13:54Z</dcterms:modified>
  <dc:title>招  标　文　件</dc:title>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B0B427E41DE9BBFB4951916A55631C9D</vt:lpwstr>
  </property>
  <property fmtid="{D5CDD505-2E9C-101B-9397-08002B2CF9AE}" pid="4" name="KSOTemplateDocerSaveRecord">
    <vt:lpwstr>eyJoZGlkIjoiNjBmYTA2MzdjNzI4ZjVjYTRkMjI2NTliMDY5ZmU0ODciLCJ1c2VySWQiOiIxNDc4MjUzNDQzIn0=</vt:lpwstr>
  </property>
</Properties>
</file>