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654" w:firstLineChars="1300"/>
        <w:rPr>
          <w:rFonts w:ascii="宋体" w:hAnsi="宋体"/>
          <w:color w:val="FF0000"/>
          <w:szCs w:val="21"/>
        </w:rPr>
      </w:pPr>
      <w:r>
        <w:rPr>
          <w:rFonts w:hint="eastAsia" w:ascii="宋体" w:hAnsi="宋体" w:eastAsia="黑体"/>
          <w:b/>
          <w:bCs/>
          <w:color w:val="FF0000"/>
          <w:kern w:val="44"/>
          <w:sz w:val="28"/>
          <w:szCs w:val="44"/>
        </w:rPr>
        <w:t>特别警示条款</w:t>
      </w:r>
    </w:p>
    <w:p>
      <w:pPr>
        <w:pBdr>
          <w:top w:val="none" w:color="auto" w:sz="0" w:space="1"/>
          <w:left w:val="none" w:color="auto" w:sz="0" w:space="4"/>
          <w:bottom w:val="none" w:color="auto" w:sz="0" w:space="1"/>
          <w:right w:val="none" w:color="auto" w:sz="0" w:space="4"/>
        </w:pBdr>
        <w:ind w:firstLine="421" w:firstLineChars="200"/>
        <w:rPr>
          <w:rFonts w:ascii="宋体" w:hAnsi="宋体" w:cs="宋体"/>
          <w:b/>
          <w:bCs/>
          <w:color w:val="FF0000"/>
          <w:szCs w:val="21"/>
        </w:rPr>
      </w:pPr>
    </w:p>
    <w:p>
      <w:pPr>
        <w:pBdr>
          <w:top w:val="none" w:color="auto" w:sz="0" w:space="1"/>
          <w:left w:val="none" w:color="auto" w:sz="0" w:space="4"/>
          <w:bottom w:val="none" w:color="auto" w:sz="0" w:space="1"/>
          <w:right w:val="none" w:color="auto" w:sz="0" w:space="4"/>
        </w:pBdr>
        <w:ind w:firstLine="421" w:firstLineChars="200"/>
        <w:rPr>
          <w:rFonts w:ascii="宋体" w:hAnsi="宋体" w:cs="宋体"/>
          <w:b/>
          <w:bCs/>
          <w:color w:val="FF0000"/>
          <w:szCs w:val="21"/>
        </w:rPr>
      </w:pPr>
      <w:r>
        <w:rPr>
          <w:rFonts w:hint="eastAsia" w:ascii="宋体" w:hAnsi="宋体" w:cs="宋体"/>
          <w:b/>
          <w:bCs/>
          <w:color w:val="FF0000"/>
          <w:szCs w:val="21"/>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color w:val="FF0000"/>
                <w:szCs w:val="21"/>
              </w:rPr>
              <w:t>序号</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b/>
                <w:bCs/>
                <w:color w:val="FF0000"/>
                <w:szCs w:val="21"/>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color w:val="FF0000"/>
                <w:szCs w:val="21"/>
              </w:rPr>
              <w:t>1</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jc w:val="left"/>
              <w:rPr>
                <w:rFonts w:ascii="宋体" w:hAnsi="宋体" w:cs="宋体"/>
                <w:color w:val="FF0000"/>
                <w:szCs w:val="21"/>
              </w:rPr>
            </w:pPr>
            <w:r>
              <w:rPr>
                <w:rFonts w:hint="eastAsia" w:ascii="宋体" w:hAnsi="宋体" w:cs="宋体"/>
                <w:color w:val="FF0000"/>
                <w:szCs w:val="21"/>
              </w:rPr>
              <w:t>与其他投标供应商的法定代表人、主要经营负责人、投标授权代表人、项目负责人、主要技术人员为</w:t>
            </w:r>
            <w:r>
              <w:rPr>
                <w:rFonts w:hint="eastAsia" w:ascii="宋体" w:hAnsi="宋体" w:cs="宋体"/>
                <w:b/>
                <w:bCs/>
                <w:color w:val="FF0000"/>
                <w:szCs w:val="21"/>
              </w:rPr>
              <w:t>同一人、属同一单位或者在同一单位缴纳社会保险</w:t>
            </w:r>
            <w:r>
              <w:rPr>
                <w:rFonts w:hint="eastAsia" w:ascii="宋体" w:hAnsi="宋体" w:cs="宋体"/>
                <w:color w:val="FF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color w:val="FF0000"/>
                <w:szCs w:val="21"/>
              </w:rPr>
              <w:t>2</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jc w:val="left"/>
              <w:rPr>
                <w:rFonts w:ascii="宋体" w:hAnsi="宋体" w:cs="宋体"/>
                <w:color w:val="FF0000"/>
                <w:szCs w:val="21"/>
              </w:rPr>
            </w:pPr>
            <w:r>
              <w:rPr>
                <w:rFonts w:hint="eastAsia" w:ascii="宋体" w:hAnsi="宋体" w:cs="宋体"/>
                <w:color w:val="FF0000"/>
                <w:szCs w:val="21"/>
              </w:rPr>
              <w:t>参与本项目政府采购活动时，与其他投标供应商存在单位负责人为</w:t>
            </w:r>
            <w:r>
              <w:rPr>
                <w:rFonts w:hint="eastAsia" w:ascii="宋体" w:hAnsi="宋体" w:cs="宋体"/>
                <w:b/>
                <w:bCs/>
                <w:color w:val="FF0000"/>
                <w:szCs w:val="21"/>
              </w:rPr>
              <w:t>同一人或直接控股、管理关系</w:t>
            </w:r>
            <w:r>
              <w:rPr>
                <w:rFonts w:hint="eastAsia" w:ascii="宋体" w:hAnsi="宋体" w:cs="宋体"/>
                <w:color w:val="FF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color w:val="FF0000"/>
                <w:szCs w:val="21"/>
              </w:rPr>
              <w:t>3</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jc w:val="left"/>
              <w:rPr>
                <w:rFonts w:ascii="宋体" w:hAnsi="宋体" w:cs="宋体"/>
                <w:color w:val="FF0000"/>
                <w:szCs w:val="21"/>
              </w:rPr>
            </w:pPr>
            <w:r>
              <w:rPr>
                <w:rFonts w:hint="eastAsia" w:ascii="宋体" w:hAnsi="宋体" w:cs="宋体"/>
                <w:color w:val="FF0000"/>
                <w:szCs w:val="21"/>
              </w:rPr>
              <w:t>与其他投标供应商的投标文件或部分投标文件</w:t>
            </w:r>
            <w:r>
              <w:rPr>
                <w:rFonts w:hint="eastAsia" w:ascii="宋体" w:hAnsi="宋体" w:cs="宋体"/>
                <w:b/>
                <w:bCs/>
                <w:color w:val="FF0000"/>
                <w:szCs w:val="21"/>
              </w:rPr>
              <w:t>相互混装或存在非正常一致</w:t>
            </w:r>
            <w:r>
              <w:rPr>
                <w:rFonts w:hint="eastAsia" w:ascii="宋体" w:hAnsi="宋体" w:cs="宋体"/>
                <w:color w:val="FF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color w:val="FF0000"/>
                <w:szCs w:val="21"/>
              </w:rPr>
              <w:t>4</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jc w:val="left"/>
              <w:rPr>
                <w:rFonts w:ascii="宋体" w:hAnsi="宋体" w:cs="宋体"/>
                <w:color w:val="FF0000"/>
                <w:szCs w:val="21"/>
              </w:rPr>
            </w:pPr>
            <w:r>
              <w:rPr>
                <w:rFonts w:hint="eastAsia" w:ascii="宋体" w:hAnsi="宋体" w:cs="宋体"/>
                <w:color w:val="FF0000"/>
                <w:szCs w:val="21"/>
              </w:rPr>
              <w:t>与其他投标供应商的投标文件由</w:t>
            </w:r>
            <w:r>
              <w:rPr>
                <w:rFonts w:hint="eastAsia" w:ascii="宋体" w:hAnsi="宋体" w:cs="宋体"/>
                <w:b/>
                <w:bCs/>
                <w:color w:val="FF0000"/>
                <w:szCs w:val="21"/>
              </w:rPr>
              <w:t>同一单位或者同一人编制</w:t>
            </w:r>
            <w:r>
              <w:rPr>
                <w:rFonts w:hint="eastAsia" w:ascii="宋体" w:hAnsi="宋体" w:cs="宋体"/>
                <w:color w:val="FF0000"/>
                <w:szCs w:val="21"/>
              </w:rPr>
              <w:t>，或者使用</w:t>
            </w:r>
            <w:r>
              <w:rPr>
                <w:rFonts w:hint="eastAsia" w:ascii="宋体" w:hAnsi="宋体" w:cs="宋体"/>
                <w:b/>
                <w:bCs/>
                <w:color w:val="FF0000"/>
                <w:szCs w:val="21"/>
              </w:rPr>
              <w:t>同一设备编制</w:t>
            </w:r>
            <w:r>
              <w:rPr>
                <w:rFonts w:hint="eastAsia" w:ascii="宋体" w:hAnsi="宋体" w:cs="宋体"/>
                <w:color w:val="FF0000"/>
                <w:szCs w:val="21"/>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color w:val="FF0000"/>
                <w:szCs w:val="21"/>
              </w:rPr>
              <w:t>5</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jc w:val="left"/>
              <w:rPr>
                <w:rFonts w:ascii="宋体" w:hAnsi="宋体" w:cs="宋体"/>
                <w:color w:val="FF0000"/>
                <w:szCs w:val="21"/>
              </w:rPr>
            </w:pPr>
            <w:r>
              <w:rPr>
                <w:rFonts w:hint="eastAsia" w:ascii="宋体" w:hAnsi="宋体" w:cs="宋体"/>
                <w:color w:val="FF0000"/>
                <w:szCs w:val="21"/>
              </w:rPr>
              <w:t>提供</w:t>
            </w:r>
            <w:r>
              <w:rPr>
                <w:rFonts w:hint="eastAsia" w:ascii="宋体" w:hAnsi="宋体" w:cs="宋体"/>
                <w:b/>
                <w:bCs/>
                <w:color w:val="FF0000"/>
                <w:szCs w:val="21"/>
              </w:rPr>
              <w:t>未经出具机构核实</w:t>
            </w:r>
            <w:r>
              <w:rPr>
                <w:rFonts w:hint="eastAsia" w:ascii="宋体" w:hAnsi="宋体" w:cs="宋体"/>
                <w:color w:val="FF0000"/>
                <w:szCs w:val="21"/>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jc w:val="center"/>
              <w:rPr>
                <w:rFonts w:ascii="宋体" w:hAnsi="宋体" w:cs="宋体"/>
                <w:color w:val="FF0000"/>
                <w:szCs w:val="21"/>
              </w:rPr>
            </w:pPr>
            <w:r>
              <w:rPr>
                <w:rFonts w:hint="eastAsia" w:ascii="宋体" w:hAnsi="宋体" w:cs="宋体"/>
                <w:color w:val="FF0000"/>
                <w:szCs w:val="21"/>
              </w:rPr>
              <w:t>6</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jc w:val="left"/>
              <w:rPr>
                <w:rFonts w:ascii="宋体" w:hAnsi="宋体" w:cs="宋体"/>
                <w:color w:val="FF0000"/>
                <w:szCs w:val="21"/>
              </w:rPr>
            </w:pPr>
            <w:r>
              <w:rPr>
                <w:rFonts w:hint="eastAsia" w:ascii="宋体" w:hAnsi="宋体" w:cs="宋体"/>
                <w:color w:val="FF0000"/>
                <w:szCs w:val="21"/>
              </w:rPr>
              <w:t>擅自将投标密钥或电子营业执照出借他人使用或未妥善保管。</w:t>
            </w:r>
          </w:p>
        </w:tc>
      </w:tr>
    </w:tbl>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（一）在采购活动中应当回避而未回避的；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（二）未按本条例规定签订、履行采购合同，造成严重后果的；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（三）隐瞒真实情况，提供虚假资料的；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（四）以非法手段排斥其他供应商参与竞争的；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（五）与其他采购参加人串通投标的；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（六）恶意投诉的；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（七）向采购项目相关人行贿或者提供其他不当利益的；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（八）阻碍、抗拒主管部门监督检查的；</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（九）其他违反本条例规定的行为。</w:t>
      </w:r>
    </w:p>
    <w:p>
      <w:pPr>
        <w:pBdr>
          <w:top w:val="none" w:color="auto" w:sz="0" w:space="1"/>
          <w:left w:val="none" w:color="auto" w:sz="0" w:space="4"/>
          <w:bottom w:val="none" w:color="auto" w:sz="0" w:space="1"/>
          <w:right w:val="none" w:color="auto" w:sz="0" w:space="4"/>
        </w:pBdr>
        <w:rPr>
          <w:rFonts w:ascii="宋体" w:hAnsi="宋体"/>
          <w:b/>
          <w:bCs/>
          <w:color w:val="FF0000"/>
          <w:sz w:val="20"/>
          <w:szCs w:val="20"/>
        </w:rPr>
      </w:pPr>
    </w:p>
    <w:p>
      <w:pPr>
        <w:pBdr>
          <w:top w:val="none" w:color="auto" w:sz="0" w:space="1"/>
          <w:left w:val="none" w:color="auto" w:sz="0" w:space="4"/>
          <w:bottom w:val="none" w:color="auto" w:sz="0" w:space="1"/>
          <w:right w:val="none" w:color="auto" w:sz="0" w:space="4"/>
        </w:pBdr>
        <w:ind w:firstLine="401" w:firstLineChars="200"/>
        <w:rPr>
          <w:rFonts w:ascii="宋体" w:hAnsi="宋体"/>
          <w:color w:val="FF0000"/>
          <w:sz w:val="20"/>
          <w:szCs w:val="20"/>
        </w:rPr>
      </w:pPr>
      <w:r>
        <w:rPr>
          <w:rFonts w:hint="eastAsia" w:ascii="宋体" w:hAnsi="宋体"/>
          <w:b/>
          <w:bCs/>
          <w:color w:val="FF0000"/>
          <w:sz w:val="20"/>
          <w:szCs w:val="20"/>
        </w:rPr>
        <w:t xml:space="preserve">二、《深圳经济特区政府采购条例实施细则》第七十五条 </w:t>
      </w:r>
      <w:r>
        <w:rPr>
          <w:rFonts w:hint="eastAsia" w:ascii="宋体" w:hAnsi="宋体"/>
          <w:color w:val="FF0000"/>
          <w:sz w:val="20"/>
          <w:szCs w:val="20"/>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pBdr>
          <w:top w:val="none" w:color="auto" w:sz="0" w:space="1"/>
          <w:left w:val="none" w:color="auto" w:sz="0" w:space="4"/>
          <w:bottom w:val="none" w:color="auto" w:sz="0" w:space="1"/>
          <w:right w:val="none" w:color="auto" w:sz="0" w:space="4"/>
        </w:pBdr>
        <w:ind w:firstLine="401" w:firstLineChars="200"/>
        <w:rPr>
          <w:rFonts w:ascii="宋体" w:hAnsi="宋体"/>
          <w:b/>
          <w:bCs/>
          <w:color w:val="FF0000"/>
          <w:sz w:val="20"/>
          <w:szCs w:val="20"/>
        </w:rPr>
      </w:pPr>
    </w:p>
    <w:p>
      <w:pPr>
        <w:pBdr>
          <w:top w:val="none" w:color="auto" w:sz="0" w:space="1"/>
          <w:left w:val="none" w:color="auto" w:sz="0" w:space="4"/>
          <w:bottom w:val="none" w:color="auto" w:sz="0" w:space="1"/>
          <w:right w:val="none" w:color="auto" w:sz="0" w:space="4"/>
        </w:pBdr>
        <w:ind w:firstLine="401" w:firstLineChars="200"/>
        <w:rPr>
          <w:rFonts w:ascii="宋体" w:hAnsi="宋体"/>
          <w:color w:val="FF0000"/>
          <w:sz w:val="20"/>
          <w:szCs w:val="20"/>
        </w:rPr>
      </w:pPr>
      <w:r>
        <w:rPr>
          <w:rFonts w:hint="eastAsia" w:ascii="宋体" w:hAnsi="宋体"/>
          <w:b/>
          <w:bCs/>
          <w:color w:val="FF0000"/>
          <w:sz w:val="20"/>
          <w:szCs w:val="20"/>
        </w:rPr>
        <w:t xml:space="preserve">三、《深圳经济特区政府采购条例实施细则》第七十七条 </w:t>
      </w:r>
      <w:r>
        <w:rPr>
          <w:rFonts w:hint="eastAsia" w:ascii="宋体" w:hAnsi="宋体"/>
          <w:color w:val="FF0000"/>
          <w:sz w:val="20"/>
          <w:szCs w:val="20"/>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pBdr>
          <w:top w:val="none" w:color="auto" w:sz="0" w:space="1"/>
          <w:left w:val="none" w:color="auto" w:sz="0" w:space="4"/>
          <w:bottom w:val="none" w:color="auto" w:sz="0" w:space="1"/>
          <w:right w:val="none" w:color="auto" w:sz="0" w:space="4"/>
        </w:pBdr>
        <w:ind w:firstLine="400" w:firstLineChars="200"/>
        <w:rPr>
          <w:rFonts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pPr>
        <w:pBdr>
          <w:top w:val="none" w:color="auto" w:sz="0" w:space="1"/>
          <w:left w:val="none" w:color="auto" w:sz="0" w:space="4"/>
          <w:bottom w:val="none" w:color="auto" w:sz="0" w:space="1"/>
          <w:right w:val="none" w:color="auto" w:sz="0" w:space="4"/>
        </w:pBdr>
        <w:ind w:firstLine="400" w:firstLineChars="200"/>
        <w:rPr>
          <w:bCs/>
          <w:color w:val="FF0000"/>
          <w:sz w:val="20"/>
          <w:szCs w:val="20"/>
        </w:rPr>
      </w:pPr>
    </w:p>
    <w:p>
      <w:pPr>
        <w:pBdr>
          <w:top w:val="none" w:color="auto" w:sz="0" w:space="1"/>
          <w:left w:val="none" w:color="auto" w:sz="0" w:space="4"/>
          <w:bottom w:val="none" w:color="auto" w:sz="0" w:space="1"/>
          <w:right w:val="none" w:color="auto" w:sz="0" w:space="4"/>
        </w:pBdr>
        <w:ind w:firstLine="400" w:firstLineChars="200"/>
        <w:rPr>
          <w:bCs/>
          <w:color w:val="FF0000"/>
          <w:sz w:val="20"/>
          <w:szCs w:val="20"/>
        </w:rPr>
      </w:pPr>
      <w:r>
        <w:rPr>
          <w:rFonts w:hint="eastAsia"/>
          <w:bCs/>
          <w:color w:val="FF0000"/>
          <w:sz w:val="20"/>
          <w:szCs w:val="20"/>
        </w:rPr>
        <w:t>四、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pBdr>
          <w:top w:val="none" w:color="auto" w:sz="0" w:space="1"/>
          <w:left w:val="none" w:color="auto" w:sz="0" w:space="4"/>
          <w:bottom w:val="none" w:color="auto" w:sz="0" w:space="1"/>
          <w:right w:val="none" w:color="auto" w:sz="0" w:space="4"/>
        </w:pBdr>
        <w:ind w:firstLine="400" w:firstLineChars="200"/>
        <w:rPr>
          <w:bCs/>
          <w:color w:val="FF0000"/>
          <w:sz w:val="20"/>
          <w:szCs w:val="20"/>
        </w:rPr>
      </w:pPr>
      <w:r>
        <w:rPr>
          <w:rFonts w:hint="eastAsia"/>
          <w:bCs/>
          <w:color w:val="FF0000"/>
          <w:sz w:val="20"/>
          <w:szCs w:val="20"/>
        </w:rPr>
        <w:t>为避免出现不同供应商投标文件的文件制作机器码、文件创建标识码、IP地址一致的异常情况，建议各供应商编制、上传投标文件时不要使用公共电脑设备或公共网络。</w:t>
      </w:r>
    </w:p>
    <w:p>
      <w:pPr>
        <w:pBdr>
          <w:top w:val="none" w:color="auto" w:sz="0" w:space="1"/>
          <w:left w:val="none" w:color="auto" w:sz="0" w:space="4"/>
          <w:bottom w:val="none" w:color="auto" w:sz="0" w:space="1"/>
          <w:right w:val="none" w:color="auto" w:sz="0" w:space="4"/>
        </w:pBdr>
        <w:ind w:firstLine="400" w:firstLineChars="200"/>
        <w:rPr>
          <w:bCs/>
          <w:color w:val="FF0000"/>
          <w:sz w:val="20"/>
          <w:szCs w:val="20"/>
        </w:rPr>
      </w:pPr>
      <w:r>
        <w:rPr>
          <w:rFonts w:hint="eastAsia"/>
          <w:bCs/>
          <w:color w:val="FF0000"/>
          <w:sz w:val="20"/>
          <w:szCs w:val="20"/>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color w:val="FF0000"/>
          <w:sz w:val="20"/>
          <w:szCs w:val="20"/>
        </w:rPr>
        <w:t>取消参与本市政府采购资格</w:t>
      </w:r>
      <w:r>
        <w:rPr>
          <w:rFonts w:hint="eastAsia" w:hAnsi="宋体"/>
          <w:color w:val="FF0000"/>
          <w:sz w:val="20"/>
          <w:szCs w:val="20"/>
        </w:rPr>
        <w:t>、</w:t>
      </w:r>
      <w:r>
        <w:rPr>
          <w:rFonts w:hint="eastAsia" w:ascii="宋体" w:hAnsi="宋体"/>
          <w:color w:val="FF0000"/>
          <w:sz w:val="20"/>
          <w:szCs w:val="20"/>
        </w:rPr>
        <w:t>依法吊销其营业</w:t>
      </w:r>
      <w:r>
        <w:rPr>
          <w:rFonts w:hint="eastAsia" w:hAnsi="宋体"/>
          <w:color w:val="FF0000"/>
          <w:sz w:val="20"/>
          <w:szCs w:val="20"/>
        </w:rPr>
        <w:t>执照等行政处罚，</w:t>
      </w:r>
      <w:r>
        <w:rPr>
          <w:rFonts w:hint="eastAsia" w:ascii="宋体" w:hAnsi="宋体"/>
          <w:color w:val="FF0000"/>
          <w:sz w:val="20"/>
          <w:szCs w:val="20"/>
        </w:rPr>
        <w:t>构成犯罪的，依法追究刑事责任</w:t>
      </w:r>
      <w:r>
        <w:rPr>
          <w:rFonts w:hint="eastAsia"/>
          <w:bCs/>
          <w:color w:val="FF0000"/>
          <w:sz w:val="20"/>
          <w:szCs w:val="20"/>
        </w:rPr>
        <w:t>，请各供应商独立编制、上传投标文件，妥善保管和使用电子密钥。</w:t>
      </w:r>
    </w:p>
    <w:p>
      <w:pPr>
        <w:pBdr>
          <w:top w:val="none" w:color="auto" w:sz="0" w:space="1"/>
          <w:left w:val="none" w:color="auto" w:sz="0" w:space="4"/>
          <w:bottom w:val="none" w:color="auto" w:sz="0" w:space="1"/>
          <w:right w:val="none" w:color="auto" w:sz="0" w:space="4"/>
        </w:pBdr>
        <w:ind w:firstLine="421" w:firstLineChars="200"/>
        <w:rPr>
          <w:b/>
          <w:color w:val="FF0000"/>
        </w:rPr>
      </w:pPr>
    </w:p>
    <w:p>
      <w:pPr>
        <w:pBdr>
          <w:top w:val="none" w:color="auto" w:sz="0" w:space="1"/>
          <w:left w:val="none" w:color="auto" w:sz="0" w:space="4"/>
          <w:bottom w:val="none" w:color="auto" w:sz="0" w:space="1"/>
          <w:right w:val="none" w:color="auto" w:sz="0" w:space="4"/>
        </w:pBdr>
        <w:ind w:firstLine="421" w:firstLineChars="200"/>
        <w:rPr>
          <w:b/>
          <w:color w:val="FF0000"/>
        </w:rPr>
      </w:pPr>
      <w:r>
        <w:rPr>
          <w:rFonts w:hint="eastAsia"/>
          <w:b/>
          <w:color w:val="FF0000"/>
        </w:rPr>
        <w:t>五、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p>
      <w:pPr>
        <w:pStyle w:val="2"/>
        <w:numPr>
          <w:ilvl w:val="255"/>
          <w:numId w:val="0"/>
        </w:numPr>
        <w:spacing w:line="240" w:lineRule="auto"/>
      </w:pPr>
    </w:p>
    <w:p>
      <w:pPr>
        <w:pBdr>
          <w:top w:val="none" w:color="auto" w:sz="0" w:space="1"/>
          <w:left w:val="none" w:color="auto" w:sz="0" w:space="4"/>
          <w:bottom w:val="none" w:color="auto" w:sz="0" w:space="1"/>
          <w:right w:val="none" w:color="auto" w:sz="0" w:space="4"/>
        </w:pBdr>
        <w:ind w:firstLine="421" w:firstLineChars="200"/>
      </w:pPr>
      <w:r>
        <w:rPr>
          <w:rFonts w:hint="eastAsia"/>
          <w:b/>
          <w:color w:val="FF0000"/>
        </w:rPr>
        <w:t>六、请投标供应商阅读《政府采购违法行为风险知悉确认书》（内容详见“投标文件附件（信息不公开部分）”中节点“投标人认为需要加以说明的其他内容（格式自定）”），并经各投标供应商负责人签字并加盖单位公章后，扫描上传至投标文件一并提交。</w:t>
      </w:r>
    </w:p>
    <w:p>
      <w:pPr>
        <w:pStyle w:val="193"/>
        <w:pBdr>
          <w:top w:val="none" w:color="auto" w:sz="0" w:space="1"/>
          <w:left w:val="none" w:color="auto" w:sz="0" w:space="4"/>
          <w:bottom w:val="none" w:color="auto" w:sz="0" w:space="1"/>
          <w:right w:val="none" w:color="auto" w:sz="0" w:space="4"/>
        </w:pBdr>
        <w:rPr>
          <w:bCs/>
          <w:color w:val="FF0000"/>
          <w:sz w:val="20"/>
          <w:szCs w:val="20"/>
        </w:rPr>
      </w:pPr>
    </w:p>
    <w:p>
      <w:pPr>
        <w:widowControl/>
        <w:pBdr>
          <w:top w:val="none" w:color="auto" w:sz="0" w:space="1"/>
          <w:left w:val="none" w:color="auto" w:sz="0" w:space="4"/>
          <w:bottom w:val="none" w:color="auto" w:sz="0" w:space="1"/>
          <w:right w:val="none" w:color="auto" w:sz="0" w:space="4"/>
        </w:pBdr>
        <w:rPr>
          <w:b/>
          <w:color w:val="FF0000"/>
        </w:rPr>
      </w:pPr>
      <w:r>
        <w:rPr>
          <w:rFonts w:hint="eastAsia"/>
          <w:b/>
          <w:color w:val="FF0000"/>
        </w:rPr>
        <w:t>注：“特别警示条款”和《政府采购违法行为风险知悉确认书》用于对供应商违法行为的提醒，不作为供应商资格性审查及符合性审查条件。</w:t>
      </w:r>
    </w:p>
    <w:p>
      <w:pPr>
        <w:widowControl/>
        <w:spacing w:beforeAutospacing="1" w:afterAutospacing="1"/>
        <w:jc w:val="center"/>
        <w:rPr>
          <w:rFonts w:ascii="黑体" w:hAnsi="宋体" w:eastAsia="黑体" w:cs="黑体"/>
          <w:kern w:val="0"/>
          <w:sz w:val="40"/>
          <w:szCs w:val="40"/>
        </w:rPr>
      </w:pPr>
    </w:p>
    <w:p>
      <w:pPr>
        <w:widowControl/>
        <w:spacing w:beforeAutospacing="1" w:afterAutospacing="1"/>
        <w:jc w:val="center"/>
        <w:rPr>
          <w:rFonts w:ascii="黑体" w:hAnsi="宋体" w:eastAsia="黑体" w:cs="黑体"/>
          <w:kern w:val="0"/>
          <w:sz w:val="40"/>
          <w:szCs w:val="40"/>
        </w:rPr>
      </w:pPr>
    </w:p>
    <w:p>
      <w:pPr>
        <w:widowControl/>
        <w:spacing w:beforeAutospacing="1" w:afterAutospacing="1"/>
        <w:jc w:val="center"/>
        <w:outlineLvl w:val="1"/>
        <w:rPr>
          <w:rFonts w:ascii="黑体" w:hAnsi="宋体" w:eastAsia="黑体" w:cs="黑体"/>
          <w:kern w:val="0"/>
          <w:sz w:val="40"/>
          <w:szCs w:val="40"/>
        </w:rPr>
        <w:sectPr>
          <w:headerReference r:id="rId3" w:type="first"/>
          <w:footerReference r:id="rId6" w:type="first"/>
          <w:footerReference r:id="rId4" w:type="default"/>
          <w:footerReference r:id="rId5" w:type="even"/>
          <w:pgSz w:w="11907" w:h="16840"/>
          <w:pgMar w:top="1440" w:right="1417" w:bottom="1440" w:left="1417" w:header="851" w:footer="992" w:gutter="0"/>
          <w:cols w:space="425" w:num="1"/>
          <w:titlePg/>
          <w:docGrid w:linePitch="462" w:charSpace="0"/>
        </w:sectPr>
      </w:pPr>
    </w:p>
    <w:p>
      <w:pPr>
        <w:widowControl/>
        <w:spacing w:beforeAutospacing="1" w:afterAutospacing="1"/>
        <w:jc w:val="center"/>
        <w:rPr>
          <w:rFonts w:ascii="黑体" w:hAnsi="宋体" w:eastAsia="黑体" w:cs="黑体"/>
          <w:kern w:val="0"/>
          <w:sz w:val="40"/>
          <w:szCs w:val="40"/>
        </w:rPr>
      </w:pPr>
    </w:p>
    <w:p>
      <w:pPr>
        <w:widowControl/>
        <w:spacing w:beforeAutospacing="1" w:afterAutospacing="1"/>
        <w:jc w:val="center"/>
        <w:rPr>
          <w:rFonts w:ascii="黑体" w:hAnsi="宋体" w:eastAsia="黑体" w:cs="黑体"/>
          <w:kern w:val="0"/>
          <w:sz w:val="40"/>
          <w:szCs w:val="40"/>
        </w:rPr>
      </w:pPr>
    </w:p>
    <w:p>
      <w:pPr>
        <w:widowControl/>
        <w:spacing w:beforeAutospacing="1" w:afterAutospacing="1"/>
        <w:jc w:val="center"/>
        <w:rPr>
          <w:rFonts w:ascii="黑体" w:hAnsi="宋体" w:eastAsia="黑体" w:cs="黑体"/>
          <w:kern w:val="0"/>
          <w:sz w:val="40"/>
          <w:szCs w:val="40"/>
        </w:rPr>
      </w:pPr>
    </w:p>
    <w:p>
      <w:pPr>
        <w:widowControl/>
        <w:spacing w:beforeAutospacing="1" w:afterAutospacing="1"/>
        <w:jc w:val="center"/>
        <w:outlineLvl w:val="1"/>
        <w:rPr>
          <w:rFonts w:ascii="黑体" w:hAnsi="宋体" w:eastAsia="黑体" w:cs="黑体"/>
          <w:kern w:val="0"/>
          <w:sz w:val="40"/>
          <w:szCs w:val="40"/>
        </w:rPr>
      </w:pPr>
      <w:r>
        <w:rPr>
          <w:rFonts w:hint="eastAsia" w:ascii="黑体" w:hAnsi="宋体" w:eastAsia="黑体" w:cs="黑体"/>
          <w:kern w:val="0"/>
          <w:sz w:val="40"/>
          <w:szCs w:val="40"/>
        </w:rPr>
        <w:t>招标文件信息</w:t>
      </w:r>
    </w:p>
    <w:tbl>
      <w:tblPr>
        <w:tblStyle w:val="43"/>
        <w:tblW w:w="7943" w:type="dxa"/>
        <w:jc w:val="center"/>
        <w:tblCellSpacing w:w="0" w:type="dxa"/>
        <w:tblLayout w:type="fixed"/>
        <w:tblCellMar>
          <w:top w:w="45" w:type="dxa"/>
          <w:left w:w="45" w:type="dxa"/>
          <w:bottom w:w="45" w:type="dxa"/>
          <w:right w:w="45" w:type="dxa"/>
        </w:tblCellMar>
      </w:tblPr>
      <w:tblGrid>
        <w:gridCol w:w="2723"/>
        <w:gridCol w:w="5220"/>
      </w:tblGrid>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2"/>
                <w:szCs w:val="32"/>
              </w:rPr>
            </w:pPr>
            <w:r>
              <w:rPr>
                <w:rFonts w:ascii="宋体" w:hAnsi="宋体" w:cs="宋体"/>
                <w:kern w:val="0"/>
                <w:sz w:val="32"/>
                <w:szCs w:val="32"/>
                <w:lang w:bidi="ar"/>
              </w:rPr>
              <w:t>项目编号：</w:t>
            </w:r>
          </w:p>
        </w:tc>
        <w:tc>
          <w:tcPr>
            <w:tcW w:w="5220" w:type="dxa"/>
            <w:shd w:val="clear" w:color="auto" w:fill="auto"/>
            <w:vAlign w:val="center"/>
          </w:tcPr>
          <w:p>
            <w:pPr>
              <w:widowControl/>
              <w:jc w:val="left"/>
              <w:rPr>
                <w:sz w:val="32"/>
                <w:szCs w:val="32"/>
              </w:rPr>
            </w:pPr>
            <w:r>
              <w:rPr>
                <w:rFonts w:ascii="宋体" w:hAnsi="宋体" w:cs="宋体"/>
                <w:kern w:val="0"/>
                <w:sz w:val="32"/>
                <w:szCs w:val="32"/>
                <w:lang w:bidi="ar"/>
              </w:rPr>
              <w:t>**********</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2"/>
                <w:szCs w:val="32"/>
              </w:rPr>
            </w:pPr>
            <w:r>
              <w:rPr>
                <w:rFonts w:ascii="宋体" w:hAnsi="宋体" w:cs="宋体"/>
                <w:kern w:val="0"/>
                <w:sz w:val="32"/>
                <w:szCs w:val="32"/>
                <w:lang w:bidi="ar"/>
              </w:rPr>
              <w:t>项目名称：</w:t>
            </w:r>
          </w:p>
        </w:tc>
        <w:tc>
          <w:tcPr>
            <w:tcW w:w="5220" w:type="dxa"/>
            <w:shd w:val="clear" w:color="auto" w:fill="auto"/>
            <w:vAlign w:val="center"/>
          </w:tcPr>
          <w:p>
            <w:pPr>
              <w:widowControl/>
              <w:jc w:val="left"/>
              <w:rPr>
                <w:sz w:val="32"/>
                <w:szCs w:val="32"/>
              </w:rPr>
            </w:pPr>
            <w:r>
              <w:rPr>
                <w:rFonts w:hint="eastAsia" w:ascii="宋体" w:hAnsi="宋体" w:cs="宋体"/>
                <w:kern w:val="0"/>
                <w:sz w:val="32"/>
                <w:szCs w:val="32"/>
                <w:lang w:eastAsia="zh-CN" w:bidi="ar"/>
              </w:rPr>
              <w:t>盐田区数字化城管业务</w:t>
            </w:r>
            <w:r>
              <w:rPr>
                <w:rFonts w:hint="default" w:ascii="宋体" w:hAnsi="宋体" w:cs="宋体"/>
                <w:kern w:val="0"/>
                <w:sz w:val="32"/>
                <w:szCs w:val="32"/>
                <w:lang w:eastAsia="zh-CN" w:bidi="ar"/>
              </w:rPr>
              <w:t>通讯</w:t>
            </w:r>
            <w:r>
              <w:rPr>
                <w:rFonts w:hint="eastAsia" w:ascii="宋体" w:hAnsi="宋体" w:cs="宋体"/>
                <w:kern w:val="0"/>
                <w:sz w:val="32"/>
                <w:szCs w:val="32"/>
                <w:lang w:eastAsia="zh-CN" w:bidi="ar"/>
              </w:rPr>
              <w:t>服务项</w:t>
            </w:r>
            <w:r>
              <w:rPr>
                <w:rFonts w:hint="eastAsia" w:ascii="仿宋_GB2312" w:hAnsi="仿宋_GB2312" w:eastAsia="仿宋_GB2312" w:cs="仿宋_GB2312"/>
                <w:b w:val="0"/>
                <w:bCs w:val="0"/>
                <w:sz w:val="32"/>
                <w:szCs w:val="32"/>
                <w:vertAlign w:val="baseline"/>
                <w:lang w:eastAsia="zh-CN"/>
              </w:rPr>
              <w:t>目</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2"/>
                <w:szCs w:val="32"/>
              </w:rPr>
            </w:pPr>
            <w:r>
              <w:rPr>
                <w:rFonts w:ascii="宋体" w:hAnsi="宋体" w:cs="宋体"/>
                <w:kern w:val="0"/>
                <w:sz w:val="32"/>
                <w:szCs w:val="32"/>
                <w:lang w:bidi="ar"/>
              </w:rPr>
              <w:t>包 号：</w:t>
            </w:r>
          </w:p>
        </w:tc>
        <w:tc>
          <w:tcPr>
            <w:tcW w:w="5220" w:type="dxa"/>
            <w:shd w:val="clear" w:color="auto" w:fill="auto"/>
            <w:vAlign w:val="center"/>
          </w:tcPr>
          <w:p>
            <w:pPr>
              <w:widowControl/>
              <w:jc w:val="left"/>
              <w:rPr>
                <w:sz w:val="32"/>
                <w:szCs w:val="32"/>
              </w:rPr>
            </w:pPr>
            <w:r>
              <w:rPr>
                <w:rFonts w:ascii="宋体" w:hAnsi="宋体" w:cs="宋体"/>
                <w:kern w:val="0"/>
                <w:sz w:val="32"/>
                <w:szCs w:val="32"/>
                <w:lang w:bidi="ar"/>
              </w:rPr>
              <w:t>A</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2"/>
                <w:szCs w:val="32"/>
              </w:rPr>
            </w:pPr>
            <w:r>
              <w:rPr>
                <w:rFonts w:ascii="宋体" w:hAnsi="宋体" w:cs="宋体"/>
                <w:kern w:val="0"/>
                <w:sz w:val="32"/>
                <w:szCs w:val="32"/>
                <w:lang w:bidi="ar"/>
              </w:rPr>
              <w:t>项目类型：</w:t>
            </w:r>
          </w:p>
        </w:tc>
        <w:tc>
          <w:tcPr>
            <w:tcW w:w="5220" w:type="dxa"/>
            <w:shd w:val="clear" w:color="auto" w:fill="auto"/>
            <w:vAlign w:val="center"/>
          </w:tcPr>
          <w:p>
            <w:pPr>
              <w:widowControl/>
              <w:jc w:val="left"/>
              <w:rPr>
                <w:sz w:val="32"/>
                <w:szCs w:val="32"/>
              </w:rPr>
            </w:pPr>
            <w:r>
              <w:rPr>
                <w:rFonts w:hint="eastAsia" w:ascii="宋体" w:hAnsi="宋体" w:cs="宋体"/>
                <w:kern w:val="0"/>
                <w:sz w:val="32"/>
                <w:szCs w:val="32"/>
                <w:lang w:bidi="ar"/>
              </w:rPr>
              <w:t>服务</w:t>
            </w:r>
            <w:r>
              <w:rPr>
                <w:rFonts w:ascii="宋体" w:hAnsi="宋体" w:cs="宋体"/>
                <w:kern w:val="0"/>
                <w:sz w:val="32"/>
                <w:szCs w:val="32"/>
                <w:lang w:bidi="ar"/>
              </w:rPr>
              <w:t>类</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2"/>
                <w:szCs w:val="32"/>
              </w:rPr>
            </w:pPr>
            <w:r>
              <w:rPr>
                <w:rFonts w:ascii="宋体" w:hAnsi="宋体" w:cs="宋体"/>
                <w:kern w:val="0"/>
                <w:sz w:val="32"/>
                <w:szCs w:val="32"/>
                <w:lang w:bidi="ar"/>
              </w:rPr>
              <w:t>采购方式：</w:t>
            </w:r>
          </w:p>
        </w:tc>
        <w:tc>
          <w:tcPr>
            <w:tcW w:w="5220" w:type="dxa"/>
            <w:shd w:val="clear" w:color="auto" w:fill="auto"/>
            <w:vAlign w:val="center"/>
          </w:tcPr>
          <w:p>
            <w:pPr>
              <w:widowControl/>
              <w:jc w:val="left"/>
              <w:rPr>
                <w:rFonts w:hint="eastAsia" w:eastAsia="宋体"/>
                <w:sz w:val="32"/>
                <w:szCs w:val="32"/>
                <w:lang w:eastAsia="zh-CN"/>
              </w:rPr>
            </w:pPr>
            <w:r>
              <w:rPr>
                <w:rFonts w:ascii="宋体" w:hAnsi="宋体" w:cs="宋体"/>
                <w:kern w:val="0"/>
                <w:sz w:val="32"/>
                <w:szCs w:val="32"/>
                <w:lang w:bidi="ar"/>
              </w:rPr>
              <w:t>公开</w:t>
            </w:r>
            <w:r>
              <w:rPr>
                <w:rFonts w:hint="eastAsia" w:ascii="宋体" w:hAnsi="宋体" w:cs="宋体"/>
                <w:kern w:val="0"/>
                <w:sz w:val="32"/>
                <w:szCs w:val="32"/>
                <w:lang w:val="en-US" w:eastAsia="zh-CN" w:bidi="ar"/>
              </w:rPr>
              <w:t>征集</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2"/>
                <w:szCs w:val="32"/>
              </w:rPr>
            </w:pPr>
            <w:r>
              <w:rPr>
                <w:rFonts w:ascii="宋体" w:hAnsi="宋体" w:cs="宋体"/>
                <w:kern w:val="0"/>
                <w:sz w:val="32"/>
                <w:szCs w:val="32"/>
                <w:lang w:bidi="ar"/>
              </w:rPr>
              <w:t>货币类型：</w:t>
            </w:r>
          </w:p>
        </w:tc>
        <w:tc>
          <w:tcPr>
            <w:tcW w:w="5220" w:type="dxa"/>
            <w:shd w:val="clear" w:color="auto" w:fill="auto"/>
            <w:vAlign w:val="center"/>
          </w:tcPr>
          <w:p>
            <w:pPr>
              <w:widowControl/>
              <w:jc w:val="left"/>
              <w:rPr>
                <w:sz w:val="32"/>
                <w:szCs w:val="32"/>
              </w:rPr>
            </w:pPr>
            <w:r>
              <w:rPr>
                <w:rFonts w:ascii="宋体" w:hAnsi="宋体" w:cs="宋体"/>
                <w:kern w:val="0"/>
                <w:sz w:val="32"/>
                <w:szCs w:val="32"/>
                <w:lang w:bidi="ar"/>
              </w:rPr>
              <w:t>人民币</w:t>
            </w:r>
          </w:p>
        </w:tc>
      </w:tr>
    </w:tbl>
    <w:p>
      <w:pPr>
        <w:pStyle w:val="37"/>
        <w:jc w:val="center"/>
        <w:rPr>
          <w:rFonts w:ascii="黑体" w:hAnsi="黑体" w:eastAsia="黑体"/>
          <w:sz w:val="40"/>
          <w:szCs w:val="40"/>
        </w:rPr>
      </w:pPr>
    </w:p>
    <w:p>
      <w:pPr>
        <w:pStyle w:val="37"/>
        <w:jc w:val="center"/>
        <w:outlineLvl w:val="1"/>
        <w:rPr>
          <w:rFonts w:ascii="黑体" w:hAnsi="黑体" w:eastAsia="黑体"/>
          <w:sz w:val="40"/>
          <w:szCs w:val="40"/>
        </w:rPr>
        <w:sectPr>
          <w:pgSz w:w="11907" w:h="16840"/>
          <w:pgMar w:top="1440" w:right="1417" w:bottom="1440" w:left="1417" w:header="851" w:footer="992" w:gutter="0"/>
          <w:cols w:space="425" w:num="1"/>
          <w:titlePg/>
          <w:docGrid w:linePitch="462" w:charSpace="0"/>
        </w:sectPr>
      </w:pPr>
    </w:p>
    <w:p>
      <w:pPr>
        <w:pStyle w:val="37"/>
        <w:jc w:val="center"/>
        <w:outlineLvl w:val="1"/>
        <w:rPr>
          <w:rFonts w:ascii="黑体" w:hAnsi="黑体" w:eastAsia="黑体"/>
          <w:sz w:val="40"/>
          <w:szCs w:val="40"/>
        </w:rPr>
      </w:pPr>
      <w:r>
        <w:rPr>
          <w:rFonts w:hint="eastAsia" w:ascii="黑体" w:hAnsi="黑体" w:eastAsia="黑体"/>
          <w:sz w:val="40"/>
          <w:szCs w:val="40"/>
        </w:rPr>
        <w:t>资格性审查表</w:t>
      </w:r>
    </w:p>
    <w:tbl>
      <w:tblPr>
        <w:tblStyle w:val="43"/>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7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cs="宋体"/>
                <w:szCs w:val="21"/>
              </w:rPr>
            </w:pPr>
            <w:r>
              <w:rPr>
                <w:rFonts w:hint="eastAsia" w:ascii="宋体" w:hAnsi="宋体" w:cs="宋体"/>
                <w:szCs w:val="21"/>
              </w:rPr>
              <w:t>序号</w:t>
            </w:r>
          </w:p>
        </w:tc>
        <w:tc>
          <w:tcPr>
            <w:tcW w:w="8278" w:type="dxa"/>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cs="宋体"/>
                <w:szCs w:val="21"/>
              </w:rPr>
            </w:pPr>
            <w:r>
              <w:rPr>
                <w:rFonts w:hint="eastAsia" w:ascii="宋体" w:hAnsi="宋体" w:cs="宋体"/>
                <w:szCs w:val="21"/>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1</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kern w:val="0"/>
                <w:szCs w:val="21"/>
                <w:lang w:bidi="ar"/>
              </w:rPr>
              <w:t>投标人不符合资格要求，或未提交相应的资格证明资料（详见招标公告</w:t>
            </w:r>
            <w:r>
              <w:rPr>
                <w:rFonts w:hint="eastAsia" w:ascii="宋体" w:hAnsi="宋体" w:cs="宋体"/>
                <w:szCs w:val="21"/>
              </w:rPr>
              <w:t>投标人资格要求，即申请人的资格要求</w:t>
            </w:r>
            <w:r>
              <w:rPr>
                <w:rFonts w:hint="eastAsia" w:ascii="宋体" w:hAnsi="宋体" w:cs="宋体"/>
                <w:kern w:val="0"/>
                <w:szCs w:val="21"/>
                <w:lang w:bidi="ar"/>
              </w:rPr>
              <w:t>）</w:t>
            </w:r>
          </w:p>
        </w:tc>
      </w:tr>
    </w:tbl>
    <w:p>
      <w:pPr>
        <w:pStyle w:val="37"/>
        <w:spacing w:before="280"/>
        <w:jc w:val="center"/>
        <w:outlineLvl w:val="1"/>
        <w:rPr>
          <w:rFonts w:ascii="黑体" w:hAnsi="黑体" w:eastAsia="黑体"/>
          <w:sz w:val="40"/>
          <w:szCs w:val="40"/>
        </w:rPr>
      </w:pPr>
      <w:r>
        <w:rPr>
          <w:rFonts w:hint="eastAsia" w:ascii="黑体" w:hAnsi="黑体" w:eastAsia="黑体"/>
          <w:sz w:val="40"/>
          <w:szCs w:val="40"/>
        </w:rPr>
        <w:t>符合性审查表</w:t>
      </w:r>
    </w:p>
    <w:tbl>
      <w:tblPr>
        <w:tblStyle w:val="43"/>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7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cs="宋体"/>
                <w:szCs w:val="21"/>
              </w:rPr>
            </w:pPr>
            <w:r>
              <w:rPr>
                <w:rFonts w:hint="eastAsia" w:ascii="宋体" w:hAnsi="宋体" w:cs="宋体"/>
                <w:szCs w:val="21"/>
              </w:rPr>
              <w:t>序号</w:t>
            </w:r>
          </w:p>
        </w:tc>
        <w:tc>
          <w:tcPr>
            <w:tcW w:w="8278" w:type="dxa"/>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cs="宋体"/>
                <w:szCs w:val="21"/>
              </w:rPr>
            </w:pPr>
            <w:r>
              <w:rPr>
                <w:rFonts w:hint="eastAsia" w:ascii="宋体" w:hAnsi="宋体" w:cs="宋体"/>
                <w:szCs w:val="21"/>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1</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不得将一个包的内容拆开投标；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2</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对同一项目投标时，不得提供两套以上的投标方案（招标文件另有规定的除外）；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3</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分项报价或投标总价不得高于相应预算金额（或设定的预算金额下的最高限价）；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4</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5</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未按招标文件所提供的样式填写《投标函》；未按招标文件所提供的《政府采购投标及履约承诺函》进行承诺；未按招标文件对投标文件组成的要求提供投标文件；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6</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采购标的/服务清单/报价等任意一类有缺漏项或响应不全，或者对招标文件规定的项目需求内容或者需求数量进行修改，评审委员会判定投标响应不满足采购需求；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7</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投标文件存在列放位置错误，导致属于信息公开情形的没有被公开；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8</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投标文件电子文档不得带病毒；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9</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投标文件不得用不属于本公司的电子密钥或电子营业执照进行加密；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rFonts w:hint="eastAsia" w:ascii="宋体" w:hAnsi="宋体" w:cs="宋体"/>
                <w:szCs w:val="21"/>
              </w:rPr>
              <w:t>10</w:t>
            </w:r>
          </w:p>
        </w:tc>
        <w:tc>
          <w:tcPr>
            <w:tcW w:w="8278" w:type="dxa"/>
            <w:tcBorders>
              <w:top w:val="single" w:color="000000" w:sz="8" w:space="0"/>
              <w:left w:val="single" w:color="000000" w:sz="8" w:space="0"/>
              <w:bottom w:val="single" w:color="000000" w:sz="8" w:space="0"/>
              <w:right w:val="single" w:color="000000" w:sz="8" w:space="0"/>
            </w:tcBorders>
          </w:tcPr>
          <w:p>
            <w:pPr>
              <w:widowControl/>
              <w:jc w:val="left"/>
              <w:textAlignment w:val="top"/>
              <w:rPr>
                <w:rFonts w:ascii="宋体" w:hAnsi="宋体" w:cs="宋体"/>
                <w:szCs w:val="21"/>
              </w:rPr>
            </w:pPr>
            <w:r>
              <w:rPr>
                <w:rFonts w:hint="eastAsia" w:ascii="宋体" w:hAnsi="宋体" w:cs="宋体"/>
                <w:szCs w:val="21"/>
              </w:rPr>
              <w:t>不得与其他投标供应商投标文件“文件制作机器码”一致；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jc w:val="center"/>
              <w:textAlignment w:val="top"/>
              <w:rPr>
                <w:rFonts w:ascii="宋体" w:hAnsi="宋体" w:cs="宋体"/>
                <w:szCs w:val="21"/>
              </w:rPr>
            </w:pPr>
            <w:r>
              <w:rPr>
                <w:rFonts w:hint="eastAsia" w:ascii="宋体" w:hAnsi="宋体" w:cs="宋体"/>
                <w:szCs w:val="21"/>
              </w:rPr>
              <w:t>11</w:t>
            </w:r>
          </w:p>
        </w:tc>
        <w:tc>
          <w:tcPr>
            <w:tcW w:w="8278" w:type="dxa"/>
            <w:tcBorders>
              <w:top w:val="single" w:color="000000" w:sz="8" w:space="0"/>
              <w:left w:val="single" w:color="000000" w:sz="8" w:space="0"/>
              <w:bottom w:val="single" w:color="000000" w:sz="8" w:space="0"/>
              <w:right w:val="single" w:color="000000" w:sz="8" w:space="0"/>
            </w:tcBorders>
          </w:tcPr>
          <w:p>
            <w:pPr>
              <w:widowControl/>
              <w:jc w:val="left"/>
              <w:textAlignment w:val="top"/>
              <w:rPr>
                <w:rFonts w:ascii="宋体" w:hAnsi="宋体" w:cs="宋体"/>
                <w:szCs w:val="21"/>
              </w:rPr>
            </w:pPr>
            <w:r>
              <w:rPr>
                <w:rFonts w:hint="eastAsia" w:ascii="宋体" w:hAnsi="宋体" w:cs="宋体"/>
                <w:szCs w:val="21"/>
              </w:rPr>
              <w:t>不得与其他投标供应商投标文件“文件创建标识码”一致；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ascii="宋体" w:hAnsi="宋体" w:cs="宋体"/>
                <w:szCs w:val="21"/>
              </w:rPr>
            </w:pPr>
            <w:r>
              <w:rPr>
                <w:rFonts w:hint="eastAsia" w:ascii="宋体" w:hAnsi="宋体" w:cs="宋体"/>
                <w:szCs w:val="21"/>
              </w:rPr>
              <w:t>12</w:t>
            </w:r>
          </w:p>
        </w:tc>
        <w:tc>
          <w:tcPr>
            <w:tcW w:w="8278" w:type="dxa"/>
            <w:tcBorders>
              <w:top w:val="single" w:color="000000" w:sz="8" w:space="0"/>
              <w:left w:val="single" w:color="000000" w:sz="8" w:space="0"/>
              <w:bottom w:val="single" w:color="000000" w:sz="8" w:space="0"/>
              <w:right w:val="single" w:color="000000" w:sz="8" w:space="0"/>
            </w:tcBorders>
          </w:tcPr>
          <w:p>
            <w:pPr>
              <w:widowControl/>
              <w:jc w:val="left"/>
              <w:textAlignment w:val="top"/>
              <w:rPr>
                <w:rFonts w:ascii="宋体" w:hAnsi="宋体" w:cs="宋体"/>
                <w:szCs w:val="21"/>
              </w:rPr>
            </w:pPr>
            <w:r>
              <w:rPr>
                <w:rFonts w:hint="eastAsia" w:ascii="宋体" w:hAnsi="宋体" w:cs="宋体"/>
                <w:szCs w:val="21"/>
              </w:rPr>
              <w:t>投标供应商不得选用《关于在政府采购活动中对有关美国企业采取相关措施的通知》列明的46家美国企业（不包括在华美资企业）生产的产品参与投标。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jc w:val="center"/>
              <w:textAlignment w:val="top"/>
              <w:rPr>
                <w:rFonts w:ascii="宋体" w:hAnsi="宋体" w:cs="宋体"/>
                <w:szCs w:val="21"/>
              </w:rPr>
            </w:pPr>
            <w:r>
              <w:rPr>
                <w:rFonts w:hint="eastAsia" w:ascii="宋体" w:hAnsi="宋体" w:cs="宋体"/>
                <w:szCs w:val="21"/>
              </w:rPr>
              <w:t>13</w:t>
            </w:r>
          </w:p>
        </w:tc>
        <w:tc>
          <w:tcPr>
            <w:tcW w:w="8278" w:type="dxa"/>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rFonts w:hint="eastAsia" w:ascii="宋体" w:hAnsi="宋体" w:cs="宋体"/>
                <w:szCs w:val="21"/>
              </w:rPr>
              <w:t>法律、法规、规章、规范性文件规定的其他情形。</w:t>
            </w:r>
          </w:p>
        </w:tc>
      </w:tr>
    </w:tbl>
    <w:p>
      <w:pPr>
        <w:pStyle w:val="37"/>
        <w:jc w:val="center"/>
        <w:rPr>
          <w:rFonts w:ascii="黑体" w:hAnsi="黑体" w:eastAsia="黑体"/>
          <w:sz w:val="40"/>
          <w:szCs w:val="40"/>
        </w:rPr>
      </w:pPr>
    </w:p>
    <w:p>
      <w:pPr>
        <w:widowControl/>
        <w:spacing w:beforeAutospacing="1" w:afterAutospacing="1"/>
        <w:jc w:val="center"/>
        <w:outlineLvl w:val="1"/>
        <w:rPr>
          <w:rFonts w:ascii="黑体" w:hAnsi="宋体" w:eastAsia="黑体" w:cs="黑体"/>
          <w:kern w:val="0"/>
          <w:sz w:val="40"/>
          <w:szCs w:val="40"/>
          <w:highlight w:val="cyan"/>
        </w:rPr>
      </w:pPr>
      <w:bookmarkStart w:id="0" w:name="OLE_LINK39"/>
      <w:r>
        <w:rPr>
          <w:rFonts w:hint="eastAsia" w:ascii="黑体" w:hAnsi="宋体" w:eastAsia="黑体" w:cs="黑体"/>
          <w:kern w:val="0"/>
          <w:sz w:val="40"/>
          <w:szCs w:val="40"/>
          <w:highlight w:val="cyan"/>
        </w:rPr>
        <w:t>异常低价审查表</w:t>
      </w:r>
    </w:p>
    <w:bookmarkEnd w:id="0"/>
    <w:tbl>
      <w:tblPr>
        <w:tblStyle w:val="43"/>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Cs w:val="21"/>
              </w:rPr>
            </w:pPr>
            <w:r>
              <w:rPr>
                <w:rFonts w:ascii="宋体" w:hAnsi="宋体" w:cs="宋体"/>
                <w:kern w:val="0"/>
                <w:szCs w:val="21"/>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Cs w:val="21"/>
              </w:rPr>
            </w:pPr>
            <w:r>
              <w:rPr>
                <w:rFonts w:ascii="宋体" w:hAnsi="宋体" w:cs="宋体"/>
                <w:kern w:val="0"/>
                <w:szCs w:val="21"/>
                <w:lang w:bidi="ar"/>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top"/>
              <w:rPr>
                <w:szCs w:val="21"/>
              </w:rPr>
            </w:pPr>
            <w:r>
              <w:rPr>
                <w:rFonts w:hint="eastAsia"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pPr>
              <w:widowControl/>
              <w:jc w:val="left"/>
              <w:textAlignment w:val="top"/>
              <w:rPr>
                <w:rFonts w:ascii="宋体" w:hAnsi="宋体" w:cs="宋体"/>
                <w:szCs w:val="21"/>
                <w:highlight w:val="none"/>
              </w:rPr>
            </w:pPr>
            <w:r>
              <w:rPr>
                <w:rFonts w:hint="eastAsia" w:ascii="宋体" w:hAnsi="宋体" w:cs="宋体"/>
                <w:szCs w:val="21"/>
                <w:highlight w:val="none"/>
              </w:rPr>
              <w:t>评审中出现下列情形之一的，评审委员会应当启动异常低价投标（响应）审查程序：</w:t>
            </w:r>
          </w:p>
          <w:p>
            <w:pPr>
              <w:widowControl/>
              <w:jc w:val="left"/>
              <w:textAlignment w:val="top"/>
              <w:rPr>
                <w:rFonts w:ascii="宋体" w:hAnsi="宋体" w:cs="宋体"/>
                <w:szCs w:val="21"/>
                <w:highlight w:val="none"/>
              </w:rPr>
            </w:pPr>
            <w:r>
              <w:rPr>
                <w:rFonts w:hint="eastAsia" w:ascii="宋体" w:hAnsi="宋体" w:cs="宋体"/>
                <w:szCs w:val="21"/>
                <w:highlight w:val="none"/>
              </w:rPr>
              <w:t>1.投标（响应）报价低于全部通过符合性审查供应商投标（响应）报价平均值50%的，即投标（响应）报价&lt;全部通过符合性审查供应商投标（响应）报价平均值×50%；</w:t>
            </w:r>
          </w:p>
          <w:p>
            <w:pPr>
              <w:widowControl/>
              <w:jc w:val="left"/>
              <w:textAlignment w:val="top"/>
              <w:rPr>
                <w:rFonts w:ascii="宋体" w:hAnsi="宋体" w:cs="宋体"/>
                <w:szCs w:val="21"/>
                <w:highlight w:val="none"/>
              </w:rPr>
            </w:pPr>
          </w:p>
          <w:p>
            <w:pPr>
              <w:widowControl/>
              <w:jc w:val="left"/>
              <w:textAlignment w:val="top"/>
              <w:rPr>
                <w:rFonts w:ascii="宋体" w:hAnsi="宋体" w:cs="宋体"/>
                <w:szCs w:val="21"/>
                <w:highlight w:val="none"/>
              </w:rPr>
            </w:pPr>
            <w:r>
              <w:rPr>
                <w:rFonts w:hint="eastAsia" w:ascii="宋体" w:hAnsi="宋体" w:cs="宋体"/>
                <w:szCs w:val="21"/>
                <w:highlight w:val="none"/>
              </w:rPr>
              <w:t>2.投标（响应）报价低于通过符合性审查的次低报价供应商投标（响应）报价50%的，即投标（响应）报价&lt;通过符合性审查的次低报价供应商投标（响应）报价×50%；</w:t>
            </w:r>
          </w:p>
          <w:p>
            <w:pPr>
              <w:widowControl/>
              <w:jc w:val="left"/>
              <w:textAlignment w:val="top"/>
              <w:rPr>
                <w:rFonts w:ascii="宋体" w:hAnsi="宋体" w:cs="宋体"/>
                <w:szCs w:val="21"/>
                <w:highlight w:val="none"/>
              </w:rPr>
            </w:pPr>
          </w:p>
          <w:p>
            <w:pPr>
              <w:widowControl/>
              <w:jc w:val="left"/>
              <w:textAlignment w:val="top"/>
              <w:rPr>
                <w:rFonts w:ascii="宋体" w:hAnsi="宋体" w:cs="宋体"/>
                <w:szCs w:val="21"/>
                <w:highlight w:val="none"/>
              </w:rPr>
            </w:pPr>
            <w:r>
              <w:rPr>
                <w:rFonts w:hint="eastAsia" w:ascii="宋体" w:hAnsi="宋体" w:cs="宋体"/>
                <w:szCs w:val="21"/>
                <w:highlight w:val="none"/>
              </w:rPr>
              <w:t>3.投标（响应）报价低于采购项目最高限价45%的，即投标（响应）报价&lt;采购项目最高限价×45%；</w:t>
            </w:r>
          </w:p>
          <w:p>
            <w:pPr>
              <w:widowControl/>
              <w:jc w:val="left"/>
              <w:textAlignment w:val="top"/>
              <w:rPr>
                <w:rFonts w:ascii="宋体" w:hAnsi="宋体" w:cs="宋体"/>
                <w:szCs w:val="21"/>
                <w:highlight w:val="none"/>
              </w:rPr>
            </w:pPr>
          </w:p>
          <w:p>
            <w:pPr>
              <w:widowControl/>
              <w:jc w:val="left"/>
              <w:textAlignment w:val="top"/>
              <w:rPr>
                <w:rFonts w:ascii="宋体" w:hAnsi="宋体" w:cs="宋体"/>
                <w:szCs w:val="21"/>
                <w:highlight w:val="none"/>
              </w:rPr>
            </w:pPr>
            <w:r>
              <w:rPr>
                <w:rFonts w:hint="eastAsia" w:ascii="宋体" w:hAnsi="宋体" w:cs="宋体"/>
                <w:szCs w:val="21"/>
                <w:highlight w:val="none"/>
              </w:rPr>
              <w:t>4.评审委员会基于专业判断，认为供应商报价过低，有可能影响产品质量或者不能诚信履约的其他情形。</w:t>
            </w:r>
          </w:p>
          <w:p>
            <w:pPr>
              <w:widowControl/>
              <w:jc w:val="left"/>
              <w:textAlignment w:val="top"/>
              <w:rPr>
                <w:rFonts w:ascii="宋体" w:hAnsi="宋体" w:cs="宋体"/>
                <w:szCs w:val="21"/>
                <w:highlight w:val="none"/>
              </w:rPr>
            </w:pPr>
          </w:p>
          <w:p>
            <w:pPr>
              <w:widowControl/>
              <w:jc w:val="left"/>
              <w:textAlignment w:val="top"/>
              <w:rPr>
                <w:rFonts w:ascii="宋体" w:hAnsi="宋体" w:cs="宋体"/>
                <w:szCs w:val="21"/>
                <w:highlight w:val="none"/>
              </w:rPr>
            </w:pPr>
            <w:r>
              <w:rPr>
                <w:rFonts w:hint="eastAsia" w:ascii="宋体" w:hAnsi="宋体" w:cs="宋体"/>
                <w:szCs w:val="21"/>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widowControl/>
              <w:jc w:val="left"/>
              <w:textAlignment w:val="top"/>
              <w:rPr>
                <w:rFonts w:ascii="宋体" w:hAnsi="宋体" w:cs="宋体"/>
                <w:szCs w:val="21"/>
                <w:highlight w:val="none"/>
              </w:rPr>
            </w:pPr>
          </w:p>
          <w:p>
            <w:pPr>
              <w:widowControl/>
              <w:jc w:val="left"/>
              <w:textAlignment w:val="top"/>
              <w:rPr>
                <w:szCs w:val="21"/>
                <w:highlight w:val="none"/>
              </w:rPr>
            </w:pPr>
            <w:r>
              <w:rPr>
                <w:rFonts w:hint="eastAsia" w:ascii="宋体" w:hAnsi="宋体" w:cs="宋体"/>
                <w:szCs w:val="21"/>
                <w:highlight w:val="none"/>
              </w:rPr>
              <w:t>评审委员会依据专业经验，参考同类项目中标（成交）价格、类似产品市场价格水平、行业人工费用标准、国家有关部门指导行业协会发布的行业平均成本等情况，对报价合理性进行判断。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bCs/>
                <w:szCs w:val="21"/>
                <w:highlight w:val="none"/>
              </w:rPr>
              <w:t>投标（响应）供应商不能提供书面说明、证明材料，或者提供的书面说明、证明材料不能证明其报价合理性的，评审委员会应当将其作为无效投标（响应）处理。</w:t>
            </w:r>
          </w:p>
        </w:tc>
      </w:tr>
    </w:tbl>
    <w:p>
      <w:pPr>
        <w:pStyle w:val="37"/>
        <w:jc w:val="center"/>
        <w:rPr>
          <w:rFonts w:ascii="黑体" w:hAnsi="黑体" w:eastAsia="黑体"/>
          <w:sz w:val="40"/>
          <w:szCs w:val="40"/>
        </w:rPr>
      </w:pPr>
    </w:p>
    <w:p>
      <w:pPr>
        <w:pStyle w:val="37"/>
        <w:jc w:val="center"/>
        <w:outlineLvl w:val="1"/>
        <w:rPr>
          <w:rFonts w:ascii="黑体" w:hAnsi="黑体" w:eastAsia="黑体"/>
          <w:sz w:val="40"/>
          <w:szCs w:val="40"/>
        </w:rPr>
        <w:sectPr>
          <w:pgSz w:w="11907" w:h="16840"/>
          <w:pgMar w:top="1440" w:right="1417" w:bottom="1440" w:left="1417" w:header="851" w:footer="992" w:gutter="0"/>
          <w:cols w:space="425" w:num="1"/>
          <w:titlePg/>
          <w:docGrid w:linePitch="462" w:charSpace="0"/>
        </w:sectPr>
      </w:pPr>
    </w:p>
    <w:p>
      <w:pPr>
        <w:pStyle w:val="37"/>
        <w:jc w:val="center"/>
        <w:outlineLvl w:val="1"/>
        <w:rPr>
          <w:rFonts w:ascii="黑体" w:hAnsi="黑体" w:eastAsia="黑体"/>
          <w:sz w:val="40"/>
          <w:szCs w:val="40"/>
        </w:rPr>
      </w:pPr>
      <w:r>
        <w:rPr>
          <w:rFonts w:hint="eastAsia" w:ascii="黑体" w:hAnsi="黑体" w:eastAsia="黑体"/>
          <w:sz w:val="40"/>
          <w:szCs w:val="40"/>
        </w:rPr>
        <w:t>评标信息</w:t>
      </w:r>
    </w:p>
    <w:tbl>
      <w:tblPr>
        <w:tblStyle w:val="43"/>
        <w:tblW w:w="9113"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8873"/>
        <w:gridCol w:w="240"/>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8873" w:type="dxa"/>
            <w:shd w:val="clear" w:color="auto" w:fill="auto"/>
            <w:vAlign w:val="center"/>
          </w:tcPr>
          <w:p>
            <w:pPr>
              <w:widowControl/>
              <w:jc w:val="left"/>
              <w:rPr>
                <w:rFonts w:ascii="宋体" w:hAnsi="宋体" w:cs="宋体"/>
                <w:b/>
                <w:bCs/>
                <w:szCs w:val="21"/>
              </w:rPr>
            </w:pPr>
            <w:r>
              <w:rPr>
                <w:rFonts w:hint="eastAsia" w:ascii="宋体" w:hAnsi="宋体" w:cs="宋体"/>
                <w:b/>
                <w:bCs/>
                <w:szCs w:val="21"/>
              </w:rPr>
              <w:t>评标方法：最低价法/综合评分法</w:t>
            </w:r>
          </w:p>
        </w:tc>
        <w:tc>
          <w:tcPr>
            <w:tcW w:w="240" w:type="dxa"/>
            <w:shd w:val="clear" w:color="auto" w:fill="auto"/>
            <w:vAlign w:val="center"/>
          </w:tcPr>
          <w:p>
            <w:pPr>
              <w:jc w:val="right"/>
              <w:rPr>
                <w:rFonts w:ascii="宋体" w:hAnsi="宋体" w:cs="宋体"/>
                <w:b/>
                <w:bCs/>
                <w:szCs w:val="21"/>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9113" w:type="dxa"/>
            <w:gridSpan w:val="2"/>
            <w:shd w:val="clear" w:color="auto" w:fill="auto"/>
            <w:vAlign w:val="center"/>
          </w:tcPr>
          <w:p>
            <w:pPr>
              <w:spacing w:before="240" w:beforeLines="100"/>
              <w:ind w:firstLine="420"/>
              <w:rPr>
                <w:rFonts w:hint="eastAsia" w:ascii="宋体" w:hAnsi="宋体" w:cs="宋体"/>
                <w:szCs w:val="21"/>
              </w:rPr>
            </w:pPr>
            <w:r>
              <w:rPr>
                <w:rFonts w:hint="eastAsia" w:ascii="宋体" w:hAnsi="宋体" w:cs="宋体"/>
                <w:szCs w:val="21"/>
              </w:rPr>
              <w:sym w:font="Wingdings" w:char="00FE"/>
            </w:r>
            <w:r>
              <w:rPr>
                <w:rFonts w:hint="eastAsia" w:ascii="宋体" w:hAnsi="宋体" w:cs="宋体"/>
                <w:szCs w:val="21"/>
              </w:rPr>
              <w:t>综合评分法，是指</w:t>
            </w:r>
            <w:r>
              <w:rPr>
                <w:rFonts w:hint="eastAsia" w:ascii="宋体" w:hAnsi="宋体" w:cs="宋体"/>
                <w:kern w:val="0"/>
                <w:szCs w:val="21"/>
              </w:rPr>
              <w:t>投标文件满足招标文件全部实质性要求</w:t>
            </w:r>
            <w:r>
              <w:rPr>
                <w:rFonts w:hint="eastAsia" w:ascii="宋体" w:hAnsi="宋体" w:cs="宋体"/>
                <w:szCs w:val="21"/>
              </w:rPr>
              <w:t>，且按照评审因素的量化指标评审得分排名前列的投标人为中标候选人的评标方法。</w:t>
            </w:r>
          </w:p>
          <w:p>
            <w:pPr>
              <w:spacing w:before="240" w:beforeLines="100"/>
              <w:ind w:firstLine="420"/>
              <w:rPr>
                <w:rFonts w:ascii="宋体" w:hAnsi="宋体" w:cs="宋体"/>
                <w:szCs w:val="21"/>
              </w:rPr>
            </w:pPr>
            <w:r>
              <w:rPr>
                <w:rFonts w:hint="eastAsia" w:ascii="宋体" w:hAnsi="宋体" w:cs="宋体"/>
                <w:szCs w:val="21"/>
              </w:rPr>
              <w:t>价格分计算方法：</w:t>
            </w:r>
          </w:p>
          <w:p>
            <w:pPr>
              <w:widowControl/>
              <w:ind w:left="420"/>
              <w:jc w:val="left"/>
              <w:rPr>
                <w:rFonts w:ascii="宋体" w:hAnsi="宋体" w:cs="宋体"/>
                <w:szCs w:val="21"/>
              </w:rPr>
            </w:pPr>
            <w:r>
              <w:rPr>
                <w:rFonts w:hint="eastAsia" w:ascii="宋体" w:hAnsi="宋体" w:cs="宋体"/>
                <w:szCs w:val="21"/>
              </w:rPr>
              <w:t xml:space="preserve">采用低价优先法计算，即满足招标文件要求且投标价格最低的投标报价为评标基准价，其价格分为满分。其他投标人的价格分统一按照下列公式计算： </w:t>
            </w:r>
            <w:r>
              <w:rPr>
                <w:rFonts w:hint="eastAsia" w:ascii="宋体" w:hAnsi="宋体" w:cs="宋体"/>
                <w:szCs w:val="21"/>
              </w:rPr>
              <w:br w:type="textWrapping"/>
            </w:r>
            <w:r>
              <w:rPr>
                <w:rFonts w:hint="eastAsia" w:ascii="宋体" w:hAnsi="宋体" w:cs="宋体"/>
                <w:szCs w:val="21"/>
              </w:rPr>
              <w:t xml:space="preserve">投标报价得分=(评标基准价／投标报价)×100 </w:t>
            </w:r>
            <w:r>
              <w:rPr>
                <w:rFonts w:hint="eastAsia" w:ascii="宋体" w:hAnsi="宋体" w:cs="宋体"/>
                <w:szCs w:val="21"/>
              </w:rPr>
              <w:br w:type="textWrapping"/>
            </w:r>
            <w:r>
              <w:rPr>
                <w:rFonts w:hint="eastAsia" w:ascii="宋体" w:hAnsi="宋体" w:cs="宋体"/>
                <w:szCs w:val="21"/>
              </w:rPr>
              <w:t xml:space="preserve">评标总得分＝F1×A1＋F2×A2＋……＋Fn×An </w:t>
            </w:r>
            <w:r>
              <w:rPr>
                <w:rFonts w:hint="eastAsia" w:ascii="宋体" w:hAnsi="宋体" w:cs="宋体"/>
                <w:szCs w:val="21"/>
              </w:rPr>
              <w:br w:type="textWrapping"/>
            </w:r>
            <w:r>
              <w:rPr>
                <w:rFonts w:hint="eastAsia" w:ascii="宋体" w:hAnsi="宋体" w:cs="宋体"/>
                <w:szCs w:val="21"/>
              </w:rPr>
              <w:t xml:space="preserve">F1、F2……Fn分别为各项评审因素的得分； </w:t>
            </w:r>
            <w:r>
              <w:rPr>
                <w:rFonts w:hint="eastAsia" w:ascii="宋体" w:hAnsi="宋体" w:cs="宋体"/>
                <w:szCs w:val="21"/>
              </w:rPr>
              <w:br w:type="textWrapping"/>
            </w:r>
            <w:r>
              <w:rPr>
                <w:rFonts w:hint="eastAsia" w:ascii="宋体" w:hAnsi="宋体" w:cs="宋体"/>
                <w:szCs w:val="21"/>
              </w:rPr>
              <w:t xml:space="preserve">A1、A2、……An 分别为各项评审因素所占的权重(A1＋A2＋……＋An＝1)。 </w:t>
            </w:r>
            <w:r>
              <w:rPr>
                <w:rFonts w:hint="eastAsia" w:ascii="宋体" w:hAnsi="宋体" w:cs="宋体"/>
                <w:szCs w:val="21"/>
              </w:rPr>
              <w:br w:type="textWrapping"/>
            </w:r>
            <w:r>
              <w:rPr>
                <w:rFonts w:hint="eastAsia" w:ascii="宋体" w:hAnsi="宋体" w:cs="宋体"/>
                <w:szCs w:val="21"/>
              </w:rPr>
              <w:t>评标过程中，不得去掉报价中的最高报价和最低报价。</w:t>
            </w:r>
          </w:p>
          <w:p>
            <w:pPr>
              <w:widowControl/>
              <w:ind w:left="420"/>
              <w:jc w:val="left"/>
              <w:rPr>
                <w:rFonts w:ascii="宋体" w:hAnsi="宋体" w:cs="宋体"/>
                <w:kern w:val="0"/>
                <w:szCs w:val="21"/>
              </w:rPr>
            </w:pPr>
            <w:r>
              <w:rPr>
                <w:rFonts w:hint="eastAsia" w:ascii="宋体" w:hAnsi="宋体" w:cs="宋体"/>
                <w:szCs w:val="21"/>
              </w:rPr>
              <w:t>因落实政府采购政策进行价格调整的，以调整后的价格计算评标基准价和投标报价。</w:t>
            </w:r>
          </w:p>
        </w:tc>
      </w:tr>
    </w:tbl>
    <w:p>
      <w:pPr>
        <w:rPr>
          <w:vanish/>
        </w:rPr>
      </w:pPr>
    </w:p>
    <w:p>
      <w:pPr>
        <w:rPr>
          <w:rFonts w:ascii="宋体" w:hAnsi="宋体"/>
          <w:sz w:val="24"/>
        </w:rPr>
      </w:pPr>
    </w:p>
    <w:tbl>
      <w:tblPr>
        <w:tblStyle w:val="43"/>
        <w:tblW w:w="929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903"/>
        <w:gridCol w:w="680"/>
        <w:gridCol w:w="2553"/>
        <w:gridCol w:w="963"/>
        <w:gridCol w:w="419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3" w:type="dxa"/>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4196"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hint="eastAsia" w:ascii="宋体" w:hAnsi="宋体" w:eastAsia="宋体" w:cs="宋体"/>
                <w:b/>
                <w:bCs/>
                <w:sz w:val="24"/>
                <w:szCs w:val="24"/>
              </w:rPr>
            </w:pPr>
            <w:r>
              <w:rPr>
                <w:rFonts w:hint="eastAsia" w:ascii="宋体" w:hAnsi="宋体" w:eastAsia="宋体" w:cs="宋体"/>
                <w:b/>
                <w:bCs/>
                <w:sz w:val="24"/>
                <w:szCs w:val="24"/>
              </w:rPr>
              <w:t>评分项</w:t>
            </w:r>
          </w:p>
        </w:tc>
        <w:tc>
          <w:tcPr>
            <w:tcW w:w="4196" w:type="dxa"/>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hint="eastAsia" w:ascii="宋体" w:hAnsi="宋体" w:eastAsia="宋体" w:cs="宋体"/>
                <w:b/>
                <w:bCs/>
                <w:sz w:val="24"/>
                <w:szCs w:val="24"/>
              </w:rPr>
            </w:pPr>
            <w:r>
              <w:rPr>
                <w:rFonts w:hint="eastAsia" w:ascii="宋体" w:hAnsi="宋体" w:eastAsia="宋体" w:cs="宋体"/>
                <w:b/>
                <w:bCs/>
                <w:sz w:val="24"/>
                <w:szCs w:val="24"/>
              </w:rPr>
              <w:t>权重(%)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46" w:hRule="atLeast"/>
          <w:jc w:val="center"/>
        </w:trPr>
        <w:tc>
          <w:tcPr>
            <w:tcW w:w="903" w:type="dxa"/>
            <w:tcBorders>
              <w:top w:val="single" w:color="000000" w:sz="8" w:space="0"/>
              <w:left w:val="single" w:color="000000" w:sz="8" w:space="0"/>
              <w:bottom w:val="single" w:color="000000" w:sz="8" w:space="0"/>
              <w:right w:val="single" w:color="000000" w:sz="8" w:space="0"/>
            </w:tcBorders>
          </w:tcPr>
          <w:p>
            <w:pPr>
              <w:wordWrap w:val="0"/>
              <w:jc w:val="center"/>
              <w:rPr>
                <w:rFonts w:hint="eastAsia" w:ascii="宋体" w:hAnsi="宋体" w:eastAsia="宋体" w:cs="宋体"/>
                <w:b/>
                <w:bCs/>
                <w:color w:val="0000FF"/>
                <w:sz w:val="24"/>
                <w:szCs w:val="24"/>
              </w:rPr>
            </w:pPr>
            <w:r>
              <w:rPr>
                <w:rFonts w:hint="eastAsia" w:ascii="宋体" w:hAnsi="宋体" w:eastAsia="宋体" w:cs="宋体"/>
                <w:b/>
                <w:bCs/>
                <w:color w:val="0000FF"/>
                <w:sz w:val="24"/>
                <w:szCs w:val="24"/>
              </w:rPr>
              <w:t>1</w:t>
            </w:r>
          </w:p>
        </w:tc>
        <w:tc>
          <w:tcPr>
            <w:tcW w:w="4196" w:type="dxa"/>
            <w:gridSpan w:val="3"/>
            <w:tcBorders>
              <w:top w:val="single" w:color="000000" w:sz="8" w:space="0"/>
              <w:left w:val="single" w:color="000000" w:sz="8" w:space="0"/>
              <w:bottom w:val="single" w:color="000000" w:sz="8" w:space="0"/>
              <w:right w:val="single" w:color="000000" w:sz="8" w:space="0"/>
            </w:tcBorders>
          </w:tcPr>
          <w:p>
            <w:pPr>
              <w:wordWrap w:val="0"/>
              <w:jc w:val="center"/>
              <w:rPr>
                <w:rFonts w:hint="eastAsia" w:ascii="宋体" w:hAnsi="宋体" w:eastAsia="宋体" w:cs="宋体"/>
                <w:b/>
                <w:bCs/>
                <w:color w:val="0000FF"/>
                <w:sz w:val="24"/>
                <w:szCs w:val="24"/>
              </w:rPr>
            </w:pPr>
            <w:r>
              <w:rPr>
                <w:rFonts w:hint="eastAsia" w:ascii="宋体" w:hAnsi="宋体" w:eastAsia="宋体" w:cs="宋体"/>
                <w:b/>
                <w:bCs/>
                <w:color w:val="0000FF"/>
                <w:sz w:val="24"/>
                <w:szCs w:val="24"/>
              </w:rPr>
              <w:t>价格</w:t>
            </w:r>
          </w:p>
        </w:tc>
        <w:tc>
          <w:tcPr>
            <w:tcW w:w="4196" w:type="dxa"/>
            <w:tcBorders>
              <w:top w:val="single" w:color="000000" w:sz="8" w:space="0"/>
              <w:left w:val="single" w:color="000000" w:sz="8" w:space="0"/>
              <w:bottom w:val="single" w:color="000000" w:sz="8" w:space="0"/>
              <w:right w:val="single" w:color="000000" w:sz="8" w:space="0"/>
            </w:tcBorders>
          </w:tcPr>
          <w:p>
            <w:pPr>
              <w:wordWrap w:val="0"/>
              <w:jc w:val="center"/>
              <w:rPr>
                <w:rFonts w:hint="eastAsia" w:ascii="宋体" w:hAnsi="宋体" w:eastAsia="宋体" w:cs="宋体"/>
                <w:b/>
                <w:bCs/>
                <w:color w:val="0000FF"/>
                <w:sz w:val="24"/>
                <w:szCs w:val="24"/>
                <w:lang w:val="en-US"/>
              </w:rPr>
            </w:pPr>
            <w:r>
              <w:rPr>
                <w:rFonts w:hint="eastAsia" w:ascii="宋体" w:hAnsi="宋体" w:eastAsia="宋体" w:cs="宋体"/>
                <w:b/>
                <w:bCs/>
                <w:color w:val="0000FF"/>
                <w:sz w:val="24"/>
                <w:szCs w:val="24"/>
                <w:highlight w:val="none"/>
                <w:lang w:val="en-US" w:eastAsia="zh-CN"/>
              </w:rPr>
              <w:t>10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3" w:type="dxa"/>
            <w:vMerge w:val="restart"/>
            <w:tcBorders>
              <w:top w:val="single" w:color="000000" w:sz="8" w:space="0"/>
              <w:left w:val="single" w:color="000000" w:sz="8" w:space="0"/>
              <w:bottom w:val="single" w:color="000000" w:sz="8" w:space="0"/>
              <w:right w:val="single" w:color="000000" w:sz="8" w:space="0"/>
            </w:tcBorders>
          </w:tcPr>
          <w:p>
            <w:pPr>
              <w:wordWrap w:val="0"/>
              <w:jc w:val="center"/>
              <w:rPr>
                <w:rFonts w:hint="eastAsia" w:ascii="宋体" w:hAnsi="宋体" w:eastAsia="宋体" w:cs="宋体"/>
                <w:b/>
                <w:bCs/>
                <w:color w:val="0000FF"/>
                <w:sz w:val="24"/>
                <w:szCs w:val="24"/>
              </w:rPr>
            </w:pPr>
            <w:r>
              <w:rPr>
                <w:rFonts w:hint="eastAsia" w:ascii="宋体" w:hAnsi="宋体" w:eastAsia="宋体" w:cs="宋体"/>
                <w:b/>
                <w:bCs/>
                <w:color w:val="0000FF"/>
                <w:sz w:val="24"/>
                <w:szCs w:val="24"/>
              </w:rPr>
              <w:t>2</w:t>
            </w:r>
          </w:p>
        </w:tc>
        <w:tc>
          <w:tcPr>
            <w:tcW w:w="4196" w:type="dxa"/>
            <w:gridSpan w:val="3"/>
            <w:tcBorders>
              <w:top w:val="single" w:color="000000" w:sz="8" w:space="0"/>
              <w:left w:val="single" w:color="000000" w:sz="8" w:space="0"/>
              <w:bottom w:val="single" w:color="000000" w:sz="8" w:space="0"/>
              <w:right w:val="single" w:color="000000" w:sz="8" w:space="0"/>
            </w:tcBorders>
          </w:tcPr>
          <w:p>
            <w:pPr>
              <w:wordWrap w:val="0"/>
              <w:jc w:val="center"/>
              <w:rPr>
                <w:rFonts w:hint="eastAsia" w:ascii="宋体" w:hAnsi="宋体" w:eastAsia="宋体" w:cs="宋体"/>
                <w:b/>
                <w:bCs/>
                <w:color w:val="0000FF"/>
                <w:sz w:val="24"/>
                <w:szCs w:val="24"/>
              </w:rPr>
            </w:pPr>
            <w:r>
              <w:rPr>
                <w:rFonts w:hint="eastAsia" w:ascii="宋体" w:hAnsi="宋体" w:eastAsia="宋体" w:cs="宋体"/>
                <w:b/>
                <w:bCs/>
                <w:color w:val="0000FF"/>
                <w:sz w:val="24"/>
                <w:szCs w:val="24"/>
              </w:rPr>
              <w:t>技术部分</w:t>
            </w:r>
          </w:p>
        </w:tc>
        <w:tc>
          <w:tcPr>
            <w:tcW w:w="4196" w:type="dxa"/>
            <w:tcBorders>
              <w:top w:val="single" w:color="000000" w:sz="8" w:space="0"/>
              <w:left w:val="single" w:color="000000" w:sz="8" w:space="0"/>
              <w:bottom w:val="single" w:color="000000" w:sz="8" w:space="0"/>
              <w:right w:val="single" w:color="000000" w:sz="8" w:space="0"/>
            </w:tcBorders>
          </w:tcPr>
          <w:p>
            <w:pPr>
              <w:wordWrap w:val="0"/>
              <w:jc w:val="center"/>
              <w:rPr>
                <w:rFonts w:hint="default" w:ascii="宋体" w:hAnsi="宋体" w:eastAsia="宋体" w:cs="宋体"/>
                <w:b/>
                <w:bCs/>
                <w:color w:val="0000FF"/>
                <w:sz w:val="24"/>
                <w:szCs w:val="24"/>
                <w:lang w:val="en-US" w:eastAsia="zh-CN"/>
              </w:rPr>
            </w:pPr>
            <w:r>
              <w:rPr>
                <w:rFonts w:hint="eastAsia" w:ascii="宋体" w:hAnsi="宋体" w:cs="宋体"/>
                <w:b/>
                <w:bCs/>
                <w:color w:val="0000FF"/>
                <w:sz w:val="24"/>
                <w:szCs w:val="24"/>
                <w:lang w:val="en-US" w:eastAsia="zh-CN"/>
              </w:rPr>
              <w:t>75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3"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pPr>
              <w:rPr>
                <w:rFonts w:hint="eastAsia" w:ascii="宋体" w:hAnsi="宋体" w:eastAsia="宋体" w:cs="宋体"/>
                <w:b/>
                <w:bCs/>
                <w:color w:val="0000FF"/>
                <w:sz w:val="24"/>
                <w:szCs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eastAsia="宋体" w:cs="宋体"/>
                <w:sz w:val="24"/>
                <w:szCs w:val="24"/>
              </w:rPr>
            </w:pPr>
            <w:r>
              <w:rPr>
                <w:rFonts w:hint="eastAsia" w:ascii="宋体" w:hAnsi="宋体" w:eastAsia="宋体" w:cs="宋体"/>
                <w:sz w:val="24"/>
                <w:szCs w:val="24"/>
              </w:rPr>
              <w:t>序号</w:t>
            </w:r>
          </w:p>
        </w:tc>
        <w:tc>
          <w:tcPr>
            <w:tcW w:w="2553"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eastAsia="宋体" w:cs="宋体"/>
                <w:sz w:val="24"/>
                <w:szCs w:val="24"/>
              </w:rPr>
            </w:pPr>
            <w:r>
              <w:rPr>
                <w:rFonts w:hint="eastAsia" w:ascii="宋体" w:hAnsi="宋体" w:eastAsia="宋体" w:cs="宋体"/>
                <w:sz w:val="24"/>
                <w:szCs w:val="24"/>
              </w:rPr>
              <w:t>评分因素</w:t>
            </w:r>
          </w:p>
        </w:tc>
        <w:tc>
          <w:tcPr>
            <w:tcW w:w="963"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eastAsia="宋体" w:cs="宋体"/>
                <w:sz w:val="24"/>
                <w:szCs w:val="24"/>
              </w:rPr>
            </w:pPr>
            <w:r>
              <w:rPr>
                <w:rFonts w:hint="eastAsia" w:ascii="宋体" w:hAnsi="宋体" w:eastAsia="宋体" w:cs="宋体"/>
                <w:sz w:val="24"/>
                <w:szCs w:val="24"/>
              </w:rPr>
              <w:t>权重(%)</w:t>
            </w:r>
          </w:p>
        </w:tc>
        <w:tc>
          <w:tcPr>
            <w:tcW w:w="4196"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eastAsia="宋体" w:cs="宋体"/>
                <w:sz w:val="24"/>
                <w:szCs w:val="24"/>
              </w:rPr>
            </w:pPr>
            <w:r>
              <w:rPr>
                <w:rFonts w:hint="eastAsia" w:ascii="宋体" w:hAnsi="宋体" w:eastAsia="宋体" w:cs="宋体"/>
                <w:sz w:val="24"/>
                <w:szCs w:val="24"/>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3" w:type="dxa"/>
            <w:vMerge w:val="continue"/>
            <w:tcBorders>
              <w:top w:val="single" w:color="000000" w:sz="8" w:space="0"/>
              <w:left w:val="single" w:color="000000" w:sz="8" w:space="0"/>
              <w:bottom w:val="single" w:color="000000" w:sz="8" w:space="0"/>
              <w:right w:val="single" w:color="000000" w:sz="8" w:space="0"/>
            </w:tcBorders>
            <w:vAlign w:val="center"/>
          </w:tcPr>
          <w:p>
            <w:pPr>
              <w:rPr>
                <w:rFonts w:hint="eastAsia" w:ascii="宋体" w:hAnsi="宋体" w:eastAsia="宋体" w:cs="宋体"/>
                <w:b/>
                <w:bCs/>
                <w:color w:val="0000FF"/>
                <w:sz w:val="24"/>
                <w:szCs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idowControl/>
              <w:wordWrap w:val="0"/>
              <w:spacing w:line="240" w:lineRule="auto"/>
              <w:jc w:val="center"/>
              <w:textAlignment w:val="top"/>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color w:val="auto"/>
                <w:kern w:val="0"/>
                <w:sz w:val="24"/>
                <w:szCs w:val="24"/>
                <w:highlight w:val="none"/>
              </w:rPr>
              <w:t>1</w:t>
            </w:r>
          </w:p>
        </w:tc>
        <w:tc>
          <w:tcPr>
            <w:tcW w:w="2553" w:type="dxa"/>
            <w:tcBorders>
              <w:top w:val="single" w:color="000000" w:sz="8" w:space="0"/>
              <w:left w:val="single" w:color="000000" w:sz="8" w:space="0"/>
              <w:bottom w:val="single" w:color="000000" w:sz="8" w:space="0"/>
              <w:right w:val="single" w:color="000000" w:sz="8" w:space="0"/>
            </w:tcBorders>
            <w:vAlign w:val="center"/>
          </w:tcPr>
          <w:p>
            <w:pPr>
              <w:widowControl/>
              <w:wordWrap w:val="0"/>
              <w:spacing w:line="240" w:lineRule="auto"/>
              <w:jc w:val="center"/>
              <w:textAlignment w:val="top"/>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color w:val="auto"/>
                <w:kern w:val="0"/>
                <w:sz w:val="24"/>
                <w:szCs w:val="24"/>
                <w:highlight w:val="none"/>
              </w:rPr>
              <w:t>实施方案</w:t>
            </w:r>
          </w:p>
        </w:tc>
        <w:tc>
          <w:tcPr>
            <w:tcW w:w="963" w:type="dxa"/>
            <w:tcBorders>
              <w:top w:val="single" w:color="000000" w:sz="8" w:space="0"/>
              <w:left w:val="single" w:color="000000" w:sz="8" w:space="0"/>
              <w:bottom w:val="single" w:color="000000" w:sz="8" w:space="0"/>
              <w:right w:val="single" w:color="000000" w:sz="8" w:space="0"/>
            </w:tcBorders>
            <w:vAlign w:val="center"/>
          </w:tcPr>
          <w:p>
            <w:pPr>
              <w:widowControl/>
              <w:wordWrap w:val="0"/>
              <w:spacing w:line="240" w:lineRule="auto"/>
              <w:jc w:val="center"/>
              <w:textAlignment w:val="top"/>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6</w:t>
            </w:r>
          </w:p>
        </w:tc>
        <w:tc>
          <w:tcPr>
            <w:tcW w:w="4196" w:type="dxa"/>
            <w:tcBorders>
              <w:top w:val="single" w:color="000000" w:sz="8" w:space="0"/>
              <w:left w:val="single" w:color="000000" w:sz="8" w:space="0"/>
              <w:bottom w:val="single" w:color="000000" w:sz="8" w:space="0"/>
              <w:right w:val="single" w:color="000000" w:sz="8" w:space="0"/>
            </w:tcBorders>
            <w:vAlign w:val="center"/>
          </w:tcPr>
          <w:p>
            <w:pPr>
              <w:rPr>
                <w:rFonts w:hint="eastAsia" w:ascii="宋体" w:hAnsi="宋体" w:eastAsia="宋体" w:cs="宋体"/>
                <w:b w:val="0"/>
                <w:bCs w:val="0"/>
                <w:sz w:val="24"/>
                <w:szCs w:val="24"/>
              </w:rPr>
            </w:pPr>
            <w:r>
              <w:rPr>
                <w:rFonts w:hint="eastAsia" w:ascii="宋体" w:hAnsi="宋体" w:eastAsia="宋体" w:cs="宋体"/>
                <w:b w:val="0"/>
                <w:bCs w:val="0"/>
                <w:sz w:val="24"/>
                <w:szCs w:val="24"/>
              </w:rPr>
              <w:t>（一）评分内容：</w:t>
            </w:r>
          </w:p>
          <w:p>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评审委员会根据投标单位的项目实施方案进行评审，包括但不限于以下方案：</w:t>
            </w:r>
          </w:p>
          <w:p>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1.对本项目通信保障需求的理解与分析；</w:t>
            </w:r>
          </w:p>
          <w:p>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2.套餐配置方案（含流量/通话时长/短信条数的配置说明；</w:t>
            </w:r>
          </w:p>
          <w:p>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3.实施计划（含开卡、发卡、激活的时间节点安排等）；</w:t>
            </w:r>
          </w:p>
          <w:p>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4.保障措施（含日常运维、故障响应、用户投诉处理等）。</w:t>
            </w:r>
          </w:p>
          <w:p>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5.套餐配置方案中包含多档套餐可选方案供采购人灵活选择；</w:t>
            </w:r>
          </w:p>
          <w:p>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6.故障响应机制明确响应时间（如2小时响应/24小时解决）并有具体流程。</w:t>
            </w:r>
          </w:p>
          <w:p>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（二）评分依据：</w:t>
            </w:r>
          </w:p>
          <w:p>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每提供提供以上1点内容得15分，最高90分。 在此基础上，专家根据内容的合理性进行评分:</w:t>
            </w:r>
          </w:p>
          <w:p>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优评分标准:方案符合实际、完整、规范、思路清晰，内容合理性强，得10分;</w:t>
            </w:r>
          </w:p>
          <w:p>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良评分标准:方案较符合实际、较完整规范、思路较清晰，内容合理性较强，得5分;</w:t>
            </w:r>
          </w:p>
          <w:p>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中评分标准:方案较普通、完整性规范性一般，思路不够清晰，内容合理性一般，得1分;</w:t>
            </w:r>
          </w:p>
          <w:p>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差评分标准：方案不完整、不规范，思路不清晰，内容合理性较差或未提供，不得分。</w:t>
            </w:r>
          </w:p>
          <w:p>
            <w:pP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如评审为差，评审专家须书面说明理由，并记录在档。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3" w:type="dxa"/>
            <w:vMerge w:val="continue"/>
            <w:tcBorders>
              <w:top w:val="single" w:color="000000" w:sz="8" w:space="0"/>
              <w:left w:val="single" w:color="000000" w:sz="8" w:space="0"/>
              <w:bottom w:val="single" w:color="000000" w:sz="8" w:space="0"/>
              <w:right w:val="single" w:color="000000" w:sz="8" w:space="0"/>
            </w:tcBorders>
            <w:vAlign w:val="center"/>
          </w:tcPr>
          <w:p>
            <w:pPr>
              <w:rPr>
                <w:rFonts w:hint="eastAsia" w:ascii="宋体" w:hAnsi="宋体" w:eastAsia="宋体" w:cs="宋体"/>
                <w:b/>
                <w:bCs/>
                <w:color w:val="0000FF"/>
                <w:sz w:val="24"/>
                <w:szCs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idowControl/>
              <w:wordWrap w:val="0"/>
              <w:spacing w:line="240" w:lineRule="auto"/>
              <w:jc w:val="center"/>
              <w:textAlignment w:val="top"/>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w:t>
            </w:r>
          </w:p>
        </w:tc>
        <w:tc>
          <w:tcPr>
            <w:tcW w:w="2553" w:type="dxa"/>
            <w:tcBorders>
              <w:top w:val="single" w:color="000000" w:sz="8" w:space="0"/>
              <w:left w:val="single" w:color="000000" w:sz="8" w:space="0"/>
              <w:bottom w:val="single" w:color="000000" w:sz="8" w:space="0"/>
              <w:right w:val="single" w:color="000000" w:sz="8" w:space="0"/>
            </w:tcBorders>
            <w:vAlign w:val="center"/>
          </w:tcPr>
          <w:p>
            <w:pPr>
              <w:widowControl/>
              <w:wordWrap w:val="0"/>
              <w:spacing w:line="240" w:lineRule="auto"/>
              <w:jc w:val="center"/>
              <w:textAlignment w:val="top"/>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color w:val="auto"/>
                <w:kern w:val="0"/>
                <w:sz w:val="24"/>
                <w:szCs w:val="24"/>
                <w:highlight w:val="none"/>
              </w:rPr>
              <w:t>质量保障措施</w:t>
            </w:r>
          </w:p>
        </w:tc>
        <w:tc>
          <w:tcPr>
            <w:tcW w:w="963" w:type="dxa"/>
            <w:tcBorders>
              <w:top w:val="single" w:color="000000" w:sz="8" w:space="0"/>
              <w:left w:val="single" w:color="000000" w:sz="8" w:space="0"/>
              <w:bottom w:val="single" w:color="000000" w:sz="8" w:space="0"/>
              <w:right w:val="single" w:color="000000" w:sz="8" w:space="0"/>
            </w:tcBorders>
            <w:vAlign w:val="center"/>
          </w:tcPr>
          <w:p>
            <w:pPr>
              <w:widowControl/>
              <w:wordWrap w:val="0"/>
              <w:spacing w:line="240" w:lineRule="auto"/>
              <w:jc w:val="center"/>
              <w:textAlignment w:val="top"/>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6</w:t>
            </w:r>
          </w:p>
        </w:tc>
        <w:tc>
          <w:tcPr>
            <w:tcW w:w="4196" w:type="dxa"/>
            <w:tcBorders>
              <w:top w:val="single" w:color="000000" w:sz="8" w:space="0"/>
              <w:left w:val="single" w:color="000000" w:sz="8" w:space="0"/>
              <w:bottom w:val="single" w:color="000000" w:sz="8" w:space="0"/>
              <w:right w:val="single" w:color="000000" w:sz="8" w:space="0"/>
            </w:tcBorders>
            <w:vAlign w:val="center"/>
          </w:tcPr>
          <w:p>
            <w:pPr>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（一）评分内容：</w:t>
            </w:r>
          </w:p>
          <w:p>
            <w:pPr>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投标人需提供针对本项目的质量保障措施，内容包括：</w:t>
            </w:r>
          </w:p>
          <w:p>
            <w:pPr>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r>
              <w:rPr>
                <w:rFonts w:hint="eastAsia" w:ascii="宋体" w:hAnsi="宋体" w:eastAsia="宋体" w:cs="宋体"/>
                <w:b w:val="0"/>
                <w:bCs w:val="0"/>
                <w:color w:val="auto"/>
                <w:sz w:val="24"/>
                <w:szCs w:val="24"/>
                <w:highlight w:val="none"/>
                <w:lang w:val="en-US" w:eastAsia="zh-CN"/>
              </w:rPr>
              <w:t>对本项目通信服务中通信信号持续保障等方面的重点难点分析</w:t>
            </w:r>
            <w:r>
              <w:rPr>
                <w:rFonts w:hint="eastAsia" w:ascii="宋体" w:hAnsi="宋体" w:eastAsia="宋体" w:cs="宋体"/>
                <w:b w:val="0"/>
                <w:bCs w:val="0"/>
                <w:color w:val="auto"/>
                <w:sz w:val="24"/>
                <w:szCs w:val="24"/>
                <w:highlight w:val="none"/>
              </w:rPr>
              <w:t>；</w:t>
            </w:r>
          </w:p>
          <w:p>
            <w:pPr>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eastAsia="宋体" w:cs="宋体"/>
                <w:b w:val="0"/>
                <w:bCs w:val="0"/>
                <w:color w:val="auto"/>
                <w:sz w:val="24"/>
                <w:szCs w:val="24"/>
                <w:highlight w:val="none"/>
                <w:lang w:val="en-US" w:eastAsia="zh-CN"/>
              </w:rPr>
              <w:t>全流程交付</w:t>
            </w:r>
            <w:r>
              <w:rPr>
                <w:rFonts w:hint="eastAsia" w:ascii="宋体" w:hAnsi="宋体" w:eastAsia="宋体" w:cs="宋体"/>
                <w:b w:val="0"/>
                <w:bCs w:val="0"/>
                <w:color w:val="auto"/>
                <w:sz w:val="24"/>
                <w:szCs w:val="24"/>
                <w:highlight w:val="none"/>
              </w:rPr>
              <w:t>跟踪管理；</w:t>
            </w:r>
          </w:p>
          <w:p>
            <w:pPr>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3.对突发情况的应急机制。</w:t>
            </w:r>
          </w:p>
          <w:p>
            <w:pPr>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（二）评分依据：</w:t>
            </w:r>
          </w:p>
          <w:p>
            <w:pPr>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提供以上3点内容得80分，缺项不得分。在此基础上，专家根据内容的合理性进行评分：</w:t>
            </w:r>
          </w:p>
          <w:p>
            <w:pPr>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优评分标准：对服务期间通信信号有效保障，投入设施全流程跟踪管理，对突发情况的应急机制完备，得20分；</w:t>
            </w:r>
          </w:p>
          <w:p>
            <w:pPr>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良评分标准：对服务期间通信信号保障较有效，投入设施全流程跟踪管理，对突发情况的应急机制较完备，得10分；</w:t>
            </w:r>
          </w:p>
          <w:p>
            <w:pPr>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中评分标准：对服务期间通信信号保障一般，投入设施基本实现全流程跟踪管理，对突发情况的应急机制基本完备，得5分；</w:t>
            </w:r>
          </w:p>
          <w:p>
            <w:pPr>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差：对服务期间通信信号无有效保障，投入设施不能实现全流程跟踪管理，对突发情况的应急机制不完备，或未提供方案，得0分。</w:t>
            </w:r>
          </w:p>
          <w:p>
            <w:pPr>
              <w:spacing w:line="240" w:lineRule="auto"/>
              <w:rPr>
                <w:rFonts w:hint="eastAsia" w:ascii="宋体" w:hAnsi="宋体" w:eastAsia="宋体" w:cs="宋体"/>
                <w:b w:val="0"/>
                <w:bCs w:val="0"/>
                <w:color w:val="FF0000"/>
                <w:kern w:val="2"/>
                <w:sz w:val="24"/>
                <w:szCs w:val="24"/>
                <w:lang w:val="en-US" w:eastAsia="zh-CN" w:bidi="ar-SA"/>
              </w:rPr>
            </w:pPr>
            <w:r>
              <w:rPr>
                <w:rFonts w:hint="eastAsia" w:ascii="宋体" w:hAnsi="宋体" w:eastAsia="宋体" w:cs="宋体"/>
                <w:b w:val="0"/>
                <w:bCs w:val="0"/>
                <w:color w:val="auto"/>
                <w:sz w:val="24"/>
                <w:szCs w:val="24"/>
                <w:highlight w:val="none"/>
              </w:rPr>
              <w:t>如评审为差，评审专家须书面说明理由，并记录在档。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3" w:type="dxa"/>
            <w:vMerge w:val="continue"/>
            <w:tcBorders>
              <w:top w:val="single" w:color="000000" w:sz="8" w:space="0"/>
              <w:left w:val="single" w:color="000000" w:sz="8" w:space="0"/>
              <w:bottom w:val="single" w:color="000000" w:sz="8" w:space="0"/>
              <w:right w:val="single" w:color="000000" w:sz="8" w:space="0"/>
            </w:tcBorders>
            <w:vAlign w:val="center"/>
          </w:tcPr>
          <w:p>
            <w:pPr>
              <w:rPr>
                <w:rFonts w:hint="eastAsia" w:ascii="宋体" w:hAnsi="宋体" w:eastAsia="宋体" w:cs="宋体"/>
                <w:b/>
                <w:bCs/>
                <w:color w:val="0000FF"/>
                <w:sz w:val="24"/>
                <w:szCs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idowControl/>
              <w:wordWrap w:val="0"/>
              <w:spacing w:line="240" w:lineRule="auto"/>
              <w:jc w:val="center"/>
              <w:textAlignment w:val="top"/>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w:t>
            </w:r>
          </w:p>
        </w:tc>
        <w:tc>
          <w:tcPr>
            <w:tcW w:w="2553" w:type="dxa"/>
            <w:tcBorders>
              <w:top w:val="single" w:color="000000" w:sz="8" w:space="0"/>
              <w:left w:val="single" w:color="000000" w:sz="8" w:space="0"/>
              <w:bottom w:val="single" w:color="000000" w:sz="8" w:space="0"/>
              <w:right w:val="single" w:color="000000" w:sz="8" w:space="0"/>
            </w:tcBorders>
            <w:vAlign w:val="center"/>
          </w:tcPr>
          <w:p>
            <w:pPr>
              <w:widowControl/>
              <w:spacing w:line="240" w:lineRule="auto"/>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color w:val="auto"/>
                <w:kern w:val="0"/>
                <w:sz w:val="24"/>
                <w:szCs w:val="24"/>
                <w:highlight w:val="none"/>
              </w:rPr>
              <w:t>无缝对接</w:t>
            </w:r>
          </w:p>
        </w:tc>
        <w:tc>
          <w:tcPr>
            <w:tcW w:w="963" w:type="dxa"/>
            <w:tcBorders>
              <w:top w:val="single" w:color="000000" w:sz="8" w:space="0"/>
              <w:left w:val="single" w:color="000000" w:sz="8" w:space="0"/>
              <w:bottom w:val="single" w:color="000000" w:sz="8" w:space="0"/>
              <w:right w:val="single" w:color="000000" w:sz="8" w:space="0"/>
            </w:tcBorders>
            <w:vAlign w:val="center"/>
          </w:tcPr>
          <w:p>
            <w:pPr>
              <w:widowControl/>
              <w:spacing w:line="240" w:lineRule="auto"/>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7</w:t>
            </w:r>
          </w:p>
        </w:tc>
        <w:tc>
          <w:tcPr>
            <w:tcW w:w="4196" w:type="dxa"/>
            <w:tcBorders>
              <w:top w:val="single" w:color="000000" w:sz="8" w:space="0"/>
              <w:left w:val="single" w:color="000000" w:sz="8" w:space="0"/>
              <w:bottom w:val="single" w:color="000000" w:sz="8" w:space="0"/>
              <w:right w:val="single" w:color="000000" w:sz="8" w:space="0"/>
            </w:tcBorders>
            <w:vAlign w:val="center"/>
          </w:tcPr>
          <w:p>
            <w:pPr>
              <w:spacing w:line="24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t>（一）评分内容：</w:t>
            </w:r>
          </w:p>
          <w:p>
            <w:pPr>
              <w:spacing w:line="24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投标人根据本项目提供号码衔接及携号转网方案，内容包括：</w:t>
            </w:r>
          </w:p>
          <w:p>
            <w:pPr>
              <w:spacing w:line="24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1.手机号码保留方案（如不换号的具体操作方</w:t>
            </w:r>
            <w:bookmarkStart w:id="52" w:name="_GoBack"/>
            <w:r>
              <w:rPr>
                <w:rFonts w:hint="eastAsia" w:ascii="宋体" w:hAnsi="宋体" w:eastAsia="宋体" w:cs="宋体"/>
                <w:b w:val="0"/>
                <w:bCs w:val="0"/>
                <w:sz w:val="24"/>
                <w:szCs w:val="24"/>
                <w:lang w:val="en-US" w:eastAsia="zh-CN"/>
              </w:rPr>
              <w:t>式）</w:t>
            </w:r>
            <w:r>
              <w:rPr>
                <w:rFonts w:hint="eastAsia" w:ascii="宋体" w:hAnsi="宋体" w:cs="宋体"/>
                <w:b w:val="0"/>
                <w:bCs w:val="0"/>
                <w:sz w:val="24"/>
                <w:szCs w:val="24"/>
                <w:lang w:val="en-US" w:eastAsia="zh-CN"/>
              </w:rPr>
              <w:t>，明确承诺本项目所有在用11位手机号码均须保留、不得更换</w:t>
            </w:r>
            <w:r>
              <w:rPr>
                <w:rFonts w:hint="eastAsia" w:ascii="宋体" w:hAnsi="宋体" w:eastAsia="宋体" w:cs="宋体"/>
                <w:b w:val="0"/>
                <w:bCs w:val="0"/>
                <w:sz w:val="24"/>
                <w:szCs w:val="24"/>
                <w:lang w:val="en-US" w:eastAsia="zh-CN"/>
              </w:rPr>
              <w:t>；</w:t>
            </w:r>
          </w:p>
          <w:p>
            <w:pPr>
              <w:spacing w:line="24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2.切换方案（含手机号码</w:t>
            </w:r>
            <w:r>
              <w:rPr>
                <w:rFonts w:hint="eastAsia" w:ascii="宋体" w:hAnsi="宋体" w:cs="宋体"/>
                <w:b w:val="0"/>
                <w:bCs w:val="0"/>
                <w:sz w:val="24"/>
                <w:szCs w:val="24"/>
                <w:lang w:val="en-US" w:eastAsia="zh-CN"/>
              </w:rPr>
              <w:t>原号切换</w:t>
            </w:r>
            <w:r>
              <w:rPr>
                <w:rFonts w:hint="eastAsia" w:ascii="宋体" w:hAnsi="宋体" w:eastAsia="宋体" w:cs="宋体"/>
                <w:b w:val="0"/>
                <w:bCs w:val="0"/>
                <w:sz w:val="24"/>
                <w:szCs w:val="24"/>
                <w:lang w:val="en-US" w:eastAsia="zh-CN"/>
              </w:rPr>
              <w:t>及集群网</w:t>
            </w:r>
            <w:r>
              <w:rPr>
                <w:rFonts w:hint="eastAsia" w:ascii="宋体" w:hAnsi="宋体" w:cs="宋体"/>
                <w:b w:val="0"/>
                <w:bCs w:val="0"/>
                <w:sz w:val="24"/>
                <w:szCs w:val="24"/>
                <w:lang w:val="en-US" w:eastAsia="zh-CN"/>
              </w:rPr>
              <w:t>功能迁移</w:t>
            </w:r>
            <w:r>
              <w:rPr>
                <w:rFonts w:hint="eastAsia" w:ascii="宋体" w:hAnsi="宋体" w:eastAsia="宋体" w:cs="宋体"/>
                <w:b w:val="0"/>
                <w:bCs w:val="0"/>
                <w:sz w:val="24"/>
                <w:szCs w:val="24"/>
                <w:lang w:val="en-US" w:eastAsia="zh-CN"/>
              </w:rPr>
              <w:t>）；</w:t>
            </w:r>
          </w:p>
          <w:bookmarkEnd w:id="52"/>
          <w:p>
            <w:pPr>
              <w:spacing w:line="24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3.携号转网实施时间计划及过渡期通信保障方案。</w:t>
            </w:r>
          </w:p>
          <w:p>
            <w:pPr>
              <w:spacing w:line="24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t>（二）评分依据：</w:t>
            </w:r>
          </w:p>
          <w:p>
            <w:pPr>
              <w:spacing w:line="24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提供以上3点内容得70分，缺项不得分。在此基础上，专家根据内容的合理性进行评分：</w:t>
            </w:r>
          </w:p>
          <w:p>
            <w:pPr>
              <w:spacing w:line="24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优评分标准：方案明确阐述“无需更换手机号即可完成服务切换”“</w:t>
            </w:r>
            <w:r>
              <w:rPr>
                <w:rFonts w:hint="eastAsia" w:ascii="宋体" w:hAnsi="宋体" w:cs="宋体"/>
                <w:b w:val="0"/>
                <w:bCs w:val="0"/>
                <w:kern w:val="2"/>
                <w:sz w:val="24"/>
                <w:szCs w:val="24"/>
                <w:lang w:val="en-US" w:eastAsia="zh-CN" w:bidi="ar-SA"/>
              </w:rPr>
              <w:t>为原有</w:t>
            </w:r>
            <w:r>
              <w:rPr>
                <w:rFonts w:hint="eastAsia" w:ascii="宋体" w:hAnsi="宋体" w:eastAsia="宋体" w:cs="宋体"/>
                <w:b w:val="0"/>
                <w:bCs w:val="0"/>
                <w:kern w:val="2"/>
                <w:sz w:val="24"/>
                <w:szCs w:val="24"/>
                <w:lang w:val="en-US" w:eastAsia="zh-CN" w:bidi="ar-SA"/>
              </w:rPr>
              <w:t>手机号码</w:t>
            </w:r>
            <w:r>
              <w:rPr>
                <w:rFonts w:hint="eastAsia" w:ascii="宋体" w:hAnsi="宋体" w:cs="宋体"/>
                <w:b w:val="0"/>
                <w:bCs w:val="0"/>
                <w:kern w:val="2"/>
                <w:sz w:val="24"/>
                <w:szCs w:val="24"/>
                <w:lang w:val="en-US" w:eastAsia="zh-CN" w:bidi="ar-SA"/>
              </w:rPr>
              <w:t>承接服务</w:t>
            </w:r>
            <w:r>
              <w:rPr>
                <w:rFonts w:hint="eastAsia" w:ascii="宋体" w:hAnsi="宋体" w:eastAsia="宋体" w:cs="宋体"/>
                <w:b w:val="0"/>
                <w:bCs w:val="0"/>
                <w:kern w:val="2"/>
                <w:sz w:val="24"/>
                <w:szCs w:val="24"/>
                <w:lang w:val="en-US" w:eastAsia="zh-CN" w:bidi="ar-SA"/>
              </w:rPr>
              <w:t>及</w:t>
            </w:r>
            <w:r>
              <w:rPr>
                <w:rFonts w:hint="eastAsia" w:ascii="宋体" w:hAnsi="宋体" w:cs="宋体"/>
                <w:b w:val="0"/>
                <w:bCs w:val="0"/>
                <w:kern w:val="2"/>
                <w:sz w:val="24"/>
                <w:szCs w:val="24"/>
                <w:lang w:val="en-US" w:eastAsia="zh-CN" w:bidi="ar-SA"/>
              </w:rPr>
              <w:t>搭建</w:t>
            </w:r>
            <w:r>
              <w:rPr>
                <w:rFonts w:hint="eastAsia" w:ascii="宋体" w:hAnsi="宋体" w:eastAsia="宋体" w:cs="宋体"/>
                <w:b w:val="0"/>
                <w:bCs w:val="0"/>
                <w:kern w:val="2"/>
                <w:sz w:val="24"/>
                <w:szCs w:val="24"/>
                <w:lang w:val="en-US" w:eastAsia="zh-CN" w:bidi="ar-SA"/>
              </w:rPr>
              <w:t>集群网”“应急备用通信手段”等三项内容的具体操作方式，实施路径清晰、操作方式具体、可操作性强的，得30分；</w:t>
            </w:r>
          </w:p>
          <w:p>
            <w:pPr>
              <w:spacing w:line="24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良评分标准：方案中有一项内容的操作方式不够具体、实施路径不够清晰、应急手段不够明确的，得20分；</w:t>
            </w:r>
          </w:p>
          <w:p>
            <w:pPr>
              <w:spacing w:line="24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中评分标准：方案中有两项内容的操作方式不够具体、实施路径不够清晰、可操作性明显不足的，得10分；</w:t>
            </w:r>
          </w:p>
          <w:p>
            <w:pPr>
              <w:spacing w:line="24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差评分标准：方案内容空泛、缺乏实质性合理内容、无法实际执行的，或未提供方案的，不得分。</w:t>
            </w:r>
          </w:p>
          <w:p>
            <w:pPr>
              <w:spacing w:line="24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如评审为差，评审专家须书面说明理由，并记录在档。</w:t>
            </w:r>
          </w:p>
          <w:p>
            <w:pPr>
              <w:spacing w:line="240" w:lineRule="auto"/>
              <w:rPr>
                <w:rFonts w:hint="eastAsia" w:ascii="宋体" w:hAnsi="宋体" w:eastAsia="宋体" w:cs="宋体"/>
                <w:b w:val="0"/>
                <w:bCs w:val="0"/>
                <w:kern w:val="2"/>
                <w:sz w:val="24"/>
                <w:szCs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3" w:type="dxa"/>
            <w:vMerge w:val="continue"/>
            <w:tcBorders>
              <w:top w:val="single" w:color="000000" w:sz="8" w:space="0"/>
              <w:left w:val="single" w:color="000000" w:sz="8" w:space="0"/>
              <w:bottom w:val="single" w:color="000000" w:sz="8" w:space="0"/>
              <w:right w:val="single" w:color="000000" w:sz="8" w:space="0"/>
            </w:tcBorders>
            <w:vAlign w:val="center"/>
          </w:tcPr>
          <w:p>
            <w:pPr>
              <w:rPr>
                <w:rFonts w:hint="eastAsia" w:ascii="宋体" w:hAnsi="宋体" w:eastAsia="宋体" w:cs="宋体"/>
                <w:b/>
                <w:bCs/>
                <w:color w:val="0000FF"/>
                <w:sz w:val="24"/>
                <w:szCs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idowControl/>
              <w:wordWrap w:val="0"/>
              <w:spacing w:line="240" w:lineRule="auto"/>
              <w:jc w:val="center"/>
              <w:textAlignment w:val="top"/>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4</w:t>
            </w:r>
          </w:p>
        </w:tc>
        <w:tc>
          <w:tcPr>
            <w:tcW w:w="2553" w:type="dxa"/>
            <w:tcBorders>
              <w:top w:val="single" w:color="000000" w:sz="8" w:space="0"/>
              <w:left w:val="single" w:color="000000" w:sz="8" w:space="0"/>
              <w:bottom w:val="single" w:color="000000" w:sz="8" w:space="0"/>
              <w:right w:val="single" w:color="000000" w:sz="8" w:space="0"/>
            </w:tcBorders>
            <w:vAlign w:val="center"/>
          </w:tcPr>
          <w:p>
            <w:pPr>
              <w:widowControl/>
              <w:spacing w:line="240" w:lineRule="auto"/>
              <w:jc w:val="center"/>
              <w:textAlignment w:val="center"/>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服务保障能力</w:t>
            </w:r>
          </w:p>
        </w:tc>
        <w:tc>
          <w:tcPr>
            <w:tcW w:w="963" w:type="dxa"/>
            <w:tcBorders>
              <w:top w:val="single" w:color="000000" w:sz="8" w:space="0"/>
              <w:left w:val="single" w:color="000000" w:sz="8" w:space="0"/>
              <w:bottom w:val="single" w:color="000000" w:sz="8" w:space="0"/>
              <w:right w:val="single" w:color="000000" w:sz="8" w:space="0"/>
            </w:tcBorders>
            <w:vAlign w:val="center"/>
          </w:tcPr>
          <w:p>
            <w:pPr>
              <w:widowControl/>
              <w:spacing w:line="240" w:lineRule="auto"/>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7</w:t>
            </w:r>
          </w:p>
        </w:tc>
        <w:tc>
          <w:tcPr>
            <w:tcW w:w="4196" w:type="dxa"/>
            <w:tcBorders>
              <w:top w:val="single" w:color="000000" w:sz="8" w:space="0"/>
              <w:left w:val="single" w:color="000000" w:sz="8" w:space="0"/>
              <w:bottom w:val="single" w:color="000000" w:sz="8" w:space="0"/>
              <w:right w:val="single" w:color="000000" w:sz="8" w:space="0"/>
            </w:tcBorders>
            <w:vAlign w:val="center"/>
          </w:tcPr>
          <w:p>
            <w:pPr>
              <w:spacing w:line="24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（一）评分内容：</w:t>
            </w:r>
          </w:p>
          <w:p>
            <w:pPr>
              <w:spacing w:line="24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投标人针对本项目提供服务保障能力方案，内容包括：</w:t>
            </w:r>
          </w:p>
          <w:p>
            <w:pPr>
              <w:spacing w:line="24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1.投标人在</w:t>
            </w:r>
            <w:r>
              <w:rPr>
                <w:rFonts w:hint="eastAsia" w:ascii="宋体" w:hAnsi="宋体" w:cs="宋体"/>
                <w:b w:val="0"/>
                <w:bCs w:val="0"/>
                <w:sz w:val="24"/>
                <w:szCs w:val="24"/>
                <w:lang w:val="en-US" w:eastAsia="zh-CN"/>
              </w:rPr>
              <w:t>项目所在城市内</w:t>
            </w:r>
            <w:r>
              <w:rPr>
                <w:rFonts w:hint="eastAsia" w:ascii="宋体" w:hAnsi="宋体" w:eastAsia="宋体" w:cs="宋体"/>
                <w:b w:val="0"/>
                <w:bCs w:val="0"/>
                <w:sz w:val="24"/>
                <w:szCs w:val="24"/>
                <w:lang w:val="en-US" w:eastAsia="zh-CN"/>
              </w:rPr>
              <w:t>的通信服务覆盖能力说明（可提供政府行业主管部门通报</w:t>
            </w:r>
            <w:r>
              <w:rPr>
                <w:rFonts w:hint="eastAsia" w:ascii="宋体" w:hAnsi="宋体" w:cs="宋体"/>
                <w:b w:val="0"/>
                <w:bCs w:val="0"/>
                <w:sz w:val="24"/>
                <w:szCs w:val="24"/>
                <w:lang w:val="en-US" w:eastAsia="zh-CN"/>
              </w:rPr>
              <w:t>或</w:t>
            </w:r>
            <w:r>
              <w:rPr>
                <w:rFonts w:hint="eastAsia" w:ascii="宋体" w:hAnsi="宋体" w:eastAsia="宋体" w:cs="宋体"/>
                <w:b w:val="0"/>
                <w:bCs w:val="0"/>
                <w:sz w:val="24"/>
                <w:szCs w:val="24"/>
                <w:lang w:val="en-US" w:eastAsia="zh-CN"/>
              </w:rPr>
              <w:t>网络覆盖白皮书</w:t>
            </w:r>
            <w:r>
              <w:rPr>
                <w:rFonts w:hint="eastAsia" w:ascii="宋体" w:hAnsi="宋体" w:cs="宋体"/>
                <w:b w:val="0"/>
                <w:bCs w:val="0"/>
                <w:sz w:val="24"/>
                <w:szCs w:val="24"/>
                <w:lang w:val="en-US" w:eastAsia="zh-CN"/>
              </w:rPr>
              <w:t>或</w:t>
            </w:r>
            <w:r>
              <w:rPr>
                <w:rFonts w:hint="eastAsia" w:ascii="宋体" w:hAnsi="宋体" w:eastAsia="宋体" w:cs="宋体"/>
                <w:b w:val="0"/>
                <w:bCs w:val="0"/>
                <w:sz w:val="24"/>
                <w:szCs w:val="24"/>
                <w:lang w:val="en-US" w:eastAsia="zh-CN"/>
              </w:rPr>
              <w:t>第三方网络质量报告等）；</w:t>
            </w:r>
          </w:p>
          <w:p>
            <w:pPr>
              <w:spacing w:line="24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2.针对本项目使用场景（如办公区域、室外作业区域等）的信号覆盖保障方案；</w:t>
            </w:r>
          </w:p>
          <w:p>
            <w:pPr>
              <w:spacing w:line="24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3.盲区或弱覆盖区域的补充通信保障方案。</w:t>
            </w:r>
          </w:p>
          <w:p>
            <w:pPr>
              <w:spacing w:line="24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（二）评分依据：</w:t>
            </w:r>
          </w:p>
          <w:p>
            <w:pPr>
              <w:spacing w:line="24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提供以上3点内容的，得80分；仅提供2项内容的，得50分；仅提供1项内容的，得20分。在此基础上，专家根据内容的合理性进行评分：</w:t>
            </w:r>
          </w:p>
          <w:p>
            <w:pPr>
              <w:spacing w:line="24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优评分标准:方案符合实际、完整、规范、思路清晰，内容合理性强，得20分;</w:t>
            </w:r>
          </w:p>
          <w:p>
            <w:pPr>
              <w:spacing w:line="24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良评分标准:方案较符合实际、较完整规范、思路较清晰，内容合理性较强，得10分;</w:t>
            </w:r>
          </w:p>
          <w:p>
            <w:pPr>
              <w:spacing w:line="24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中评分标准:方案较普通、完整性规范性一般，思路不够清晰，内容合理性一般，得5分;</w:t>
            </w:r>
          </w:p>
          <w:p>
            <w:pPr>
              <w:spacing w:line="24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差评分标准：方案不完整、不规范，思路不清晰，内容合理性较差或未提供，不得分。</w:t>
            </w:r>
          </w:p>
          <w:p>
            <w:pPr>
              <w:spacing w:line="24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如评审为差，评审专家须书面说明理由，并记录在档。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3" w:type="dxa"/>
            <w:vMerge w:val="continue"/>
            <w:tcBorders>
              <w:top w:val="single" w:color="000000" w:sz="8" w:space="0"/>
              <w:left w:val="single" w:color="000000" w:sz="8" w:space="0"/>
              <w:bottom w:val="single" w:color="000000" w:sz="8" w:space="0"/>
              <w:right w:val="single" w:color="000000" w:sz="8" w:space="0"/>
            </w:tcBorders>
            <w:vAlign w:val="center"/>
          </w:tcPr>
          <w:p>
            <w:pPr>
              <w:rPr>
                <w:rFonts w:hint="eastAsia" w:ascii="宋体" w:hAnsi="宋体" w:eastAsia="宋体" w:cs="宋体"/>
                <w:b w:val="0"/>
                <w:bCs w:val="0"/>
                <w:color w:val="0000FF"/>
                <w:sz w:val="24"/>
                <w:szCs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idowControl/>
              <w:wordWrap w:val="0"/>
              <w:spacing w:line="240" w:lineRule="auto"/>
              <w:jc w:val="center"/>
              <w:textAlignment w:val="top"/>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5</w:t>
            </w:r>
          </w:p>
        </w:tc>
        <w:tc>
          <w:tcPr>
            <w:tcW w:w="2553" w:type="dxa"/>
            <w:tcBorders>
              <w:top w:val="single" w:color="000000" w:sz="8" w:space="0"/>
              <w:left w:val="single" w:color="000000" w:sz="8" w:space="0"/>
              <w:bottom w:val="single" w:color="000000" w:sz="8" w:space="0"/>
              <w:right w:val="single" w:color="000000" w:sz="8" w:space="0"/>
            </w:tcBorders>
            <w:vAlign w:val="center"/>
          </w:tcPr>
          <w:p>
            <w:pPr>
              <w:widowControl/>
              <w:spacing w:line="240" w:lineRule="auto"/>
              <w:jc w:val="center"/>
              <w:textAlignment w:val="center"/>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拟安排的项目负责人情况</w:t>
            </w:r>
          </w:p>
          <w:p>
            <w:pPr>
              <w:widowControl/>
              <w:spacing w:line="240" w:lineRule="auto"/>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color w:val="auto"/>
                <w:kern w:val="0"/>
                <w:sz w:val="24"/>
                <w:szCs w:val="24"/>
                <w:highlight w:val="none"/>
              </w:rPr>
              <w:t>（仅限一人）</w:t>
            </w:r>
          </w:p>
        </w:tc>
        <w:tc>
          <w:tcPr>
            <w:tcW w:w="963" w:type="dxa"/>
            <w:tcBorders>
              <w:top w:val="single" w:color="000000" w:sz="8" w:space="0"/>
              <w:left w:val="single" w:color="000000" w:sz="8" w:space="0"/>
              <w:bottom w:val="single" w:color="000000" w:sz="8" w:space="0"/>
              <w:right w:val="single" w:color="000000" w:sz="8" w:space="0"/>
            </w:tcBorders>
            <w:vAlign w:val="center"/>
          </w:tcPr>
          <w:p>
            <w:pPr>
              <w:widowControl/>
              <w:spacing w:line="240" w:lineRule="auto"/>
              <w:jc w:val="center"/>
              <w:textAlignment w:val="center"/>
              <w:rPr>
                <w:rFonts w:hint="eastAsia" w:ascii="宋体" w:hAnsi="宋体" w:eastAsia="宋体" w:cs="宋体"/>
                <w:b w:val="0"/>
                <w:bCs w:val="0"/>
                <w:color w:val="FF0000"/>
                <w:kern w:val="2"/>
                <w:sz w:val="24"/>
                <w:szCs w:val="24"/>
                <w:lang w:val="en-US" w:eastAsia="zh-CN" w:bidi="ar-SA"/>
              </w:rPr>
            </w:pPr>
            <w:r>
              <w:rPr>
                <w:rFonts w:hint="eastAsia" w:ascii="宋体" w:hAnsi="宋体" w:eastAsia="宋体" w:cs="宋体"/>
                <w:b w:val="0"/>
                <w:bCs w:val="0"/>
                <w:color w:val="auto"/>
                <w:kern w:val="0"/>
                <w:sz w:val="24"/>
                <w:szCs w:val="24"/>
                <w:highlight w:val="none"/>
                <w:lang w:val="en-US" w:eastAsia="zh-CN"/>
              </w:rPr>
              <w:t>7</w:t>
            </w:r>
          </w:p>
        </w:tc>
        <w:tc>
          <w:tcPr>
            <w:tcW w:w="4196" w:type="dxa"/>
            <w:tcBorders>
              <w:top w:val="single" w:color="000000" w:sz="8" w:space="0"/>
              <w:left w:val="single" w:color="000000" w:sz="8" w:space="0"/>
              <w:bottom w:val="single" w:color="000000" w:sz="8" w:space="0"/>
              <w:right w:val="single" w:color="000000" w:sz="8" w:space="0"/>
            </w:tcBorders>
            <w:vAlign w:val="center"/>
          </w:tcPr>
          <w:p>
            <w:pPr>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（一）评分内容：</w:t>
            </w:r>
          </w:p>
          <w:p>
            <w:pPr>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投标人针对本项目拟安排的项目负责人（仅限一人）</w:t>
            </w:r>
            <w:r>
              <w:rPr>
                <w:rFonts w:hint="eastAsia" w:ascii="宋体" w:hAnsi="宋体" w:eastAsia="宋体" w:cs="宋体"/>
                <w:b w:val="0"/>
                <w:bCs w:val="0"/>
                <w:color w:val="auto"/>
                <w:sz w:val="24"/>
                <w:szCs w:val="24"/>
                <w:highlight w:val="none"/>
                <w:lang w:val="en-US" w:eastAsia="zh-CN"/>
              </w:rPr>
              <w:t>，在此基础上：</w:t>
            </w:r>
          </w:p>
          <w:p>
            <w:pPr>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1.具有通信类中级及以上通信工程师</w:t>
            </w:r>
            <w:r>
              <w:rPr>
                <w:rFonts w:hint="eastAsia" w:ascii="宋体" w:hAnsi="宋体" w:cs="宋体"/>
                <w:b w:val="0"/>
                <w:bCs w:val="0"/>
                <w:color w:val="auto"/>
                <w:sz w:val="24"/>
                <w:szCs w:val="24"/>
                <w:highlight w:val="none"/>
                <w:lang w:val="en-US" w:eastAsia="zh-CN"/>
              </w:rPr>
              <w:t>或</w:t>
            </w:r>
            <w:r>
              <w:rPr>
                <w:rFonts w:hint="eastAsia" w:ascii="宋体" w:hAnsi="宋体" w:eastAsia="宋体" w:cs="宋体"/>
                <w:b w:val="0"/>
                <w:bCs w:val="0"/>
                <w:color w:val="auto"/>
                <w:sz w:val="24"/>
                <w:szCs w:val="24"/>
                <w:highlight w:val="none"/>
                <w:lang w:val="en-US" w:eastAsia="zh-CN"/>
              </w:rPr>
              <w:t>通信专业技术人员职业资格的，得</w:t>
            </w:r>
            <w:r>
              <w:rPr>
                <w:rFonts w:hint="eastAsia" w:ascii="宋体" w:hAnsi="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lang w:val="en-US" w:eastAsia="zh-CN"/>
              </w:rPr>
              <w:t>分；</w:t>
            </w:r>
          </w:p>
          <w:p>
            <w:pPr>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2.具有通信服务类项目（须包含移动通信套餐服务）管理经验的，得</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0分；</w:t>
            </w:r>
          </w:p>
          <w:p>
            <w:pPr>
              <w:spacing w:line="240" w:lineRule="auto"/>
              <w:rPr>
                <w:rFonts w:hint="eastAsia" w:ascii="宋体" w:hAnsi="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3.具有人力资源和社会保障部与工业和信息化部颁发的网络工程师证书的，得30分</w:t>
            </w:r>
            <w:r>
              <w:rPr>
                <w:rFonts w:hint="eastAsia" w:ascii="宋体" w:hAnsi="宋体" w:cs="宋体"/>
                <w:b w:val="0"/>
                <w:bCs w:val="0"/>
                <w:color w:val="auto"/>
                <w:sz w:val="24"/>
                <w:szCs w:val="24"/>
                <w:highlight w:val="none"/>
                <w:lang w:val="en-US" w:eastAsia="zh-CN"/>
              </w:rPr>
              <w:t>；</w:t>
            </w:r>
          </w:p>
          <w:p>
            <w:pPr>
              <w:spacing w:line="240" w:lineRule="auto"/>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val="en-US" w:eastAsia="zh-CN"/>
              </w:rPr>
              <w:t>4.</w:t>
            </w:r>
            <w:r>
              <w:rPr>
                <w:rFonts w:hint="eastAsia" w:ascii="宋体" w:eastAsia="宋体" w:cs="宋体"/>
                <w:color w:val="auto"/>
                <w:sz w:val="24"/>
                <w:szCs w:val="24"/>
                <w:highlight w:val="none"/>
                <w:lang w:val="en-US" w:eastAsia="zh-CN" w:bidi="ar-SA"/>
              </w:rPr>
              <w:t>具有中国网络安全审查认证和市场监管大数据中心颁发的信息安全保障人员认证（风险管理）证书，得30分</w:t>
            </w:r>
            <w:r>
              <w:rPr>
                <w:rFonts w:hint="eastAsia" w:ascii="宋体" w:hAnsi="宋体" w:eastAsia="宋体" w:cs="宋体"/>
                <w:b w:val="0"/>
                <w:bCs w:val="0"/>
                <w:color w:val="auto"/>
                <w:sz w:val="24"/>
                <w:szCs w:val="24"/>
                <w:highlight w:val="none"/>
                <w:lang w:val="en-US" w:eastAsia="zh-CN"/>
              </w:rPr>
              <w:t>。</w:t>
            </w:r>
          </w:p>
          <w:p>
            <w:pPr>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（二）评分依据：</w:t>
            </w:r>
          </w:p>
          <w:p>
            <w:pPr>
              <w:numPr>
                <w:ilvl w:val="0"/>
                <w:numId w:val="0"/>
              </w:numPr>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要求提供通过投标人缴纳的近三个月的任意一个月的社保证明作为本单位员工的证明依据。若供应商成立不足三个月的，需提供成立情况说明函（格式自拟），无需提供相关人员社保，亦可得分；若为退休返聘人员，需提供说明函（格式自拟），无需提供相关人员社保，亦可得分。</w:t>
            </w:r>
          </w:p>
          <w:p>
            <w:pPr>
              <w:pStyle w:val="2"/>
              <w:numPr>
                <w:ilvl w:val="-1"/>
                <w:numId w:val="0"/>
              </w:numPr>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.涉及考察人员工作经验的，要求提供项目合同</w:t>
            </w:r>
            <w:r>
              <w:rPr>
                <w:rFonts w:hint="eastAsia" w:ascii="宋体" w:hAnsi="宋体" w:cs="宋体"/>
                <w:b w:val="0"/>
                <w:bCs w:val="0"/>
                <w:color w:val="auto"/>
                <w:sz w:val="24"/>
                <w:szCs w:val="24"/>
                <w:highlight w:val="none"/>
                <w:lang w:val="en-US" w:eastAsia="zh-CN"/>
              </w:rPr>
              <w:t>或业务受理单</w:t>
            </w:r>
            <w:r>
              <w:rPr>
                <w:rFonts w:hint="eastAsia" w:ascii="宋体" w:hAnsi="宋体" w:eastAsia="宋体" w:cs="宋体"/>
                <w:b w:val="0"/>
                <w:bCs w:val="0"/>
                <w:color w:val="auto"/>
                <w:sz w:val="24"/>
                <w:szCs w:val="24"/>
                <w:highlight w:val="none"/>
                <w:lang w:val="en-US" w:eastAsia="zh-CN"/>
              </w:rPr>
              <w:t>关键信息作为得分依据，通过合同</w:t>
            </w:r>
            <w:r>
              <w:rPr>
                <w:rFonts w:hint="eastAsia" w:ascii="宋体" w:hAnsi="宋体" w:cs="宋体"/>
                <w:b w:val="0"/>
                <w:bCs w:val="0"/>
                <w:color w:val="auto"/>
                <w:sz w:val="24"/>
                <w:szCs w:val="24"/>
                <w:highlight w:val="none"/>
                <w:lang w:val="en-US" w:eastAsia="zh-CN"/>
              </w:rPr>
              <w:t>或业务受理单</w:t>
            </w:r>
            <w:r>
              <w:rPr>
                <w:rFonts w:hint="eastAsia" w:ascii="宋体" w:hAnsi="宋体" w:eastAsia="宋体" w:cs="宋体"/>
                <w:b w:val="0"/>
                <w:bCs w:val="0"/>
                <w:color w:val="auto"/>
                <w:sz w:val="24"/>
                <w:szCs w:val="24"/>
                <w:highlight w:val="none"/>
                <w:lang w:val="en-US" w:eastAsia="zh-CN"/>
              </w:rPr>
              <w:t>关键信息无法判断是否得分的，还须同时提供合同甲方出具的证明文件。</w:t>
            </w:r>
          </w:p>
          <w:p>
            <w:pPr>
              <w:pStyle w:val="2"/>
              <w:numPr>
                <w:ilvl w:val="-1"/>
                <w:numId w:val="0"/>
              </w:numPr>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.要求提供相关证书扫描件作为得分依据。</w:t>
            </w:r>
          </w:p>
          <w:p>
            <w:pPr>
              <w:spacing w:line="240" w:lineRule="auto"/>
              <w:rPr>
                <w:rFonts w:hint="eastAsia" w:ascii="宋体" w:hAnsi="宋体" w:eastAsia="宋体" w:cs="宋体"/>
                <w:b w:val="0"/>
                <w:bCs w:val="0"/>
                <w:kern w:val="2"/>
                <w:sz w:val="24"/>
                <w:szCs w:val="24"/>
                <w:lang w:val="en-US" w:eastAsia="zh-CN" w:bidi="ar-SA"/>
              </w:rPr>
            </w:pP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.以上资料均要求提供扫描件，原件备查，评分中出现无证明资料或证书过期或专家无法凭所提供资料判断是否得分的情况，一律作不得分处理。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3" w:type="dxa"/>
            <w:vMerge w:val="continue"/>
            <w:tcBorders>
              <w:top w:val="single" w:color="000000" w:sz="8" w:space="0"/>
              <w:left w:val="single" w:color="000000" w:sz="8" w:space="0"/>
              <w:bottom w:val="single" w:color="000000" w:sz="8" w:space="0"/>
              <w:right w:val="single" w:color="000000" w:sz="8" w:space="0"/>
            </w:tcBorders>
            <w:vAlign w:val="center"/>
          </w:tcPr>
          <w:p>
            <w:pPr>
              <w:rPr>
                <w:rFonts w:hint="eastAsia" w:ascii="宋体" w:hAnsi="宋体" w:eastAsia="宋体" w:cs="宋体"/>
                <w:b w:val="0"/>
                <w:bCs w:val="0"/>
                <w:color w:val="0000FF"/>
                <w:sz w:val="24"/>
                <w:szCs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idowControl/>
              <w:wordWrap w:val="0"/>
              <w:spacing w:line="240" w:lineRule="auto"/>
              <w:jc w:val="center"/>
              <w:textAlignment w:val="top"/>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6</w:t>
            </w:r>
          </w:p>
        </w:tc>
        <w:tc>
          <w:tcPr>
            <w:tcW w:w="2553" w:type="dxa"/>
            <w:tcBorders>
              <w:top w:val="single" w:color="000000" w:sz="8" w:space="0"/>
              <w:left w:val="single" w:color="000000" w:sz="8" w:space="0"/>
              <w:bottom w:val="single" w:color="000000" w:sz="8" w:space="0"/>
              <w:right w:val="single" w:color="000000" w:sz="8" w:space="0"/>
            </w:tcBorders>
            <w:vAlign w:val="center"/>
          </w:tcPr>
          <w:p>
            <w:pPr>
              <w:widowControl/>
              <w:spacing w:line="240" w:lineRule="auto"/>
              <w:jc w:val="center"/>
              <w:textAlignment w:val="center"/>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拟安排的项目团队成员</w:t>
            </w:r>
          </w:p>
          <w:p>
            <w:pPr>
              <w:widowControl/>
              <w:spacing w:line="240" w:lineRule="auto"/>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color w:val="auto"/>
                <w:kern w:val="0"/>
                <w:sz w:val="24"/>
                <w:szCs w:val="24"/>
                <w:highlight w:val="none"/>
              </w:rPr>
              <w:t>（主要技术人员）情况（项目负责人除外）</w:t>
            </w:r>
          </w:p>
        </w:tc>
        <w:tc>
          <w:tcPr>
            <w:tcW w:w="963" w:type="dxa"/>
            <w:tcBorders>
              <w:top w:val="single" w:color="000000" w:sz="8" w:space="0"/>
              <w:left w:val="single" w:color="000000" w:sz="8" w:space="0"/>
              <w:bottom w:val="single" w:color="000000" w:sz="8" w:space="0"/>
              <w:right w:val="single" w:color="000000" w:sz="8" w:space="0"/>
            </w:tcBorders>
            <w:vAlign w:val="center"/>
          </w:tcPr>
          <w:p>
            <w:pPr>
              <w:widowControl/>
              <w:spacing w:line="240" w:lineRule="auto"/>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7</w:t>
            </w:r>
          </w:p>
        </w:tc>
        <w:tc>
          <w:tcPr>
            <w:tcW w:w="4196" w:type="dxa"/>
            <w:tcBorders>
              <w:top w:val="single" w:color="000000" w:sz="8" w:space="0"/>
              <w:left w:val="single" w:color="000000" w:sz="8" w:space="0"/>
              <w:bottom w:val="single" w:color="000000" w:sz="8" w:space="0"/>
              <w:right w:val="single" w:color="000000" w:sz="8" w:space="0"/>
            </w:tcBorders>
            <w:vAlign w:val="center"/>
          </w:tcPr>
          <w:p>
            <w:pPr>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（一）评分内容：</w:t>
            </w:r>
          </w:p>
          <w:p>
            <w:pPr>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投标人针对本项目拟安排的项目组人员（项目负责人除外），不少于</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人</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不满足以上要求的不得分。</w:t>
            </w:r>
            <w:r>
              <w:rPr>
                <w:rFonts w:hint="eastAsia" w:ascii="宋体" w:hAnsi="宋体" w:eastAsia="宋体" w:cs="宋体"/>
                <w:b w:val="0"/>
                <w:bCs w:val="0"/>
                <w:color w:val="auto"/>
                <w:sz w:val="24"/>
                <w:szCs w:val="24"/>
                <w:highlight w:val="none"/>
                <w:lang w:eastAsia="zh-CN"/>
              </w:rPr>
              <w:t>在此基础上，按以下标准评分：</w:t>
            </w:r>
          </w:p>
          <w:p>
            <w:pPr>
              <w:pStyle w:val="42"/>
              <w:spacing w:line="240" w:lineRule="auto"/>
              <w:ind w:left="0" w:leftChars="0" w:firstLine="0" w:firstLineChars="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1.</w:t>
            </w:r>
            <w:r>
              <w:rPr>
                <w:rFonts w:hint="eastAsia" w:ascii="宋体" w:hAnsi="宋体" w:eastAsia="宋体" w:cs="宋体"/>
                <w:b w:val="0"/>
                <w:bCs w:val="0"/>
                <w:color w:val="auto"/>
                <w:sz w:val="24"/>
                <w:szCs w:val="24"/>
                <w:highlight w:val="none"/>
                <w:lang w:val="en-US" w:eastAsia="zh-CN"/>
              </w:rPr>
              <w:t>团队中至少1人持有人力资源和社会保障部与工业和信息化部颁发的通信专业技术人员职业资格（专业：传输与接入或终端与业务）证书的，得50分</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eastAsia="zh-CN"/>
              </w:rPr>
              <w:t>无人持有的，不得分。</w:t>
            </w:r>
          </w:p>
          <w:p>
            <w:pPr>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2.团队中至少1人持有人力资源和社会保障部与工业和信息化部颁发的网络工程师证书的，得50分；无人持有的，不得分。</w:t>
            </w:r>
          </w:p>
          <w:p>
            <w:pPr>
              <w:spacing w:line="24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color w:val="auto"/>
                <w:sz w:val="24"/>
                <w:szCs w:val="24"/>
                <w:highlight w:val="none"/>
                <w:lang w:val="en-US" w:eastAsia="zh-CN"/>
              </w:rPr>
              <w:t>同一人同时持有上述两个证书的，按一个证书计分，不重复累计；本项最高得100分。</w:t>
            </w:r>
          </w:p>
          <w:p>
            <w:pPr>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（二）评分依据：</w:t>
            </w:r>
          </w:p>
          <w:p>
            <w:pPr>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要求提供通过投标人缴纳的近三个月的任意一个月的社保证明作为本单位员工的证明依据。若供应商成立不足三个月的，需提供成立情况说明函（格式自拟），无需提供相关人员社保，亦可得分；若为退休返聘人员，需提供说明函（格式自拟），无需提供相关人员社保，亦可得分。</w:t>
            </w:r>
          </w:p>
          <w:p>
            <w:pPr>
              <w:pStyle w:val="2"/>
              <w:spacing w:line="240" w:lineRule="auto"/>
              <w:rPr>
                <w:rFonts w:hint="eastAsia" w:ascii="宋体" w:hAnsi="宋体" w:eastAsia="宋体" w:cs="宋体"/>
                <w:lang w:val="en-US" w:eastAsia="zh-CN"/>
              </w:rPr>
            </w:pPr>
            <w:r>
              <w:rPr>
                <w:rFonts w:hint="eastAsia" w:ascii="宋体" w:hAnsi="宋体" w:eastAsia="宋体" w:cs="宋体"/>
                <w:b w:val="0"/>
                <w:bCs w:val="0"/>
                <w:color w:val="auto"/>
                <w:sz w:val="24"/>
                <w:szCs w:val="24"/>
                <w:highlight w:val="none"/>
                <w:lang w:val="en-US" w:eastAsia="zh-CN"/>
              </w:rPr>
              <w:t>2.要求提供相关证书扫描件作为得分依据。</w:t>
            </w:r>
          </w:p>
          <w:p>
            <w:pPr>
              <w:spacing w:line="24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.以上资料均要求提供扫描件，原件备查，若证明文件为其它语言，必须附中文译文，以中文译文为准。评分中出现无证明资料或证书过期或专家无法凭所提供资料判断是否得分的情况，一律作不得分处理。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3" w:type="dxa"/>
            <w:vMerge w:val="continue"/>
            <w:tcBorders>
              <w:top w:val="single" w:color="000000" w:sz="8" w:space="0"/>
              <w:left w:val="single" w:color="000000" w:sz="8" w:space="0"/>
              <w:bottom w:val="single" w:color="000000" w:sz="8" w:space="0"/>
              <w:right w:val="single" w:color="000000" w:sz="8" w:space="0"/>
            </w:tcBorders>
            <w:vAlign w:val="center"/>
          </w:tcPr>
          <w:p>
            <w:pPr>
              <w:rPr>
                <w:rFonts w:hint="eastAsia" w:ascii="宋体" w:hAnsi="宋体" w:eastAsia="宋体" w:cs="宋体"/>
                <w:b w:val="0"/>
                <w:bCs w:val="0"/>
                <w:color w:val="0000FF"/>
                <w:sz w:val="24"/>
                <w:szCs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idowControl/>
              <w:wordWrap w:val="0"/>
              <w:spacing w:line="240" w:lineRule="auto"/>
              <w:jc w:val="center"/>
              <w:textAlignment w:val="top"/>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7</w:t>
            </w:r>
          </w:p>
        </w:tc>
        <w:tc>
          <w:tcPr>
            <w:tcW w:w="2553" w:type="dxa"/>
            <w:tcBorders>
              <w:top w:val="single" w:color="000000" w:sz="8" w:space="0"/>
              <w:left w:val="single" w:color="000000" w:sz="8" w:space="0"/>
              <w:bottom w:val="single" w:color="000000" w:sz="8" w:space="0"/>
              <w:right w:val="single" w:color="000000" w:sz="8" w:space="0"/>
            </w:tcBorders>
            <w:vAlign w:val="center"/>
          </w:tcPr>
          <w:p>
            <w:pPr>
              <w:widowControl/>
              <w:spacing w:line="240" w:lineRule="auto"/>
              <w:jc w:val="center"/>
              <w:textAlignment w:val="center"/>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SIM卡终端定位服务能力</w:t>
            </w:r>
          </w:p>
        </w:tc>
        <w:tc>
          <w:tcPr>
            <w:tcW w:w="963" w:type="dxa"/>
            <w:tcBorders>
              <w:top w:val="single" w:color="000000" w:sz="8" w:space="0"/>
              <w:left w:val="single" w:color="000000" w:sz="8" w:space="0"/>
              <w:bottom w:val="single" w:color="000000" w:sz="8" w:space="0"/>
              <w:right w:val="single" w:color="000000" w:sz="8" w:space="0"/>
            </w:tcBorders>
            <w:vAlign w:val="center"/>
          </w:tcPr>
          <w:p>
            <w:pPr>
              <w:widowControl/>
              <w:spacing w:line="240" w:lineRule="auto"/>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7</w:t>
            </w:r>
          </w:p>
        </w:tc>
        <w:tc>
          <w:tcPr>
            <w:tcW w:w="4196" w:type="dxa"/>
            <w:tcBorders>
              <w:top w:val="single" w:color="000000" w:sz="8" w:space="0"/>
              <w:left w:val="single" w:color="000000" w:sz="8" w:space="0"/>
              <w:bottom w:val="single" w:color="000000" w:sz="8" w:space="0"/>
              <w:right w:val="single" w:color="000000" w:sz="8" w:space="0"/>
            </w:tcBorders>
            <w:vAlign w:val="center"/>
          </w:tcPr>
          <w:p>
            <w:pPr>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（一）评分内容：</w:t>
            </w:r>
          </w:p>
          <w:p>
            <w:pPr>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投标人提供的通信服务方案中，针对本项目涉及的SIM卡终端，具有以下定位服务能力：</w:t>
            </w:r>
          </w:p>
          <w:p>
            <w:pPr>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1.可提供基站定位（Cell ID)服务，能够根据基站信息获取终端大致位置；</w:t>
            </w:r>
          </w:p>
          <w:p>
            <w:pPr>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2.可提供基于GPS/北斗等卫星定位能力（可配合终端硬件支持）；</w:t>
            </w:r>
          </w:p>
          <w:p>
            <w:pPr>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3.可提供定位数据查询接口或管理平台，供采购人实时查看终端位置信息；</w:t>
            </w:r>
          </w:p>
          <w:p>
            <w:pPr>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4.可提供历史轨迹查询功能，支持时间段检索终端历史位置。</w:t>
            </w:r>
          </w:p>
          <w:p>
            <w:pPr>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（二）评分依据：</w:t>
            </w:r>
          </w:p>
          <w:p>
            <w:pPr>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提供以上4点功能：全部提供且说明具体实现方式的，得100分；</w:t>
            </w:r>
          </w:p>
          <w:p>
            <w:pPr>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提供3项的，得70分；</w:t>
            </w:r>
          </w:p>
          <w:p>
            <w:pPr>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提供2项的，得40分；</w:t>
            </w:r>
          </w:p>
          <w:p>
            <w:pPr>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提供1项及以下的，不得分。</w:t>
            </w:r>
          </w:p>
          <w:p>
            <w:pPr>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投标人须提供定位服务能力说明及功能截图（如已有管理平台界面截图、接口文档说明、技术方案说明等）作为佐证材料。证明材料须与所申报的功能逐项对应，如某项功能无佐证材料或佐证材料无法体现对应功能的，评审专家按未提供该项功能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3" w:type="dxa"/>
            <w:vMerge w:val="continue"/>
            <w:tcBorders>
              <w:top w:val="single" w:color="000000" w:sz="8" w:space="0"/>
              <w:left w:val="single" w:color="000000" w:sz="8" w:space="0"/>
              <w:bottom w:val="single" w:color="000000" w:sz="8" w:space="0"/>
              <w:right w:val="single" w:color="000000" w:sz="8" w:space="0"/>
            </w:tcBorders>
            <w:vAlign w:val="center"/>
          </w:tcPr>
          <w:p>
            <w:pPr>
              <w:rPr>
                <w:rFonts w:hint="eastAsia" w:ascii="宋体" w:hAnsi="宋体" w:eastAsia="宋体" w:cs="宋体"/>
                <w:b w:val="0"/>
                <w:bCs w:val="0"/>
                <w:color w:val="0000FF"/>
                <w:sz w:val="24"/>
                <w:szCs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idowControl/>
              <w:wordWrap w:val="0"/>
              <w:spacing w:line="240" w:lineRule="auto"/>
              <w:jc w:val="center"/>
              <w:textAlignment w:val="top"/>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rPr>
              <w:t>8</w:t>
            </w:r>
          </w:p>
        </w:tc>
        <w:tc>
          <w:tcPr>
            <w:tcW w:w="2553" w:type="dxa"/>
            <w:tcBorders>
              <w:top w:val="single" w:color="000000" w:sz="8" w:space="0"/>
              <w:left w:val="single" w:color="000000" w:sz="8" w:space="0"/>
              <w:bottom w:val="single" w:color="000000" w:sz="8" w:space="0"/>
              <w:right w:val="single" w:color="000000" w:sz="8" w:space="0"/>
            </w:tcBorders>
            <w:vAlign w:val="center"/>
          </w:tcPr>
          <w:p>
            <w:pPr>
              <w:widowControl/>
              <w:spacing w:line="240" w:lineRule="auto"/>
              <w:jc w:val="center"/>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0"/>
                <w:sz w:val="24"/>
                <w:szCs w:val="24"/>
                <w:highlight w:val="none"/>
              </w:rPr>
              <w:t>项目完成后的服务承诺</w:t>
            </w:r>
          </w:p>
        </w:tc>
        <w:tc>
          <w:tcPr>
            <w:tcW w:w="963" w:type="dxa"/>
            <w:tcBorders>
              <w:top w:val="single" w:color="000000" w:sz="8" w:space="0"/>
              <w:left w:val="single" w:color="000000" w:sz="8" w:space="0"/>
              <w:bottom w:val="single" w:color="000000" w:sz="8" w:space="0"/>
              <w:right w:val="single" w:color="000000" w:sz="8" w:space="0"/>
            </w:tcBorders>
            <w:vAlign w:val="center"/>
          </w:tcPr>
          <w:p>
            <w:pPr>
              <w:widowControl/>
              <w:spacing w:line="240" w:lineRule="auto"/>
              <w:jc w:val="center"/>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5</w:t>
            </w:r>
          </w:p>
        </w:tc>
        <w:tc>
          <w:tcPr>
            <w:tcW w:w="4196" w:type="dxa"/>
            <w:tcBorders>
              <w:top w:val="single" w:color="000000" w:sz="8" w:space="0"/>
              <w:left w:val="single" w:color="000000" w:sz="8" w:space="0"/>
              <w:bottom w:val="single" w:color="000000" w:sz="8" w:space="0"/>
              <w:right w:val="single" w:color="000000" w:sz="8" w:space="0"/>
            </w:tcBorders>
            <w:vAlign w:val="center"/>
          </w:tcPr>
          <w:p>
            <w:pPr>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（一）评分内容：</w:t>
            </w:r>
          </w:p>
          <w:p>
            <w:pPr>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投标人对服务期满后的延续服务做出承诺，内容包括：</w:t>
            </w:r>
          </w:p>
          <w:p>
            <w:pPr>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1.服务期满后继续提供SIM卡通信服务的价格标准（须明确超出套餐流量/通话/短信的资费标准）；</w:t>
            </w:r>
          </w:p>
          <w:p>
            <w:pPr>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2.服务期满后对采购人存量号码的保障承诺（含号码保留、短号保留等）；</w:t>
            </w:r>
          </w:p>
          <w:p>
            <w:pPr>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3.服务期满后与新中标供应商的对接承诺。</w:t>
            </w:r>
          </w:p>
          <w:p>
            <w:pPr>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（二）评分依据：</w:t>
            </w:r>
          </w:p>
          <w:p>
            <w:pPr>
              <w:spacing w:line="240" w:lineRule="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rPr>
              <w:t>投标人承诺满足以上全部内容的得100分，要求投标人提供承诺（格式自定）作为得分依据。未提供承诺或承诺内容不满足要求均不得分。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3" w:type="dxa"/>
            <w:tcBorders>
              <w:top w:val="single" w:color="000000" w:sz="8" w:space="0"/>
              <w:left w:val="single" w:color="000000" w:sz="8" w:space="0"/>
              <w:bottom w:val="single" w:color="000000" w:sz="8" w:space="0"/>
              <w:right w:val="single" w:color="000000" w:sz="8" w:space="0"/>
            </w:tcBorders>
            <w:vAlign w:val="center"/>
          </w:tcPr>
          <w:p>
            <w:pPr>
              <w:rPr>
                <w:rFonts w:hint="eastAsia" w:ascii="宋体" w:hAnsi="宋体" w:eastAsia="宋体" w:cs="宋体"/>
                <w:b w:val="0"/>
                <w:bCs w:val="0"/>
                <w:color w:val="0000FF"/>
                <w:sz w:val="24"/>
                <w:szCs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idowControl/>
              <w:wordWrap w:val="0"/>
              <w:spacing w:line="240" w:lineRule="auto"/>
              <w:jc w:val="center"/>
              <w:textAlignment w:val="top"/>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2553" w:type="dxa"/>
            <w:tcBorders>
              <w:top w:val="single" w:color="000000" w:sz="8" w:space="0"/>
              <w:left w:val="single" w:color="000000" w:sz="8" w:space="0"/>
              <w:bottom w:val="single" w:color="000000" w:sz="8" w:space="0"/>
              <w:right w:val="single" w:color="000000" w:sz="8" w:space="0"/>
            </w:tcBorders>
            <w:vAlign w:val="center"/>
          </w:tcPr>
          <w:p>
            <w:pPr>
              <w:widowControl/>
              <w:spacing w:line="240" w:lineRule="auto"/>
              <w:jc w:val="center"/>
              <w:textAlignment w:val="center"/>
              <w:rPr>
                <w:rFonts w:hint="eastAsia" w:ascii="宋体" w:hAnsi="宋体" w:eastAsia="宋体" w:cs="宋体"/>
                <w:b w:val="0"/>
                <w:bCs w:val="0"/>
                <w:color w:val="auto"/>
                <w:kern w:val="0"/>
                <w:sz w:val="24"/>
                <w:szCs w:val="24"/>
                <w:highlight w:val="none"/>
              </w:rPr>
            </w:pPr>
            <w:r>
              <w:rPr>
                <w:rFonts w:hint="eastAsia" w:ascii="宋体" w:hAnsi="宋体" w:eastAsia="宋体" w:cs="宋体"/>
                <w:color w:val="auto"/>
                <w:kern w:val="0"/>
                <w:sz w:val="24"/>
                <w:szCs w:val="24"/>
                <w:highlight w:val="none"/>
              </w:rPr>
              <w:t>投标人同类项目业绩情况</w:t>
            </w:r>
          </w:p>
        </w:tc>
        <w:tc>
          <w:tcPr>
            <w:tcW w:w="963" w:type="dxa"/>
            <w:tcBorders>
              <w:top w:val="single" w:color="000000" w:sz="8" w:space="0"/>
              <w:left w:val="single" w:color="000000" w:sz="8" w:space="0"/>
              <w:bottom w:val="single" w:color="000000" w:sz="8" w:space="0"/>
              <w:right w:val="single" w:color="000000" w:sz="8" w:space="0"/>
            </w:tcBorders>
            <w:vAlign w:val="center"/>
          </w:tcPr>
          <w:p>
            <w:pPr>
              <w:widowControl/>
              <w:spacing w:line="240" w:lineRule="auto"/>
              <w:jc w:val="center"/>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15</w:t>
            </w:r>
          </w:p>
        </w:tc>
        <w:tc>
          <w:tcPr>
            <w:tcW w:w="4196" w:type="dxa"/>
            <w:tcBorders>
              <w:top w:val="single" w:color="000000" w:sz="8" w:space="0"/>
              <w:left w:val="single" w:color="000000" w:sz="8" w:space="0"/>
              <w:bottom w:val="single" w:color="000000" w:sz="8" w:space="0"/>
              <w:right w:val="single" w:color="000000" w:sz="8" w:space="0"/>
            </w:tcBorders>
            <w:vAlign w:val="center"/>
          </w:tcPr>
          <w:p>
            <w:pPr>
              <w:widowControl/>
              <w:wordWrap w:val="0"/>
              <w:spacing w:line="240" w:lineRule="auto"/>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（一）评分内容：</w:t>
            </w:r>
          </w:p>
          <w:p>
            <w:pPr>
              <w:widowControl/>
              <w:wordWrap w:val="0"/>
              <w:spacing w:line="240" w:lineRule="auto"/>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投标人提供</w:t>
            </w:r>
            <w:r>
              <w:rPr>
                <w:rFonts w:hint="eastAsia" w:ascii="宋体" w:hAnsi="宋体" w:eastAsia="宋体" w:cs="宋体"/>
                <w:color w:val="auto"/>
                <w:sz w:val="24"/>
                <w:szCs w:val="24"/>
                <w:highlight w:val="none"/>
                <w:lang w:val="en-US" w:eastAsia="zh-CN"/>
              </w:rPr>
              <w:t>近三年（</w:t>
            </w:r>
            <w:r>
              <w:rPr>
                <w:rFonts w:hint="eastAsia"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年6月1日至投标截止之日</w:t>
            </w:r>
            <w:r>
              <w:rPr>
                <w:rFonts w:hint="eastAsia" w:ascii="宋体" w:hAnsi="宋体" w:eastAsia="宋体" w:cs="宋体"/>
                <w:color w:val="auto"/>
                <w:sz w:val="24"/>
                <w:szCs w:val="24"/>
                <w:highlight w:val="none"/>
                <w:lang w:val="en-US" w:eastAsia="zh-CN"/>
              </w:rPr>
              <w:t>止，以合同或业务受理单签订时间为准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移动</w:t>
            </w:r>
            <w:r>
              <w:rPr>
                <w:rFonts w:hint="eastAsia" w:ascii="宋体" w:hAnsi="宋体" w:eastAsia="宋体" w:cs="宋体"/>
                <w:color w:val="auto"/>
                <w:sz w:val="24"/>
                <w:szCs w:val="24"/>
                <w:highlight w:val="none"/>
                <w:lang w:val="en-US" w:eastAsia="zh-CN"/>
              </w:rPr>
              <w:t>通信服务类</w:t>
            </w:r>
            <w:r>
              <w:rPr>
                <w:rFonts w:hint="eastAsia" w:ascii="宋体" w:hAnsi="宋体" w:eastAsia="宋体" w:cs="宋体"/>
                <w:color w:val="auto"/>
                <w:sz w:val="24"/>
                <w:szCs w:val="24"/>
                <w:highlight w:val="none"/>
              </w:rPr>
              <w:t>项目</w:t>
            </w:r>
            <w:r>
              <w:rPr>
                <w:rFonts w:hint="eastAsia" w:ascii="宋体" w:hAnsi="宋体" w:eastAsia="宋体" w:cs="宋体"/>
                <w:color w:val="auto"/>
                <w:sz w:val="24"/>
                <w:szCs w:val="24"/>
                <w:highlight w:val="none"/>
                <w:lang w:val="en-US" w:eastAsia="zh-CN"/>
              </w:rPr>
              <w:t>业绩，且业绩内容须包含移动通信类套餐服务。</w:t>
            </w:r>
            <w:r>
              <w:rPr>
                <w:rFonts w:hint="eastAsia" w:ascii="宋体" w:hAnsi="宋体" w:eastAsia="宋体" w:cs="宋体"/>
                <w:color w:val="auto"/>
                <w:sz w:val="24"/>
                <w:szCs w:val="24"/>
                <w:highlight w:val="none"/>
              </w:rPr>
              <w:t>每提供一份同类业绩得50分，最高得100分。</w:t>
            </w:r>
          </w:p>
          <w:p>
            <w:pPr>
              <w:widowControl/>
              <w:wordWrap w:val="0"/>
              <w:spacing w:line="240" w:lineRule="auto"/>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（二）评分依据：</w:t>
            </w:r>
          </w:p>
          <w:p>
            <w:pPr>
              <w:widowControl/>
              <w:wordWrap w:val="0"/>
              <w:spacing w:line="240" w:lineRule="auto"/>
              <w:jc w:val="left"/>
              <w:textAlignment w:val="top"/>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1.要求提供合同关键信息（包括但不限于合同标的、签订时间、双方签章页）</w:t>
            </w:r>
            <w:r>
              <w:rPr>
                <w:rFonts w:hint="eastAsia" w:ascii="宋体" w:hAnsi="宋体" w:eastAsia="宋体" w:cs="宋体"/>
                <w:color w:val="auto"/>
                <w:sz w:val="24"/>
                <w:szCs w:val="24"/>
                <w:highlight w:val="none"/>
                <w:lang w:val="en-US" w:eastAsia="zh-CN"/>
              </w:rPr>
              <w:t>或业务受理单</w:t>
            </w:r>
            <w:r>
              <w:rPr>
                <w:rFonts w:hint="eastAsia" w:ascii="宋体" w:hAnsi="宋体" w:eastAsia="宋体" w:cs="宋体"/>
                <w:color w:val="auto"/>
                <w:sz w:val="24"/>
                <w:szCs w:val="24"/>
                <w:highlight w:val="none"/>
              </w:rPr>
              <w:t>作为得分依据，通过合同关键信息</w:t>
            </w:r>
            <w:r>
              <w:rPr>
                <w:rFonts w:hint="eastAsia" w:ascii="宋体" w:hAnsi="宋体" w:eastAsia="宋体" w:cs="宋体"/>
                <w:color w:val="auto"/>
                <w:sz w:val="24"/>
                <w:szCs w:val="24"/>
                <w:highlight w:val="none"/>
                <w:lang w:eastAsia="zh-CN"/>
              </w:rPr>
              <w:t>或业务受理单</w:t>
            </w:r>
            <w:r>
              <w:rPr>
                <w:rFonts w:hint="eastAsia" w:ascii="宋体" w:hAnsi="宋体" w:eastAsia="宋体" w:cs="宋体"/>
                <w:color w:val="auto"/>
                <w:sz w:val="24"/>
                <w:szCs w:val="24"/>
                <w:highlight w:val="none"/>
              </w:rPr>
              <w:t>无法判断是否得分的，还须同时提供能证明得分的其它证明资料，如项目报告或合同甲方出具的证明文件等。</w:t>
            </w:r>
          </w:p>
          <w:p>
            <w:pPr>
              <w:widowControl/>
              <w:wordWrap w:val="0"/>
              <w:spacing w:line="240" w:lineRule="auto"/>
              <w:jc w:val="left"/>
              <w:textAlignment w:val="top"/>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rPr>
              <w:t>2.以上资料均要求提供扫描件，原件备查。备注：评分中出现无证明资料或证书过期或专家无法凭所提供资料判断是否得分的情况，一律作不得分处理。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3" w:type="dxa"/>
            <w:tcBorders>
              <w:top w:val="single" w:color="000000" w:sz="8" w:space="0"/>
              <w:left w:val="single" w:color="000000" w:sz="8" w:space="0"/>
              <w:bottom w:val="single" w:color="000000" w:sz="8" w:space="0"/>
              <w:right w:val="single" w:color="000000" w:sz="8" w:space="0"/>
            </w:tcBorders>
            <w:vAlign w:val="center"/>
          </w:tcPr>
          <w:p>
            <w:pPr>
              <w:rPr>
                <w:rFonts w:hint="eastAsia" w:ascii="宋体" w:hAnsi="宋体" w:eastAsia="宋体" w:cs="宋体"/>
                <w:b w:val="0"/>
                <w:bCs w:val="0"/>
                <w:color w:val="0000FF"/>
                <w:sz w:val="24"/>
                <w:szCs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sz w:val="24"/>
                <w:szCs w:val="24"/>
                <w:lang w:val="en-US" w:eastAsia="zh-CN"/>
              </w:rPr>
              <w:t>10</w:t>
            </w:r>
          </w:p>
        </w:tc>
        <w:tc>
          <w:tcPr>
            <w:tcW w:w="2553"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color w:val="FF0000"/>
                <w:sz w:val="24"/>
                <w:szCs w:val="24"/>
              </w:rPr>
            </w:pPr>
            <w:r>
              <w:rPr>
                <w:rFonts w:hint="eastAsia" w:ascii="宋体" w:hAnsi="宋体" w:eastAsia="宋体" w:cs="宋体"/>
                <w:sz w:val="24"/>
                <w:szCs w:val="24"/>
              </w:rPr>
              <w:t>履约评价</w:t>
            </w:r>
          </w:p>
          <w:p>
            <w:pPr>
              <w:wordWrap w:val="0"/>
              <w:jc w:val="center"/>
              <w:rPr>
                <w:rFonts w:hint="eastAsia" w:ascii="宋体" w:hAnsi="宋体" w:eastAsia="宋体" w:cs="宋体"/>
                <w:b w:val="0"/>
                <w:bCs w:val="0"/>
                <w:color w:val="auto"/>
                <w:kern w:val="0"/>
                <w:sz w:val="24"/>
                <w:szCs w:val="24"/>
                <w:highlight w:val="none"/>
              </w:rPr>
            </w:pPr>
          </w:p>
        </w:tc>
        <w:tc>
          <w:tcPr>
            <w:tcW w:w="963"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sz w:val="24"/>
                <w:szCs w:val="24"/>
                <w:lang w:val="en-US" w:eastAsia="zh-CN"/>
              </w:rPr>
              <w:t>15</w:t>
            </w:r>
          </w:p>
        </w:tc>
        <w:tc>
          <w:tcPr>
            <w:tcW w:w="4196" w:type="dxa"/>
            <w:tcBorders>
              <w:top w:val="single" w:color="000000" w:sz="8" w:space="0"/>
              <w:left w:val="single" w:color="000000" w:sz="8" w:space="0"/>
              <w:bottom w:val="single" w:color="000000" w:sz="8" w:space="0"/>
              <w:right w:val="single" w:color="000000" w:sz="8" w:space="0"/>
            </w:tcBorders>
            <w:vAlign w:val="top"/>
          </w:tcPr>
          <w:p>
            <w:pPr>
              <w:rPr>
                <w:rFonts w:hint="eastAsia" w:ascii="宋体" w:hAnsi="宋体" w:eastAsia="宋体" w:cs="宋体"/>
                <w:b/>
                <w:color w:val="auto"/>
                <w:sz w:val="24"/>
                <w:szCs w:val="24"/>
              </w:rPr>
            </w:pPr>
            <w:r>
              <w:rPr>
                <w:rFonts w:hint="eastAsia" w:ascii="宋体" w:hAnsi="宋体" w:eastAsia="宋体" w:cs="宋体"/>
                <w:b/>
                <w:color w:val="auto"/>
                <w:sz w:val="24"/>
                <w:szCs w:val="24"/>
              </w:rPr>
              <w:t>（一）评分内容：</w:t>
            </w:r>
          </w:p>
          <w:p>
            <w:pPr>
              <w:rPr>
                <w:rFonts w:hint="eastAsia" w:ascii="宋体" w:hAnsi="宋体" w:eastAsia="宋体" w:cs="宋体"/>
                <w:color w:val="auto"/>
                <w:sz w:val="24"/>
                <w:szCs w:val="24"/>
              </w:rPr>
            </w:pPr>
            <w:r>
              <w:rPr>
                <w:rFonts w:hint="eastAsia" w:ascii="宋体" w:hAnsi="宋体" w:eastAsia="宋体" w:cs="宋体"/>
                <w:color w:val="auto"/>
                <w:sz w:val="24"/>
                <w:szCs w:val="24"/>
              </w:rPr>
              <w:t>投标人提供符合“</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.投标人同类项目业绩情况”</w:t>
            </w:r>
            <w:r>
              <w:rPr>
                <w:rFonts w:hint="eastAsia" w:ascii="宋体" w:hAnsi="宋体" w:eastAsia="宋体" w:cs="宋体"/>
                <w:color w:val="auto"/>
                <w:sz w:val="24"/>
                <w:szCs w:val="24"/>
                <w:lang w:eastAsia="zh-CN"/>
              </w:rPr>
              <w:t>项目</w:t>
            </w:r>
            <w:r>
              <w:rPr>
                <w:rFonts w:hint="eastAsia" w:ascii="宋体" w:hAnsi="宋体" w:eastAsia="宋体" w:cs="宋体"/>
                <w:color w:val="auto"/>
                <w:sz w:val="24"/>
                <w:szCs w:val="24"/>
              </w:rPr>
              <w:t>甲方出具评价为优/优秀/满意或最高评价的</w:t>
            </w:r>
            <w:r>
              <w:rPr>
                <w:rFonts w:hint="eastAsia" w:ascii="宋体" w:hAnsi="宋体" w:eastAsia="宋体" w:cs="宋体"/>
                <w:color w:val="auto"/>
                <w:kern w:val="0"/>
                <w:sz w:val="24"/>
                <w:szCs w:val="24"/>
              </w:rPr>
              <w:t>履约评价或验收合格证明文件</w:t>
            </w:r>
            <w:r>
              <w:rPr>
                <w:rFonts w:hint="eastAsia" w:ascii="宋体" w:hAnsi="宋体" w:eastAsia="宋体" w:cs="宋体"/>
                <w:color w:val="auto"/>
                <w:sz w:val="24"/>
                <w:szCs w:val="24"/>
              </w:rPr>
              <w:t>，每提供一份得</w:t>
            </w:r>
            <w:r>
              <w:rPr>
                <w:rFonts w:hint="eastAsia" w:ascii="宋体" w:hAnsi="宋体" w:eastAsia="宋体" w:cs="宋体"/>
                <w:b/>
                <w:bCs/>
                <w:color w:val="auto"/>
                <w:kern w:val="0"/>
                <w:sz w:val="24"/>
                <w:szCs w:val="24"/>
                <w:lang w:val="en-US" w:eastAsia="zh-CN" w:bidi="ar"/>
              </w:rPr>
              <w:t>50</w:t>
            </w:r>
            <w:r>
              <w:rPr>
                <w:rFonts w:hint="eastAsia" w:ascii="宋体" w:hAnsi="宋体" w:eastAsia="宋体" w:cs="宋体"/>
                <w:b/>
                <w:bCs/>
                <w:color w:val="auto"/>
                <w:kern w:val="0"/>
                <w:sz w:val="24"/>
                <w:szCs w:val="24"/>
                <w:lang w:bidi="ar"/>
              </w:rPr>
              <w:t>分</w:t>
            </w:r>
            <w:r>
              <w:rPr>
                <w:rFonts w:hint="eastAsia" w:ascii="宋体" w:hAnsi="宋体" w:eastAsia="宋体" w:cs="宋体"/>
                <w:color w:val="auto"/>
                <w:sz w:val="24"/>
                <w:szCs w:val="24"/>
              </w:rPr>
              <w:t>，最高得100分。</w:t>
            </w:r>
          </w:p>
          <w:p>
            <w:pPr>
              <w:rPr>
                <w:rFonts w:hint="eastAsia" w:ascii="宋体" w:hAnsi="宋体" w:eastAsia="宋体" w:cs="宋体"/>
                <w:b/>
                <w:color w:val="auto"/>
                <w:sz w:val="24"/>
                <w:szCs w:val="24"/>
              </w:rPr>
            </w:pPr>
            <w:r>
              <w:rPr>
                <w:rFonts w:hint="eastAsia" w:ascii="宋体" w:hAnsi="宋体" w:eastAsia="宋体" w:cs="宋体"/>
                <w:b/>
                <w:color w:val="auto"/>
                <w:sz w:val="24"/>
                <w:szCs w:val="24"/>
              </w:rPr>
              <w:t>（二）评分依据：</w:t>
            </w:r>
          </w:p>
          <w:p>
            <w:pPr>
              <w:widowControl/>
              <w:wordWrap w:val="0"/>
              <w:jc w:val="left"/>
              <w:textAlignment w:val="top"/>
              <w:rPr>
                <w:rFonts w:hint="eastAsia" w:ascii="宋体" w:hAnsi="宋体" w:eastAsia="宋体" w:cs="宋体"/>
                <w:color w:val="auto"/>
                <w:sz w:val="24"/>
                <w:szCs w:val="24"/>
              </w:rPr>
            </w:pPr>
            <w:bookmarkStart w:id="1" w:name="_Hlk233912233"/>
            <w:r>
              <w:rPr>
                <w:rFonts w:hint="eastAsia" w:ascii="宋体" w:hAnsi="宋体" w:cs="宋体"/>
                <w:color w:val="auto"/>
                <w:sz w:val="24"/>
              </w:rPr>
              <w:t>提供加盖合同甲方公章（或甲方业务章）项目</w:t>
            </w:r>
            <w:r>
              <w:rPr>
                <w:rFonts w:hint="eastAsia" w:ascii="宋体" w:hAnsi="宋体" w:cs="宋体"/>
                <w:color w:val="auto"/>
                <w:kern w:val="2"/>
                <w:sz w:val="24"/>
              </w:rPr>
              <w:t>履约评价或验收合格证明文件</w:t>
            </w:r>
            <w:r>
              <w:rPr>
                <w:rFonts w:hint="eastAsia" w:ascii="宋体" w:hAnsi="宋体" w:cs="宋体"/>
                <w:color w:val="auto"/>
                <w:sz w:val="24"/>
              </w:rPr>
              <w:t>清晰扫描件</w:t>
            </w:r>
            <w:bookmarkStart w:id="2" w:name="_Hlk234422114"/>
            <w:bookmarkStart w:id="3" w:name="_Hlk234422363"/>
            <w:r>
              <w:rPr>
                <w:rFonts w:hint="eastAsia" w:ascii="宋体" w:hAnsi="宋体" w:cs="宋体"/>
                <w:color w:val="auto"/>
                <w:sz w:val="24"/>
              </w:rPr>
              <w:t>（出具证明的签署日期需在项目合同服务结束时间之后，即履约评价或验收的出具日期至少为服务期的最后一天或服务期满之后）</w:t>
            </w:r>
            <w:bookmarkEnd w:id="2"/>
            <w:r>
              <w:rPr>
                <w:rFonts w:hint="eastAsia" w:ascii="宋体" w:hAnsi="宋体" w:cs="宋体"/>
                <w:color w:val="auto"/>
                <w:sz w:val="24"/>
              </w:rPr>
              <w:t>。</w:t>
            </w:r>
            <w:bookmarkEnd w:id="1"/>
            <w:bookmarkEnd w:id="3"/>
          </w:p>
          <w:p>
            <w:pPr>
              <w:wordWrap w:val="0"/>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rPr>
              <w:t>备注：以上资料均要求提供扫描件，评分中出现无证明资料或证书过期或专家无法凭所提供资料判断是否得分的情况，一律作不得分处理。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3" w:type="dxa"/>
            <w:vMerge w:val="restart"/>
            <w:tcBorders>
              <w:top w:val="single" w:color="000000" w:sz="8" w:space="0"/>
              <w:left w:val="single" w:color="000000" w:sz="8" w:space="0"/>
              <w:bottom w:val="single" w:color="000000" w:sz="8" w:space="0"/>
              <w:right w:val="single" w:color="000000" w:sz="8" w:space="0"/>
            </w:tcBorders>
          </w:tcPr>
          <w:p>
            <w:pPr>
              <w:wordWrap w:val="0"/>
              <w:jc w:val="center"/>
              <w:rPr>
                <w:rFonts w:hint="eastAsia" w:ascii="宋体" w:hAnsi="宋体" w:eastAsia="宋体" w:cs="宋体"/>
                <w:b/>
                <w:bCs/>
                <w:color w:val="0000FF"/>
                <w:sz w:val="24"/>
                <w:szCs w:val="24"/>
              </w:rPr>
            </w:pPr>
            <w:r>
              <w:rPr>
                <w:rFonts w:hint="eastAsia" w:ascii="宋体" w:hAnsi="宋体" w:eastAsia="宋体" w:cs="宋体"/>
                <w:b/>
                <w:bCs/>
                <w:color w:val="0000FF"/>
                <w:sz w:val="24"/>
                <w:szCs w:val="24"/>
              </w:rPr>
              <w:t>3</w:t>
            </w:r>
          </w:p>
        </w:tc>
        <w:tc>
          <w:tcPr>
            <w:tcW w:w="4196" w:type="dxa"/>
            <w:gridSpan w:val="3"/>
            <w:tcBorders>
              <w:top w:val="single" w:color="000000" w:sz="8" w:space="0"/>
              <w:left w:val="single" w:color="000000" w:sz="8" w:space="0"/>
              <w:bottom w:val="single" w:color="000000" w:sz="8" w:space="0"/>
              <w:right w:val="single" w:color="000000" w:sz="8" w:space="0"/>
            </w:tcBorders>
          </w:tcPr>
          <w:p>
            <w:pPr>
              <w:wordWrap w:val="0"/>
              <w:jc w:val="center"/>
              <w:rPr>
                <w:rFonts w:hint="eastAsia" w:ascii="宋体" w:hAnsi="宋体" w:eastAsia="宋体" w:cs="宋体"/>
                <w:b/>
                <w:bCs/>
                <w:color w:val="0000FF"/>
                <w:sz w:val="24"/>
                <w:szCs w:val="24"/>
              </w:rPr>
            </w:pPr>
            <w:r>
              <w:rPr>
                <w:rFonts w:hint="eastAsia" w:ascii="宋体" w:hAnsi="宋体" w:eastAsia="宋体" w:cs="宋体"/>
                <w:b/>
                <w:bCs/>
                <w:color w:val="0000FF"/>
                <w:sz w:val="24"/>
                <w:szCs w:val="24"/>
              </w:rPr>
              <w:t>综合实力</w:t>
            </w:r>
          </w:p>
        </w:tc>
        <w:tc>
          <w:tcPr>
            <w:tcW w:w="4196" w:type="dxa"/>
            <w:tcBorders>
              <w:top w:val="single" w:color="000000" w:sz="8" w:space="0"/>
              <w:left w:val="single" w:color="000000" w:sz="8" w:space="0"/>
              <w:bottom w:val="single" w:color="000000" w:sz="8" w:space="0"/>
              <w:right w:val="single" w:color="000000" w:sz="8" w:space="0"/>
            </w:tcBorders>
          </w:tcPr>
          <w:p>
            <w:pPr>
              <w:wordWrap w:val="0"/>
              <w:jc w:val="center"/>
              <w:rPr>
                <w:rFonts w:hint="default" w:ascii="宋体" w:hAnsi="宋体" w:eastAsia="宋体" w:cs="宋体"/>
                <w:b/>
                <w:bCs/>
                <w:color w:val="0000FF"/>
                <w:sz w:val="24"/>
                <w:szCs w:val="24"/>
                <w:lang w:val="en-US" w:eastAsia="zh-CN"/>
              </w:rPr>
            </w:pPr>
            <w:r>
              <w:rPr>
                <w:rFonts w:hint="eastAsia" w:ascii="宋体" w:hAnsi="宋体" w:cs="宋体"/>
                <w:b/>
                <w:bCs/>
                <w:color w:val="0000FF"/>
                <w:sz w:val="24"/>
                <w:szCs w:val="24"/>
                <w:lang w:val="en-US" w:eastAsia="zh-CN"/>
              </w:rPr>
              <w:t>10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3"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pPr>
              <w:rPr>
                <w:rFonts w:hint="eastAsia" w:ascii="宋体" w:hAnsi="宋体" w:eastAsia="宋体" w:cs="宋体"/>
                <w:b/>
                <w:bCs/>
                <w:color w:val="0000FF"/>
                <w:sz w:val="24"/>
                <w:szCs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eastAsia="宋体" w:cs="宋体"/>
                <w:sz w:val="24"/>
                <w:szCs w:val="24"/>
              </w:rPr>
            </w:pPr>
            <w:r>
              <w:rPr>
                <w:rFonts w:hint="eastAsia" w:ascii="宋体" w:hAnsi="宋体" w:eastAsia="宋体" w:cs="宋体"/>
                <w:sz w:val="24"/>
                <w:szCs w:val="24"/>
              </w:rPr>
              <w:t>序号</w:t>
            </w:r>
          </w:p>
        </w:tc>
        <w:tc>
          <w:tcPr>
            <w:tcW w:w="2553"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eastAsia="宋体" w:cs="宋体"/>
                <w:sz w:val="24"/>
                <w:szCs w:val="24"/>
              </w:rPr>
            </w:pPr>
            <w:r>
              <w:rPr>
                <w:rFonts w:hint="eastAsia" w:ascii="宋体" w:hAnsi="宋体" w:eastAsia="宋体" w:cs="宋体"/>
                <w:sz w:val="24"/>
                <w:szCs w:val="24"/>
              </w:rPr>
              <w:t>评分因素</w:t>
            </w:r>
          </w:p>
        </w:tc>
        <w:tc>
          <w:tcPr>
            <w:tcW w:w="963"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eastAsia="宋体" w:cs="宋体"/>
                <w:sz w:val="24"/>
                <w:szCs w:val="24"/>
              </w:rPr>
            </w:pPr>
            <w:r>
              <w:rPr>
                <w:rFonts w:hint="eastAsia" w:ascii="宋体" w:hAnsi="宋体" w:eastAsia="宋体" w:cs="宋体"/>
                <w:sz w:val="24"/>
                <w:szCs w:val="24"/>
              </w:rPr>
              <w:t>权重(%)</w:t>
            </w:r>
          </w:p>
        </w:tc>
        <w:tc>
          <w:tcPr>
            <w:tcW w:w="4196"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eastAsia="宋体" w:cs="宋体"/>
                <w:sz w:val="24"/>
                <w:szCs w:val="24"/>
              </w:rPr>
            </w:pPr>
            <w:r>
              <w:rPr>
                <w:rFonts w:hint="eastAsia" w:ascii="宋体" w:hAnsi="宋体" w:eastAsia="宋体" w:cs="宋体"/>
                <w:sz w:val="24"/>
                <w:szCs w:val="24"/>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3" w:type="dxa"/>
            <w:vMerge w:val="restart"/>
            <w:tcBorders>
              <w:top w:val="single" w:color="000000" w:sz="8" w:space="0"/>
              <w:left w:val="single" w:color="000000" w:sz="8" w:space="0"/>
              <w:right w:val="single" w:color="000000" w:sz="8" w:space="0"/>
            </w:tcBorders>
            <w:vAlign w:val="center"/>
          </w:tcPr>
          <w:p>
            <w:pPr>
              <w:rPr>
                <w:rFonts w:hint="eastAsia" w:ascii="宋体" w:hAnsi="宋体" w:eastAsia="宋体" w:cs="宋体"/>
                <w:b/>
                <w:bCs/>
                <w:color w:val="0000FF"/>
                <w:sz w:val="24"/>
                <w:szCs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color w:val="auto"/>
                <w:sz w:val="24"/>
                <w:szCs w:val="24"/>
                <w:highlight w:val="none"/>
                <w:lang w:val="en-US" w:eastAsia="zh-CN"/>
              </w:rPr>
            </w:pPr>
            <w:r>
              <w:rPr>
                <w:rFonts w:hint="eastAsia" w:ascii="宋体" w:hAnsi="宋体" w:cs="宋体"/>
                <w:sz w:val="24"/>
                <w:szCs w:val="24"/>
                <w:lang w:val="en-US" w:eastAsia="zh-CN"/>
              </w:rPr>
              <w:t>1</w:t>
            </w:r>
          </w:p>
        </w:tc>
        <w:tc>
          <w:tcPr>
            <w:tcW w:w="2553"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 w:val="24"/>
                <w:szCs w:val="24"/>
              </w:rPr>
            </w:pPr>
            <w:r>
              <w:rPr>
                <w:rFonts w:hint="eastAsia" w:ascii="宋体" w:hAnsi="宋体" w:eastAsia="宋体" w:cs="宋体"/>
                <w:sz w:val="24"/>
                <w:szCs w:val="24"/>
              </w:rPr>
              <w:t>本地化服务能力</w:t>
            </w:r>
          </w:p>
          <w:p>
            <w:pPr>
              <w:widowControl/>
              <w:jc w:val="center"/>
              <w:rPr>
                <w:rFonts w:hint="eastAsia" w:ascii="宋体" w:hAnsi="宋体" w:eastAsia="宋体" w:cs="宋体"/>
                <w:color w:val="auto"/>
                <w:kern w:val="0"/>
                <w:sz w:val="24"/>
                <w:szCs w:val="24"/>
                <w:highlight w:val="none"/>
              </w:rPr>
            </w:pPr>
          </w:p>
        </w:tc>
        <w:tc>
          <w:tcPr>
            <w:tcW w:w="963"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w:t>
            </w:r>
          </w:p>
        </w:tc>
        <w:tc>
          <w:tcPr>
            <w:tcW w:w="4196" w:type="dxa"/>
            <w:tcBorders>
              <w:top w:val="single" w:color="000000" w:sz="8" w:space="0"/>
              <w:left w:val="single" w:color="000000" w:sz="8" w:space="0"/>
              <w:bottom w:val="single" w:color="000000" w:sz="8" w:space="0"/>
              <w:right w:val="single" w:color="000000" w:sz="8" w:space="0"/>
            </w:tcBorders>
            <w:vAlign w:val="top"/>
          </w:tcPr>
          <w:p>
            <w:pPr>
              <w:rPr>
                <w:rFonts w:hint="eastAsia" w:ascii="宋体" w:hAnsi="宋体" w:eastAsia="宋体" w:cs="宋体"/>
                <w:b/>
                <w:sz w:val="24"/>
                <w:szCs w:val="24"/>
              </w:rPr>
            </w:pPr>
            <w:r>
              <w:rPr>
                <w:rFonts w:hint="eastAsia" w:ascii="宋体" w:hAnsi="宋体" w:eastAsia="宋体" w:cs="宋体"/>
                <w:b/>
                <w:sz w:val="24"/>
                <w:szCs w:val="24"/>
              </w:rPr>
              <w:t>（一） 评分内容：</w:t>
            </w:r>
          </w:p>
          <w:p>
            <w:pPr>
              <w:rPr>
                <w:rFonts w:hint="eastAsia" w:ascii="宋体" w:hAnsi="宋体" w:eastAsia="宋体" w:cs="宋体"/>
                <w:sz w:val="24"/>
                <w:szCs w:val="24"/>
              </w:rPr>
            </w:pPr>
            <w:r>
              <w:rPr>
                <w:rFonts w:hint="eastAsia" w:ascii="宋体" w:hAnsi="宋体" w:eastAsia="宋体" w:cs="宋体"/>
                <w:sz w:val="24"/>
                <w:szCs w:val="24"/>
              </w:rPr>
              <w:t>投标人承诺中标后提供本地</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深圳市</w:t>
            </w:r>
            <w:r>
              <w:rPr>
                <w:rFonts w:hint="eastAsia" w:ascii="宋体" w:hAnsi="宋体" w:eastAsia="宋体" w:cs="宋体"/>
                <w:sz w:val="24"/>
                <w:szCs w:val="24"/>
                <w:lang w:eastAsia="zh-CN"/>
              </w:rPr>
              <w:t>）</w:t>
            </w:r>
            <w:r>
              <w:rPr>
                <w:rFonts w:hint="eastAsia" w:ascii="宋体" w:hAnsi="宋体" w:eastAsia="宋体" w:cs="宋体"/>
                <w:sz w:val="24"/>
                <w:szCs w:val="24"/>
              </w:rPr>
              <w:t>化服务，得100分。</w:t>
            </w:r>
          </w:p>
          <w:p>
            <w:pPr>
              <w:rPr>
                <w:rFonts w:hint="eastAsia" w:ascii="宋体" w:hAnsi="宋体" w:eastAsia="宋体" w:cs="宋体"/>
                <w:b/>
                <w:sz w:val="24"/>
                <w:szCs w:val="24"/>
              </w:rPr>
            </w:pPr>
            <w:r>
              <w:rPr>
                <w:rFonts w:hint="eastAsia" w:ascii="宋体" w:hAnsi="宋体" w:eastAsia="宋体" w:cs="宋体"/>
                <w:b/>
                <w:sz w:val="24"/>
                <w:szCs w:val="24"/>
              </w:rPr>
              <w:t>（二）评分依据：</w:t>
            </w:r>
          </w:p>
          <w:p>
            <w:pPr>
              <w:rPr>
                <w:rFonts w:hint="eastAsia" w:ascii="宋体" w:hAnsi="宋体" w:eastAsia="宋体" w:cs="宋体"/>
                <w:sz w:val="24"/>
                <w:szCs w:val="24"/>
              </w:rPr>
            </w:pPr>
            <w:r>
              <w:rPr>
                <w:rFonts w:hint="eastAsia" w:ascii="宋体" w:hAnsi="宋体" w:eastAsia="宋体" w:cs="宋体"/>
                <w:sz w:val="24"/>
                <w:szCs w:val="24"/>
              </w:rPr>
              <w:t>投标人需提供承诺函（格式自拟）。</w:t>
            </w:r>
          </w:p>
          <w:p>
            <w:pPr>
              <w:widowControl/>
              <w:jc w:val="left"/>
              <w:rPr>
                <w:rFonts w:hint="eastAsia" w:ascii="宋体" w:hAnsi="宋体" w:eastAsia="宋体" w:cs="宋体"/>
                <w:color w:val="auto"/>
                <w:sz w:val="24"/>
                <w:szCs w:val="24"/>
                <w:highlight w:val="none"/>
              </w:rPr>
            </w:pPr>
            <w:r>
              <w:rPr>
                <w:rFonts w:hint="eastAsia" w:ascii="宋体" w:hAnsi="宋体" w:eastAsia="宋体" w:cs="宋体"/>
                <w:sz w:val="24"/>
                <w:szCs w:val="24"/>
              </w:rPr>
              <w:t>备注：以上资料均要求提供扫描件。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3" w:type="dxa"/>
            <w:vMerge w:val="continue"/>
            <w:tcBorders>
              <w:left w:val="single" w:color="000000" w:sz="8" w:space="0"/>
              <w:bottom w:val="single" w:color="000000" w:sz="8" w:space="0"/>
              <w:right w:val="single" w:color="000000" w:sz="8" w:space="0"/>
            </w:tcBorders>
            <w:vAlign w:val="center"/>
          </w:tcPr>
          <w:p>
            <w:pPr>
              <w:rPr>
                <w:rFonts w:hint="eastAsia" w:ascii="宋体" w:hAnsi="宋体" w:eastAsia="宋体" w:cs="宋体"/>
                <w:b/>
                <w:bCs/>
                <w:color w:val="0000FF"/>
                <w:sz w:val="24"/>
                <w:szCs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cs="宋体"/>
                <w:sz w:val="24"/>
                <w:szCs w:val="24"/>
                <w:lang w:val="en-US" w:eastAsia="zh-CN"/>
              </w:rPr>
            </w:pPr>
            <w:r>
              <w:rPr>
                <w:rFonts w:hint="eastAsia" w:ascii="宋体" w:hAnsi="宋体" w:cs="宋体"/>
                <w:sz w:val="24"/>
                <w:szCs w:val="24"/>
                <w:lang w:val="en-US" w:eastAsia="zh-CN"/>
              </w:rPr>
              <w:t>2</w:t>
            </w:r>
          </w:p>
        </w:tc>
        <w:tc>
          <w:tcPr>
            <w:tcW w:w="2553"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投标人认证情况</w:t>
            </w:r>
          </w:p>
        </w:tc>
        <w:tc>
          <w:tcPr>
            <w:tcW w:w="963"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8</w:t>
            </w:r>
          </w:p>
        </w:tc>
        <w:tc>
          <w:tcPr>
            <w:tcW w:w="4196" w:type="dxa"/>
            <w:tcBorders>
              <w:top w:val="single" w:color="000000" w:sz="8" w:space="0"/>
              <w:left w:val="single" w:color="000000" w:sz="8" w:space="0"/>
              <w:bottom w:val="single" w:color="000000" w:sz="8" w:space="0"/>
              <w:right w:val="single" w:color="000000" w:sz="8" w:space="0"/>
            </w:tcBorders>
            <w:vAlign w:val="top"/>
          </w:tcPr>
          <w:p>
            <w:pPr>
              <w:widowControl/>
              <w:jc w:val="left"/>
              <w:rPr>
                <w:rFonts w:hint="eastAsia" w:ascii="宋体" w:hAnsi="宋体" w:cs="宋体"/>
                <w:b/>
                <w:bCs/>
                <w:sz w:val="24"/>
                <w:lang w:eastAsia="zh-CN"/>
              </w:rPr>
            </w:pPr>
            <w:r>
              <w:rPr>
                <w:rFonts w:hint="eastAsia" w:ascii="宋体" w:hAnsi="宋体" w:cs="宋体"/>
                <w:b/>
                <w:bCs/>
                <w:sz w:val="24"/>
                <w:lang w:eastAsia="zh-CN"/>
              </w:rPr>
              <w:t>（一）评分内容：</w:t>
            </w:r>
          </w:p>
          <w:p>
            <w:pPr>
              <w:rPr>
                <w:rFonts w:hint="eastAsia" w:ascii="宋体" w:hAnsi="宋体" w:cs="宋体"/>
                <w:sz w:val="24"/>
                <w:lang w:eastAsia="zh-CN"/>
              </w:rPr>
            </w:pPr>
            <w:r>
              <w:rPr>
                <w:rFonts w:hint="eastAsia" w:ascii="宋体" w:hAnsi="宋体" w:cs="宋体"/>
                <w:sz w:val="24"/>
                <w:lang w:eastAsia="zh-CN"/>
              </w:rPr>
              <w:t>投标人具有以下相关认证证书且证书认证范围包含“通信网络运营”相关内容的：</w:t>
            </w:r>
          </w:p>
          <w:p>
            <w:pPr>
              <w:autoSpaceDE w:val="0"/>
              <w:autoSpaceDN w:val="0"/>
              <w:adjustRightInd w:val="0"/>
              <w:rPr>
                <w:rFonts w:hint="eastAsia" w:ascii="宋体" w:hAnsi="宋体" w:eastAsia="宋体" w:cs="宋体"/>
                <w:sz w:val="24"/>
                <w:szCs w:val="24"/>
                <w:lang w:bidi="ar"/>
              </w:rPr>
            </w:pPr>
            <w:r>
              <w:rPr>
                <w:rFonts w:hint="eastAsia" w:ascii="宋体" w:hAnsi="宋体" w:eastAsia="宋体" w:cs="宋体"/>
                <w:sz w:val="24"/>
                <w:szCs w:val="24"/>
                <w:lang w:bidi="ar"/>
              </w:rPr>
              <w:t>1.</w:t>
            </w:r>
            <w:r>
              <w:rPr>
                <w:rFonts w:hint="eastAsia" w:ascii="宋体" w:hAnsi="宋体" w:eastAsia="宋体" w:cs="宋体"/>
                <w:sz w:val="24"/>
                <w:szCs w:val="24"/>
                <w:lang w:eastAsia="zh-CN" w:bidi="ar"/>
              </w:rPr>
              <w:t>具有</w:t>
            </w:r>
            <w:r>
              <w:rPr>
                <w:rFonts w:hint="eastAsia" w:ascii="宋体" w:hAnsi="宋体" w:eastAsia="宋体" w:cs="宋体"/>
                <w:sz w:val="24"/>
                <w:szCs w:val="24"/>
                <w:lang w:val="en-US" w:eastAsia="zh-CN" w:bidi="ar"/>
              </w:rPr>
              <w:t xml:space="preserve">GB/T19016 </w:t>
            </w:r>
            <w:r>
              <w:rPr>
                <w:rFonts w:hint="eastAsia" w:ascii="宋体" w:hAnsi="宋体" w:eastAsia="宋体" w:cs="宋体"/>
                <w:sz w:val="24"/>
                <w:szCs w:val="24"/>
                <w:lang w:bidi="ar"/>
              </w:rPr>
              <w:t>项目质量管理体系认证证书</w:t>
            </w:r>
            <w:r>
              <w:rPr>
                <w:rFonts w:hint="eastAsia" w:ascii="宋体" w:hAnsi="宋体" w:eastAsia="宋体" w:cs="宋体"/>
                <w:sz w:val="24"/>
                <w:szCs w:val="24"/>
                <w:lang w:eastAsia="zh-CN" w:bidi="ar"/>
              </w:rPr>
              <w:t>的，得</w:t>
            </w:r>
            <w:r>
              <w:rPr>
                <w:rFonts w:hint="eastAsia" w:ascii="宋体" w:hAnsi="宋体" w:eastAsia="宋体" w:cs="宋体"/>
                <w:sz w:val="24"/>
                <w:szCs w:val="24"/>
                <w:lang w:val="en-US" w:eastAsia="zh-CN" w:bidi="ar"/>
              </w:rPr>
              <w:t>25分</w:t>
            </w:r>
            <w:r>
              <w:rPr>
                <w:rFonts w:hint="eastAsia" w:ascii="宋体" w:hAnsi="宋体" w:eastAsia="宋体" w:cs="宋体"/>
                <w:sz w:val="24"/>
                <w:szCs w:val="24"/>
                <w:lang w:bidi="ar"/>
              </w:rPr>
              <w:t>；</w:t>
            </w:r>
          </w:p>
          <w:p>
            <w:pPr>
              <w:autoSpaceDE w:val="0"/>
              <w:autoSpaceDN w:val="0"/>
              <w:adjustRightInd w:val="0"/>
              <w:rPr>
                <w:rFonts w:hint="eastAsia" w:ascii="宋体" w:hAnsi="宋体" w:eastAsia="宋体" w:cs="宋体"/>
                <w:sz w:val="24"/>
                <w:szCs w:val="24"/>
                <w:lang w:bidi="ar"/>
              </w:rPr>
            </w:pPr>
            <w:r>
              <w:rPr>
                <w:rFonts w:hint="eastAsia" w:ascii="宋体" w:hAnsi="宋体" w:eastAsia="宋体" w:cs="宋体"/>
                <w:sz w:val="24"/>
                <w:szCs w:val="24"/>
                <w:lang w:bidi="ar"/>
              </w:rPr>
              <w:t>2.</w:t>
            </w:r>
            <w:r>
              <w:rPr>
                <w:rFonts w:hint="eastAsia" w:ascii="宋体" w:hAnsi="宋体" w:eastAsia="宋体" w:cs="宋体"/>
                <w:sz w:val="24"/>
                <w:szCs w:val="24"/>
                <w:lang w:eastAsia="zh-CN" w:bidi="ar"/>
              </w:rPr>
              <w:t>具有</w:t>
            </w:r>
            <w:r>
              <w:rPr>
                <w:rFonts w:hint="eastAsia" w:ascii="宋体" w:hAnsi="宋体" w:eastAsia="宋体" w:cs="宋体"/>
                <w:sz w:val="24"/>
                <w:szCs w:val="24"/>
                <w:lang w:val="en-US" w:eastAsia="zh-CN" w:bidi="ar"/>
              </w:rPr>
              <w:t>ISO27034 应用安全</w:t>
            </w:r>
            <w:r>
              <w:rPr>
                <w:rFonts w:hint="eastAsia" w:ascii="宋体" w:hAnsi="宋体" w:eastAsia="宋体" w:cs="宋体"/>
                <w:sz w:val="24"/>
                <w:szCs w:val="24"/>
                <w:lang w:bidi="ar"/>
              </w:rPr>
              <w:t>管理体系认证证书</w:t>
            </w:r>
            <w:r>
              <w:rPr>
                <w:rFonts w:hint="eastAsia" w:ascii="宋体" w:hAnsi="宋体" w:eastAsia="宋体" w:cs="宋体"/>
                <w:sz w:val="24"/>
                <w:szCs w:val="24"/>
                <w:lang w:eastAsia="zh-CN" w:bidi="ar"/>
              </w:rPr>
              <w:t>的，得</w:t>
            </w:r>
            <w:r>
              <w:rPr>
                <w:rFonts w:hint="eastAsia" w:ascii="宋体" w:hAnsi="宋体" w:eastAsia="宋体" w:cs="宋体"/>
                <w:sz w:val="24"/>
                <w:szCs w:val="24"/>
                <w:lang w:val="en-US" w:eastAsia="zh-CN" w:bidi="ar"/>
              </w:rPr>
              <w:t>25分</w:t>
            </w:r>
            <w:r>
              <w:rPr>
                <w:rFonts w:hint="eastAsia" w:ascii="宋体" w:hAnsi="宋体" w:eastAsia="宋体" w:cs="宋体"/>
                <w:sz w:val="24"/>
                <w:szCs w:val="24"/>
                <w:lang w:bidi="ar"/>
              </w:rPr>
              <w:t>；</w:t>
            </w:r>
          </w:p>
          <w:p>
            <w:pPr>
              <w:autoSpaceDE w:val="0"/>
              <w:autoSpaceDN w:val="0"/>
              <w:adjustRightInd w:val="0"/>
              <w:rPr>
                <w:rFonts w:hint="eastAsia" w:ascii="宋体" w:hAnsi="宋体" w:eastAsia="宋体" w:cs="宋体"/>
                <w:sz w:val="24"/>
                <w:szCs w:val="24"/>
                <w:lang w:eastAsia="zh-CN" w:bidi="ar"/>
              </w:rPr>
            </w:pPr>
            <w:r>
              <w:rPr>
                <w:rFonts w:hint="eastAsia" w:ascii="宋体" w:hAnsi="宋体" w:eastAsia="宋体" w:cs="宋体"/>
                <w:sz w:val="24"/>
                <w:szCs w:val="24"/>
                <w:lang w:bidi="ar"/>
              </w:rPr>
              <w:t>3.</w:t>
            </w:r>
            <w:r>
              <w:rPr>
                <w:rFonts w:hint="eastAsia" w:ascii="宋体" w:hAnsi="宋体" w:eastAsia="宋体" w:cs="宋体"/>
                <w:sz w:val="24"/>
                <w:szCs w:val="24"/>
                <w:lang w:eastAsia="zh-CN" w:bidi="ar"/>
              </w:rPr>
              <w:t>具有</w:t>
            </w:r>
            <w:r>
              <w:rPr>
                <w:rFonts w:hint="eastAsia" w:ascii="宋体" w:hAnsi="宋体" w:eastAsia="宋体" w:cs="宋体"/>
                <w:sz w:val="24"/>
                <w:szCs w:val="24"/>
                <w:lang w:val="en-US" w:eastAsia="zh-CN" w:bidi="ar"/>
              </w:rPr>
              <w:t>GB/T19014 顾客满意度</w:t>
            </w:r>
            <w:r>
              <w:rPr>
                <w:rFonts w:hint="eastAsia" w:ascii="宋体" w:hAnsi="宋体" w:eastAsia="宋体" w:cs="宋体"/>
                <w:sz w:val="24"/>
                <w:szCs w:val="24"/>
                <w:lang w:bidi="ar"/>
              </w:rPr>
              <w:t>管理体系认证证书</w:t>
            </w:r>
            <w:r>
              <w:rPr>
                <w:rFonts w:hint="eastAsia" w:ascii="宋体" w:hAnsi="宋体" w:eastAsia="宋体" w:cs="宋体"/>
                <w:sz w:val="24"/>
                <w:szCs w:val="24"/>
                <w:lang w:eastAsia="zh-CN" w:bidi="ar"/>
              </w:rPr>
              <w:t>的，得</w:t>
            </w:r>
            <w:r>
              <w:rPr>
                <w:rFonts w:hint="eastAsia" w:ascii="宋体" w:hAnsi="宋体" w:eastAsia="宋体" w:cs="宋体"/>
                <w:sz w:val="24"/>
                <w:szCs w:val="24"/>
                <w:lang w:val="en-US" w:eastAsia="zh-CN" w:bidi="ar"/>
              </w:rPr>
              <w:t>25分</w:t>
            </w:r>
            <w:r>
              <w:rPr>
                <w:rFonts w:hint="eastAsia" w:ascii="宋体" w:hAnsi="宋体" w:eastAsia="宋体" w:cs="宋体"/>
                <w:sz w:val="24"/>
                <w:szCs w:val="24"/>
                <w:lang w:eastAsia="zh-CN" w:bidi="ar"/>
              </w:rPr>
              <w:t>；</w:t>
            </w:r>
          </w:p>
          <w:p>
            <w:pPr>
              <w:autoSpaceDE w:val="0"/>
              <w:autoSpaceDN w:val="0"/>
              <w:adjustRightInd w:val="0"/>
              <w:rPr>
                <w:rFonts w:hint="eastAsia" w:ascii="宋体" w:hAnsi="宋体" w:eastAsia="宋体" w:cs="宋体"/>
                <w:sz w:val="24"/>
                <w:szCs w:val="24"/>
                <w:lang w:eastAsia="zh-CN" w:bidi="ar"/>
              </w:rPr>
            </w:pPr>
            <w:r>
              <w:rPr>
                <w:rFonts w:hint="eastAsia" w:ascii="宋体" w:hAnsi="宋体" w:eastAsia="宋体" w:cs="宋体"/>
                <w:sz w:val="24"/>
                <w:szCs w:val="24"/>
                <w:lang w:val="en-US" w:eastAsia="zh-CN" w:bidi="ar"/>
              </w:rPr>
              <w:t>4.</w:t>
            </w:r>
            <w:r>
              <w:rPr>
                <w:rFonts w:hint="eastAsia" w:ascii="宋体" w:hAnsi="宋体" w:eastAsia="宋体" w:cs="宋体"/>
                <w:sz w:val="24"/>
                <w:szCs w:val="24"/>
                <w:lang w:eastAsia="zh-CN" w:bidi="ar"/>
              </w:rPr>
              <w:t>具有ISO27701  隐私信息管理体系认证证书的，得</w:t>
            </w:r>
            <w:r>
              <w:rPr>
                <w:rFonts w:hint="eastAsia" w:ascii="宋体" w:hAnsi="宋体" w:eastAsia="宋体" w:cs="宋体"/>
                <w:sz w:val="24"/>
                <w:szCs w:val="24"/>
                <w:lang w:val="en-US" w:eastAsia="zh-CN" w:bidi="ar"/>
              </w:rPr>
              <w:t>25分</w:t>
            </w:r>
            <w:r>
              <w:rPr>
                <w:rFonts w:hint="eastAsia" w:ascii="宋体" w:hAnsi="宋体" w:eastAsia="宋体" w:cs="宋体"/>
                <w:sz w:val="24"/>
                <w:szCs w:val="24"/>
                <w:lang w:eastAsia="zh-CN" w:bidi="ar"/>
              </w:rPr>
              <w:t>。</w:t>
            </w:r>
          </w:p>
          <w:p>
            <w:pPr>
              <w:rPr>
                <w:rFonts w:hint="eastAsia" w:ascii="宋体" w:hAnsi="宋体" w:cs="宋体"/>
                <w:sz w:val="24"/>
                <w:lang w:eastAsia="zh-CN"/>
              </w:rPr>
            </w:pPr>
            <w:r>
              <w:rPr>
                <w:rFonts w:hint="eastAsia" w:ascii="宋体" w:hAnsi="宋体" w:cs="宋体"/>
                <w:sz w:val="24"/>
                <w:lang w:eastAsia="zh-CN"/>
              </w:rPr>
              <w:t>以上4项累计计分，最高得100分。</w:t>
            </w:r>
          </w:p>
          <w:p>
            <w:pPr>
              <w:rPr>
                <w:rFonts w:hint="eastAsia" w:ascii="宋体" w:hAnsi="宋体" w:eastAsia="宋体" w:cs="宋体"/>
                <w:b/>
                <w:bCs/>
                <w:sz w:val="24"/>
                <w:lang w:eastAsia="zh-CN"/>
              </w:rPr>
            </w:pPr>
            <w:r>
              <w:rPr>
                <w:rFonts w:hint="eastAsia" w:ascii="宋体" w:hAnsi="宋体" w:eastAsia="宋体" w:cs="宋体"/>
                <w:b/>
                <w:bCs/>
                <w:sz w:val="24"/>
                <w:lang w:eastAsia="zh-CN"/>
              </w:rPr>
              <w:t>（二）评分依据：</w:t>
            </w:r>
          </w:p>
          <w:p>
            <w:pPr>
              <w:rPr>
                <w:rFonts w:hint="eastAsia"/>
                <w:lang w:eastAsia="zh-CN"/>
              </w:rPr>
            </w:pPr>
            <w:r>
              <w:rPr>
                <w:rFonts w:hint="eastAsia" w:ascii="宋体" w:hAnsi="宋体" w:eastAsia="宋体" w:cs="宋体"/>
                <w:strike w:val="0"/>
                <w:dstrike w:val="0"/>
                <w:sz w:val="24"/>
                <w:szCs w:val="24"/>
                <w:lang w:val="en-US" w:eastAsia="zh-CN"/>
              </w:rPr>
              <w:t>要求提供所有有效的认证证书扫描件，及出具证书官网或全国认证认可信息公共服务平台（http://cx.cnca.cn/）的证书查询记录。认证证书在公开渠道无法查询的，需提供颁发机构的证明材料，证明证书真实有效。评分中出现无证明资料或专家无法凭所提供资料判断是否得分的情况，一律作不得分处理。如投标人成立时间不足三个月，可承诺中标后按招标文件要求获取有关认证证书，投标人提供《承诺函》（格式自拟）作为证明材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3" w:type="dxa"/>
            <w:vMerge w:val="restart"/>
            <w:tcBorders>
              <w:top w:val="single" w:color="000000" w:sz="8" w:space="0"/>
              <w:left w:val="single" w:color="000000" w:sz="8" w:space="0"/>
              <w:bottom w:val="single" w:color="000000" w:sz="8" w:space="0"/>
              <w:right w:val="single" w:color="000000" w:sz="8" w:space="0"/>
            </w:tcBorders>
          </w:tcPr>
          <w:p>
            <w:pPr>
              <w:wordWrap w:val="0"/>
              <w:jc w:val="center"/>
              <w:rPr>
                <w:rFonts w:hint="eastAsia" w:ascii="宋体" w:hAnsi="宋体" w:eastAsia="宋体" w:cs="宋体"/>
                <w:b/>
                <w:bCs/>
                <w:color w:val="0000FF"/>
                <w:sz w:val="24"/>
                <w:szCs w:val="24"/>
              </w:rPr>
            </w:pPr>
            <w:r>
              <w:rPr>
                <w:rFonts w:hint="eastAsia" w:ascii="宋体" w:hAnsi="宋体" w:eastAsia="宋体" w:cs="宋体"/>
                <w:b/>
                <w:bCs/>
                <w:color w:val="0000FF"/>
                <w:sz w:val="24"/>
                <w:szCs w:val="24"/>
              </w:rPr>
              <w:t>4</w:t>
            </w:r>
          </w:p>
        </w:tc>
        <w:tc>
          <w:tcPr>
            <w:tcW w:w="4196" w:type="dxa"/>
            <w:gridSpan w:val="3"/>
            <w:tcBorders>
              <w:top w:val="single" w:color="000000" w:sz="8" w:space="0"/>
              <w:left w:val="single" w:color="000000" w:sz="8" w:space="0"/>
              <w:bottom w:val="single" w:color="000000" w:sz="8" w:space="0"/>
              <w:right w:val="single" w:color="000000" w:sz="8" w:space="0"/>
            </w:tcBorders>
          </w:tcPr>
          <w:p>
            <w:pPr>
              <w:wordWrap w:val="0"/>
              <w:jc w:val="center"/>
              <w:rPr>
                <w:rFonts w:hint="eastAsia" w:ascii="宋体" w:hAnsi="宋体" w:eastAsia="宋体" w:cs="宋体"/>
                <w:b/>
                <w:bCs/>
                <w:color w:val="0000FF"/>
                <w:sz w:val="24"/>
                <w:szCs w:val="24"/>
                <w:lang w:val="en-US" w:eastAsia="zh-CN"/>
              </w:rPr>
            </w:pPr>
            <w:r>
              <w:rPr>
                <w:rFonts w:hint="eastAsia" w:ascii="宋体" w:hAnsi="宋体" w:eastAsia="宋体" w:cs="宋体"/>
                <w:b/>
                <w:bCs/>
                <w:color w:val="0000FF"/>
                <w:sz w:val="24"/>
                <w:szCs w:val="24"/>
                <w:lang w:val="en-US" w:eastAsia="zh-CN"/>
              </w:rPr>
              <w:t>其他部分</w:t>
            </w:r>
          </w:p>
        </w:tc>
        <w:tc>
          <w:tcPr>
            <w:tcW w:w="4196" w:type="dxa"/>
            <w:tcBorders>
              <w:top w:val="single" w:color="000000" w:sz="8" w:space="0"/>
              <w:left w:val="single" w:color="000000" w:sz="8" w:space="0"/>
              <w:bottom w:val="single" w:color="000000" w:sz="8" w:space="0"/>
              <w:right w:val="single" w:color="000000" w:sz="8" w:space="0"/>
            </w:tcBorders>
          </w:tcPr>
          <w:p>
            <w:pPr>
              <w:wordWrap w:val="0"/>
              <w:jc w:val="center"/>
              <w:rPr>
                <w:rFonts w:hint="eastAsia" w:ascii="宋体" w:hAnsi="宋体" w:eastAsia="宋体" w:cs="宋体"/>
                <w:b/>
                <w:bCs/>
                <w:color w:val="0000FF"/>
                <w:sz w:val="24"/>
                <w:szCs w:val="24"/>
              </w:rPr>
            </w:pPr>
            <w:r>
              <w:rPr>
                <w:rFonts w:hint="eastAsia" w:ascii="宋体" w:hAnsi="宋体" w:eastAsia="宋体" w:cs="宋体"/>
                <w:b/>
                <w:bCs/>
                <w:color w:val="0000FF"/>
                <w:sz w:val="24"/>
                <w:szCs w:val="24"/>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3"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pPr>
              <w:rPr>
                <w:rFonts w:hint="eastAsia" w:ascii="宋体" w:hAnsi="宋体" w:eastAsia="宋体" w:cs="宋体"/>
                <w:b/>
                <w:bCs/>
                <w:color w:val="0000FF"/>
                <w:sz w:val="24"/>
                <w:szCs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eastAsia="宋体" w:cs="宋体"/>
                <w:sz w:val="24"/>
                <w:szCs w:val="24"/>
              </w:rPr>
            </w:pPr>
            <w:r>
              <w:rPr>
                <w:rFonts w:hint="eastAsia" w:ascii="宋体" w:hAnsi="宋体" w:eastAsia="宋体" w:cs="宋体"/>
                <w:sz w:val="24"/>
                <w:szCs w:val="24"/>
              </w:rPr>
              <w:t>序号</w:t>
            </w:r>
          </w:p>
        </w:tc>
        <w:tc>
          <w:tcPr>
            <w:tcW w:w="2553"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eastAsia="宋体" w:cs="宋体"/>
                <w:sz w:val="24"/>
                <w:szCs w:val="24"/>
              </w:rPr>
            </w:pPr>
            <w:r>
              <w:rPr>
                <w:rFonts w:hint="eastAsia" w:ascii="宋体" w:hAnsi="宋体" w:eastAsia="宋体" w:cs="宋体"/>
                <w:sz w:val="24"/>
                <w:szCs w:val="24"/>
              </w:rPr>
              <w:t>评分因素</w:t>
            </w:r>
          </w:p>
        </w:tc>
        <w:tc>
          <w:tcPr>
            <w:tcW w:w="963"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eastAsia="宋体" w:cs="宋体"/>
                <w:sz w:val="24"/>
                <w:szCs w:val="24"/>
              </w:rPr>
            </w:pPr>
            <w:r>
              <w:rPr>
                <w:rFonts w:hint="eastAsia" w:ascii="宋体" w:hAnsi="宋体" w:eastAsia="宋体" w:cs="宋体"/>
                <w:sz w:val="24"/>
                <w:szCs w:val="24"/>
              </w:rPr>
              <w:t>权重(%)</w:t>
            </w:r>
          </w:p>
        </w:tc>
        <w:tc>
          <w:tcPr>
            <w:tcW w:w="4196"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hint="eastAsia" w:ascii="宋体" w:hAnsi="宋体" w:eastAsia="宋体" w:cs="宋体"/>
                <w:sz w:val="24"/>
                <w:szCs w:val="24"/>
              </w:rPr>
            </w:pPr>
            <w:r>
              <w:rPr>
                <w:rFonts w:hint="eastAsia" w:ascii="宋体" w:hAnsi="宋体" w:eastAsia="宋体" w:cs="宋体"/>
                <w:sz w:val="24"/>
                <w:szCs w:val="24"/>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903" w:type="dxa"/>
            <w:vMerge w:val="continue"/>
            <w:tcBorders>
              <w:top w:val="single" w:color="000000" w:sz="8" w:space="0"/>
              <w:left w:val="single" w:color="000000" w:sz="8" w:space="0"/>
              <w:bottom w:val="single" w:color="000000" w:sz="8" w:space="0"/>
              <w:right w:val="single" w:color="000000" w:sz="8" w:space="0"/>
            </w:tcBorders>
            <w:vAlign w:val="center"/>
          </w:tcPr>
          <w:p>
            <w:pPr>
              <w:rPr>
                <w:rFonts w:hint="eastAsia" w:ascii="宋体" w:hAnsi="宋体" w:eastAsia="宋体" w:cs="宋体"/>
                <w:b/>
                <w:bCs/>
                <w:color w:val="0000FF"/>
                <w:sz w:val="24"/>
                <w:szCs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 w:val="24"/>
                <w:szCs w:val="24"/>
              </w:rPr>
            </w:pPr>
            <w:r>
              <w:rPr>
                <w:rFonts w:hint="eastAsia" w:ascii="宋体" w:hAnsi="宋体" w:eastAsia="宋体" w:cs="宋体"/>
                <w:sz w:val="24"/>
                <w:szCs w:val="24"/>
              </w:rPr>
              <w:t>1</w:t>
            </w:r>
          </w:p>
        </w:tc>
        <w:tc>
          <w:tcPr>
            <w:tcW w:w="2553"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 w:val="24"/>
                <w:szCs w:val="24"/>
              </w:rPr>
            </w:pPr>
            <w:r>
              <w:rPr>
                <w:rFonts w:hint="eastAsia" w:ascii="宋体" w:hAnsi="宋体" w:eastAsia="宋体" w:cs="宋体"/>
                <w:sz w:val="24"/>
                <w:szCs w:val="24"/>
              </w:rPr>
              <w:t>诚信情况</w:t>
            </w:r>
          </w:p>
        </w:tc>
        <w:tc>
          <w:tcPr>
            <w:tcW w:w="963" w:type="dxa"/>
            <w:tcBorders>
              <w:top w:val="single" w:color="000000" w:sz="8" w:space="0"/>
              <w:left w:val="single" w:color="000000" w:sz="8" w:space="0"/>
              <w:bottom w:val="single" w:color="000000" w:sz="8" w:space="0"/>
              <w:right w:val="single" w:color="000000" w:sz="8" w:space="0"/>
            </w:tcBorders>
            <w:vAlign w:val="center"/>
          </w:tcPr>
          <w:p>
            <w:pPr>
              <w:widowControl/>
              <w:wordWrap w:val="0"/>
              <w:jc w:val="center"/>
              <w:textAlignment w:val="top"/>
              <w:rPr>
                <w:rFonts w:hint="eastAsia" w:ascii="宋体" w:hAnsi="宋体" w:eastAsia="宋体" w:cs="宋体"/>
                <w:sz w:val="24"/>
                <w:szCs w:val="24"/>
              </w:rPr>
            </w:pPr>
            <w:r>
              <w:rPr>
                <w:rFonts w:hint="eastAsia" w:ascii="宋体" w:hAnsi="宋体" w:eastAsia="宋体" w:cs="宋体"/>
                <w:sz w:val="24"/>
                <w:szCs w:val="24"/>
              </w:rPr>
              <w:t>5</w:t>
            </w:r>
          </w:p>
        </w:tc>
        <w:tc>
          <w:tcPr>
            <w:tcW w:w="4196" w:type="dxa"/>
            <w:tcBorders>
              <w:top w:val="single" w:color="000000" w:sz="8" w:space="0"/>
              <w:left w:val="single" w:color="000000" w:sz="8" w:space="0"/>
              <w:bottom w:val="single" w:color="000000" w:sz="8" w:space="0"/>
              <w:right w:val="single" w:color="000000" w:sz="8" w:space="0"/>
            </w:tcBorders>
            <w:vAlign w:val="top"/>
          </w:tcPr>
          <w:p>
            <w:pPr>
              <w:wordWrap w:val="0"/>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pPr>
              <w:wordWrap w:val="0"/>
              <w:spacing w:line="240" w:lineRule="auto"/>
              <w:ind w:firstLine="480" w:firstLineChars="200"/>
              <w:rPr>
                <w:rFonts w:hint="eastAsia" w:ascii="宋体" w:hAnsi="宋体" w:eastAsia="宋体" w:cs="宋体"/>
                <w:sz w:val="24"/>
                <w:szCs w:val="24"/>
              </w:rPr>
            </w:pPr>
            <w:r>
              <w:rPr>
                <w:rFonts w:hint="eastAsia" w:ascii="宋体" w:hAnsi="宋体" w:eastAsia="宋体" w:cs="宋体"/>
                <w:b w:val="0"/>
                <w:bCs w:val="0"/>
                <w:sz w:val="24"/>
                <w:szCs w:val="24"/>
              </w:rPr>
              <w:t>查询渠道：通过“信用中国”（www.creditchina.gov.cn，下载信用信息报告）、“中国政府采购网”（www.ccgp.gov.cn）、“深圳市政府采购监管网”（http://zfcg.sz.gov.cn）以及深圳市、区财政部门认可的“供应商诚信档案库”查询供应商信用信息，信用信息以开标当日的查询结果为准。</w:t>
            </w:r>
          </w:p>
        </w:tc>
      </w:tr>
    </w:tbl>
    <w:p>
      <w:pPr>
        <w:sectPr>
          <w:pgSz w:w="11907" w:h="16840"/>
          <w:pgMar w:top="1440" w:right="1417" w:bottom="1440" w:left="1417" w:header="851" w:footer="992" w:gutter="0"/>
          <w:cols w:space="425" w:num="1"/>
          <w:titlePg/>
          <w:docGrid w:linePitch="462" w:charSpace="0"/>
        </w:sectPr>
      </w:pPr>
    </w:p>
    <w:p>
      <w:pPr>
        <w:jc w:val="center"/>
        <w:rPr>
          <w:b/>
          <w:sz w:val="120"/>
          <w:szCs w:val="120"/>
        </w:rPr>
      </w:pPr>
    </w:p>
    <w:p>
      <w:pPr>
        <w:jc w:val="center"/>
        <w:rPr>
          <w:b/>
          <w:sz w:val="120"/>
          <w:szCs w:val="120"/>
        </w:rPr>
      </w:pPr>
    </w:p>
    <w:p>
      <w:pPr>
        <w:jc w:val="center"/>
        <w:rPr>
          <w:b/>
          <w:sz w:val="120"/>
          <w:szCs w:val="120"/>
        </w:rPr>
      </w:pPr>
    </w:p>
    <w:p>
      <w:pPr>
        <w:jc w:val="center"/>
        <w:rPr>
          <w:b/>
          <w:sz w:val="120"/>
          <w:szCs w:val="120"/>
        </w:rPr>
      </w:pPr>
      <w:r>
        <w:rPr>
          <w:rFonts w:hint="eastAsia"/>
          <w:b/>
          <w:sz w:val="120"/>
          <w:szCs w:val="120"/>
        </w:rPr>
        <w:t>政府采购</w:t>
      </w:r>
    </w:p>
    <w:p>
      <w:pPr>
        <w:jc w:val="center"/>
        <w:rPr>
          <w:b/>
          <w:sz w:val="120"/>
          <w:szCs w:val="120"/>
        </w:rPr>
      </w:pPr>
      <w:r>
        <w:rPr>
          <w:rFonts w:hint="eastAsia"/>
          <w:b/>
          <w:sz w:val="120"/>
          <w:szCs w:val="120"/>
        </w:rPr>
        <w:t>招标文件</w:t>
      </w:r>
    </w:p>
    <w:p>
      <w:pPr>
        <w:jc w:val="center"/>
        <w:rPr>
          <w:b/>
          <w:sz w:val="52"/>
          <w:szCs w:val="52"/>
        </w:rPr>
      </w:pPr>
      <w:r>
        <w:rPr>
          <w:rFonts w:hint="eastAsia"/>
          <w:b/>
          <w:sz w:val="52"/>
          <w:szCs w:val="52"/>
        </w:rPr>
        <w:t>（服务类）</w:t>
      </w: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bookmarkStart w:id="4" w:name="_Hlk71465316"/>
      <w:r>
        <w:rPr>
          <w:rFonts w:hint="eastAsia"/>
          <w:b/>
          <w:sz w:val="44"/>
          <w:szCs w:val="44"/>
        </w:rPr>
        <w:t>深圳公共资源交易中心</w:t>
      </w:r>
    </w:p>
    <w:p>
      <w:pPr>
        <w:jc w:val="center"/>
        <w:rPr>
          <w:sz w:val="28"/>
          <w:szCs w:val="28"/>
        </w:rPr>
      </w:pPr>
      <w:r>
        <w:rPr>
          <w:rFonts w:hint="eastAsia"/>
          <w:b/>
          <w:sz w:val="28"/>
          <w:szCs w:val="28"/>
        </w:rPr>
        <w:t>（</w:t>
      </w:r>
      <w:r>
        <w:rPr>
          <w:b/>
          <w:sz w:val="28"/>
          <w:szCs w:val="28"/>
        </w:rPr>
        <w:t>20</w:t>
      </w:r>
      <w:r>
        <w:rPr>
          <w:rFonts w:hint="eastAsia"/>
          <w:b/>
          <w:sz w:val="28"/>
          <w:szCs w:val="28"/>
        </w:rPr>
        <w:t>2</w:t>
      </w:r>
      <w:r>
        <w:rPr>
          <w:b/>
          <w:sz w:val="28"/>
          <w:szCs w:val="28"/>
        </w:rPr>
        <w:t>6</w:t>
      </w:r>
      <w:r>
        <w:rPr>
          <w:rFonts w:hint="eastAsia"/>
          <w:b/>
          <w:sz w:val="28"/>
          <w:szCs w:val="28"/>
        </w:rPr>
        <w:t>）</w:t>
      </w:r>
      <w:bookmarkEnd w:id="4"/>
    </w:p>
    <w:p>
      <w:pPr>
        <w:ind w:firstLine="420" w:firstLineChars="200"/>
      </w:pPr>
      <w:r>
        <w:rPr>
          <w:rFonts w:hint="eastAsia"/>
        </w:rPr>
        <w:br w:type="page"/>
      </w:r>
    </w:p>
    <w:p>
      <w:pPr>
        <w:pStyle w:val="3"/>
      </w:pPr>
      <w:r>
        <w:rPr>
          <w:rFonts w:hint="eastAsia"/>
        </w:rPr>
        <w:t>目   录</w:t>
      </w:r>
    </w:p>
    <w:p>
      <w:pPr>
        <w:rPr>
          <w:b/>
          <w:sz w:val="24"/>
        </w:rPr>
      </w:pPr>
      <w:r>
        <w:rPr>
          <w:rFonts w:hint="eastAsia"/>
          <w:b/>
          <w:sz w:val="24"/>
        </w:rPr>
        <w:t>第一册  专用条款</w:t>
      </w:r>
    </w:p>
    <w:p>
      <w:pPr>
        <w:ind w:firstLine="960" w:firstLineChars="400"/>
        <w:rPr>
          <w:sz w:val="24"/>
        </w:rPr>
      </w:pPr>
      <w:r>
        <w:rPr>
          <w:rFonts w:hint="eastAsia"/>
          <w:sz w:val="24"/>
        </w:rPr>
        <w:t>关键信息</w:t>
      </w:r>
    </w:p>
    <w:p>
      <w:pPr>
        <w:ind w:left="630" w:leftChars="300" w:firstLine="630" w:firstLineChars="300"/>
        <w:rPr>
          <w:rFonts w:ascii="宋体" w:hAnsi="宋体"/>
          <w:szCs w:val="21"/>
        </w:rPr>
      </w:pPr>
      <w:r>
        <w:rPr>
          <w:rFonts w:hint="eastAsia" w:ascii="宋体" w:hAnsi="宋体"/>
          <w:szCs w:val="21"/>
        </w:rPr>
        <w:t>第一章  招标公告</w:t>
      </w:r>
    </w:p>
    <w:p>
      <w:pPr>
        <w:ind w:left="630" w:leftChars="300" w:firstLine="630" w:firstLineChars="300"/>
        <w:rPr>
          <w:rFonts w:ascii="宋体" w:hAnsi="宋体"/>
          <w:szCs w:val="21"/>
        </w:rPr>
      </w:pPr>
      <w:r>
        <w:rPr>
          <w:rFonts w:hint="eastAsia" w:ascii="宋体" w:hAnsi="宋体"/>
          <w:szCs w:val="21"/>
        </w:rPr>
        <w:t xml:space="preserve">第二章  </w:t>
      </w:r>
      <w:bookmarkStart w:id="5" w:name="_Hlk71994379"/>
      <w:r>
        <w:rPr>
          <w:rFonts w:hint="eastAsia" w:ascii="宋体" w:hAnsi="宋体"/>
          <w:szCs w:val="21"/>
        </w:rPr>
        <w:t>对通用条款的补充内容及其他关键信息</w:t>
      </w:r>
      <w:bookmarkEnd w:id="5"/>
    </w:p>
    <w:p>
      <w:pPr>
        <w:ind w:left="630" w:leftChars="300" w:firstLine="630" w:firstLineChars="300"/>
        <w:rPr>
          <w:rFonts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pPr>
        <w:ind w:left="630" w:leftChars="300" w:firstLine="630" w:firstLineChars="300"/>
        <w:rPr>
          <w:rFonts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pPr>
        <w:ind w:left="630" w:leftChars="300" w:firstLine="630" w:firstLineChars="300"/>
        <w:rPr>
          <w:rFonts w:ascii="宋体" w:hAnsi="宋体"/>
          <w:szCs w:val="21"/>
        </w:rPr>
      </w:pPr>
      <w:r>
        <w:rPr>
          <w:rFonts w:hint="eastAsia" w:ascii="宋体" w:hAnsi="宋体"/>
          <w:szCs w:val="21"/>
        </w:rPr>
        <w:t>第五章  合同条款及格式</w:t>
      </w:r>
    </w:p>
    <w:p>
      <w:pPr>
        <w:rPr>
          <w:b/>
          <w:sz w:val="24"/>
        </w:rPr>
      </w:pPr>
    </w:p>
    <w:p>
      <w:pPr>
        <w:rPr>
          <w:b/>
          <w:sz w:val="24"/>
        </w:rPr>
      </w:pPr>
      <w:r>
        <w:rPr>
          <w:rFonts w:hint="eastAsia"/>
          <w:b/>
          <w:sz w:val="24"/>
        </w:rPr>
        <w:t>第二册  通用条款</w:t>
      </w:r>
    </w:p>
    <w:p>
      <w:pPr>
        <w:ind w:left="630" w:leftChars="300" w:firstLine="411" w:firstLineChars="196"/>
        <w:rPr>
          <w:rFonts w:ascii="宋体" w:hAnsi="宋体"/>
          <w:szCs w:val="21"/>
        </w:rPr>
      </w:pPr>
      <w:r>
        <w:rPr>
          <w:rFonts w:hint="eastAsia" w:ascii="宋体" w:hAnsi="宋体"/>
          <w:szCs w:val="21"/>
        </w:rPr>
        <w:t>第一章  总则</w:t>
      </w:r>
    </w:p>
    <w:p>
      <w:pPr>
        <w:ind w:left="630" w:leftChars="300" w:firstLine="411" w:firstLineChars="196"/>
        <w:rPr>
          <w:rFonts w:ascii="宋体" w:hAnsi="宋体"/>
          <w:szCs w:val="21"/>
        </w:rPr>
      </w:pPr>
      <w:r>
        <w:rPr>
          <w:rFonts w:hint="eastAsia" w:ascii="宋体" w:hAnsi="宋体"/>
          <w:szCs w:val="21"/>
        </w:rPr>
        <w:t>第二章  招标文件</w:t>
      </w:r>
    </w:p>
    <w:p>
      <w:pPr>
        <w:ind w:left="630" w:leftChars="300" w:firstLine="411" w:firstLineChars="196"/>
        <w:rPr>
          <w:rFonts w:ascii="宋体" w:hAnsi="宋体"/>
          <w:szCs w:val="21"/>
        </w:rPr>
      </w:pPr>
      <w:r>
        <w:rPr>
          <w:rFonts w:hint="eastAsia" w:ascii="宋体" w:hAnsi="宋体"/>
          <w:szCs w:val="21"/>
        </w:rPr>
        <w:t>第三章  投标文件的编制</w:t>
      </w:r>
    </w:p>
    <w:p>
      <w:pPr>
        <w:ind w:left="630" w:leftChars="300" w:firstLine="411" w:firstLineChars="196"/>
        <w:rPr>
          <w:rFonts w:ascii="宋体" w:hAnsi="宋体"/>
          <w:szCs w:val="21"/>
        </w:rPr>
      </w:pPr>
      <w:r>
        <w:rPr>
          <w:rFonts w:hint="eastAsia" w:ascii="宋体" w:hAnsi="宋体"/>
          <w:szCs w:val="21"/>
        </w:rPr>
        <w:t>第四章  投标文件的递交</w:t>
      </w:r>
    </w:p>
    <w:p>
      <w:pPr>
        <w:ind w:left="630" w:leftChars="300" w:firstLine="411" w:firstLineChars="196"/>
        <w:rPr>
          <w:rFonts w:ascii="宋体" w:hAnsi="宋体"/>
          <w:szCs w:val="21"/>
        </w:rPr>
      </w:pPr>
      <w:r>
        <w:rPr>
          <w:rFonts w:hint="eastAsia" w:ascii="宋体" w:hAnsi="宋体"/>
          <w:szCs w:val="21"/>
        </w:rPr>
        <w:t>第五章  开标</w:t>
      </w:r>
    </w:p>
    <w:p>
      <w:pPr>
        <w:ind w:left="630" w:leftChars="300" w:firstLine="411" w:firstLineChars="196"/>
        <w:rPr>
          <w:rFonts w:ascii="宋体" w:hAnsi="宋体"/>
          <w:szCs w:val="21"/>
        </w:rPr>
      </w:pPr>
      <w:r>
        <w:rPr>
          <w:rFonts w:hint="eastAsia" w:ascii="宋体" w:hAnsi="宋体"/>
          <w:szCs w:val="21"/>
        </w:rPr>
        <w:t>第六章  评审要求</w:t>
      </w:r>
    </w:p>
    <w:p>
      <w:pPr>
        <w:ind w:left="630" w:leftChars="300" w:firstLine="411" w:firstLineChars="196"/>
        <w:rPr>
          <w:rFonts w:ascii="宋体" w:hAnsi="宋体"/>
          <w:szCs w:val="21"/>
        </w:rPr>
      </w:pPr>
      <w:r>
        <w:rPr>
          <w:rFonts w:hint="eastAsia" w:ascii="宋体" w:hAnsi="宋体"/>
          <w:szCs w:val="21"/>
        </w:rPr>
        <w:t>第七章  评审程序及评审方法</w:t>
      </w:r>
    </w:p>
    <w:p>
      <w:pPr>
        <w:ind w:left="630" w:leftChars="300" w:firstLine="411" w:firstLineChars="196"/>
        <w:rPr>
          <w:rFonts w:ascii="宋体" w:hAnsi="宋体"/>
          <w:szCs w:val="21"/>
        </w:rPr>
      </w:pPr>
      <w:r>
        <w:rPr>
          <w:rFonts w:hint="eastAsia" w:ascii="宋体" w:hAnsi="宋体"/>
          <w:szCs w:val="21"/>
        </w:rPr>
        <w:t>第八章  定标及公示</w:t>
      </w:r>
    </w:p>
    <w:p>
      <w:pPr>
        <w:ind w:left="630" w:leftChars="300" w:firstLine="411" w:firstLineChars="196"/>
        <w:rPr>
          <w:rFonts w:ascii="宋体" w:hAnsi="宋体"/>
          <w:szCs w:val="21"/>
        </w:rPr>
      </w:pPr>
      <w:r>
        <w:rPr>
          <w:rFonts w:hint="eastAsia" w:ascii="宋体" w:hAnsi="宋体"/>
          <w:szCs w:val="21"/>
        </w:rPr>
        <w:t>第九章  公开招标失败的后续处理</w:t>
      </w:r>
    </w:p>
    <w:p>
      <w:pPr>
        <w:ind w:left="630" w:leftChars="300" w:firstLine="411" w:firstLineChars="196"/>
        <w:rPr>
          <w:rFonts w:ascii="宋体" w:hAnsi="宋体"/>
          <w:szCs w:val="21"/>
        </w:rPr>
      </w:pPr>
      <w:r>
        <w:rPr>
          <w:rFonts w:hint="eastAsia" w:ascii="宋体" w:hAnsi="宋体"/>
          <w:szCs w:val="21"/>
        </w:rPr>
        <w:t>第十章  合同的授予与备案</w:t>
      </w:r>
    </w:p>
    <w:p>
      <w:pPr>
        <w:ind w:firstLine="1050" w:firstLineChars="500"/>
        <w:rPr>
          <w:b/>
          <w:sz w:val="24"/>
        </w:rPr>
      </w:pPr>
      <w:r>
        <w:rPr>
          <w:rFonts w:hint="eastAsia" w:ascii="宋体" w:hAnsi="宋体"/>
          <w:szCs w:val="21"/>
        </w:rPr>
        <w:t>第十一章  质疑处理</w:t>
      </w:r>
    </w:p>
    <w:p>
      <w:pPr>
        <w:spacing w:line="360" w:lineRule="auto"/>
        <w:ind w:firstLine="420" w:firstLineChars="200"/>
        <w:jc w:val="left"/>
        <w:rPr>
          <w:rFonts w:ascii="宋体" w:hAnsi="宋体"/>
          <w:szCs w:val="21"/>
        </w:rPr>
      </w:pPr>
    </w:p>
    <w:p>
      <w:pPr>
        <w:pStyle w:val="3"/>
        <w:rPr>
          <w:sz w:val="24"/>
        </w:rPr>
      </w:pPr>
      <w:r>
        <w:br w:type="page"/>
      </w:r>
      <w:bookmarkStart w:id="6" w:name="bt其他资料2"/>
      <w:bookmarkEnd w:id="6"/>
      <w:bookmarkStart w:id="7" w:name="bt项目管理班子配备情况"/>
      <w:bookmarkEnd w:id="7"/>
      <w:bookmarkStart w:id="8" w:name="合同格式"/>
      <w:bookmarkEnd w:id="8"/>
      <w:bookmarkStart w:id="9" w:name="bt本工程承诺书"/>
      <w:bookmarkEnd w:id="9"/>
      <w:bookmarkStart w:id="10" w:name="bt商务标投标文件格式"/>
      <w:bookmarkEnd w:id="10"/>
      <w:bookmarkStart w:id="11" w:name="bt其他资料由投标人自定"/>
      <w:bookmarkEnd w:id="11"/>
      <w:bookmarkStart w:id="12" w:name="bt投标人情况介绍"/>
      <w:bookmarkEnd w:id="12"/>
      <w:bookmarkStart w:id="13" w:name="bt投标文件签署授权委托书"/>
      <w:bookmarkEnd w:id="13"/>
      <w:bookmarkStart w:id="14" w:name="bt说明"/>
      <w:bookmarkEnd w:id="14"/>
      <w:bookmarkStart w:id="15" w:name="bt投标函"/>
      <w:bookmarkEnd w:id="15"/>
      <w:bookmarkStart w:id="16" w:name="bt开标一览表"/>
      <w:bookmarkEnd w:id="16"/>
      <w:bookmarkStart w:id="17" w:name="bt合同格式"/>
      <w:bookmarkEnd w:id="17"/>
      <w:bookmarkStart w:id="18" w:name="bt技术标投标文件格式"/>
      <w:bookmarkEnd w:id="18"/>
      <w:bookmarkStart w:id="19" w:name="bt合同条款"/>
      <w:bookmarkEnd w:id="19"/>
      <w:bookmarkStart w:id="20" w:name="bt投标人须知"/>
      <w:bookmarkEnd w:id="20"/>
      <w:bookmarkStart w:id="21" w:name="bt合同条款及格式"/>
      <w:bookmarkEnd w:id="21"/>
      <w:bookmarkStart w:id="22" w:name="bt投标报价汇总表"/>
      <w:bookmarkEnd w:id="22"/>
      <w:r>
        <w:rPr>
          <w:rFonts w:hint="eastAsia"/>
        </w:rPr>
        <w:t>第一册  专用条款</w:t>
      </w:r>
    </w:p>
    <w:p>
      <w:pPr>
        <w:pStyle w:val="6"/>
        <w:rPr>
          <w:sz w:val="28"/>
          <w:szCs w:val="28"/>
        </w:rPr>
      </w:pPr>
      <w:r>
        <w:rPr>
          <w:rFonts w:hint="eastAsia"/>
          <w:sz w:val="28"/>
          <w:szCs w:val="28"/>
        </w:rPr>
        <w:t>第一章  招标公告</w:t>
      </w:r>
    </w:p>
    <w:tbl>
      <w:tblPr>
        <w:tblStyle w:val="43"/>
        <w:tblW w:w="8193" w:type="dxa"/>
        <w:jc w:val="center"/>
        <w:tblCellSpacing w:w="0" w:type="dxa"/>
        <w:tblLayout w:type="fixed"/>
        <w:tblCellMar>
          <w:top w:w="0" w:type="dxa"/>
          <w:left w:w="0" w:type="dxa"/>
          <w:bottom w:w="0" w:type="dxa"/>
          <w:right w:w="0" w:type="dxa"/>
        </w:tblCellMar>
      </w:tblPr>
      <w:tblGrid>
        <w:gridCol w:w="8193"/>
      </w:tblGrid>
      <w:tr>
        <w:tblPrEx>
          <w:tblCellMar>
            <w:top w:w="0" w:type="dxa"/>
            <w:left w:w="0" w:type="dxa"/>
            <w:bottom w:w="0" w:type="dxa"/>
            <w:right w:w="0" w:type="dxa"/>
          </w:tblCellMar>
        </w:tblPrEx>
        <w:trPr>
          <w:tblCellSpacing w:w="0" w:type="dxa"/>
          <w:jc w:val="center"/>
        </w:trPr>
        <w:tc>
          <w:tcPr>
            <w:tcW w:w="8193" w:type="dxa"/>
            <w:vAlign w:val="center"/>
          </w:tcPr>
          <w:tbl>
            <w:tblPr>
              <w:tblStyle w:val="43"/>
              <w:tblW w:w="8147" w:type="dxa"/>
              <w:jc w:val="center"/>
              <w:tblCellSpacing w:w="0" w:type="dxa"/>
              <w:tblLayout w:type="fixed"/>
              <w:tblCellMar>
                <w:top w:w="30" w:type="dxa"/>
                <w:left w:w="30" w:type="dxa"/>
                <w:bottom w:w="30" w:type="dxa"/>
                <w:right w:w="30" w:type="dxa"/>
              </w:tblCellMar>
            </w:tblPr>
            <w:tblGrid>
              <w:gridCol w:w="8147"/>
            </w:tblGrid>
            <w:tr>
              <w:tblPrEx>
                <w:tblCellMar>
                  <w:top w:w="30" w:type="dxa"/>
                  <w:left w:w="30" w:type="dxa"/>
                  <w:bottom w:w="30" w:type="dxa"/>
                  <w:right w:w="30" w:type="dxa"/>
                </w:tblCellMar>
              </w:tblPrEx>
              <w:trPr>
                <w:tblCellSpacing w:w="0" w:type="dxa"/>
                <w:jc w:val="center"/>
              </w:trPr>
              <w:tc>
                <w:tcPr>
                  <w:tcW w:w="8147" w:type="dxa"/>
                </w:tcPr>
                <w:p>
                  <w:pPr>
                    <w:spacing w:line="360" w:lineRule="auto"/>
                    <w:rPr>
                      <w:rFonts w:ascii="宋体" w:hAnsi="宋体" w:cs="宋体"/>
                      <w:b/>
                      <w:bCs/>
                      <w:kern w:val="0"/>
                      <w:szCs w:val="21"/>
                    </w:rPr>
                  </w:pPr>
                  <w:r>
                    <w:rPr>
                      <w:rFonts w:hint="eastAsia" w:ascii="宋体" w:hAnsi="宋体" w:cs="宋体"/>
                      <w:b/>
                      <w:bCs/>
                      <w:kern w:val="0"/>
                      <w:szCs w:val="21"/>
                    </w:rPr>
                    <w:t>申请人的</w:t>
                  </w:r>
                  <w:bookmarkStart w:id="23" w:name="_Hlk235714141"/>
                  <w:r>
                    <w:rPr>
                      <w:rFonts w:hint="eastAsia" w:ascii="宋体" w:hAnsi="宋体" w:cs="宋体"/>
                      <w:b/>
                      <w:bCs/>
                      <w:kern w:val="0"/>
                      <w:szCs w:val="21"/>
                    </w:rPr>
                    <w:t>资格要求</w:t>
                  </w:r>
                  <w:bookmarkEnd w:id="23"/>
                  <w:r>
                    <w:rPr>
                      <w:rFonts w:hint="eastAsia" w:ascii="宋体" w:hAnsi="宋体" w:cs="宋体"/>
                      <w:b/>
                      <w:bCs/>
                      <w:kern w:val="0"/>
                      <w:szCs w:val="21"/>
                    </w:rPr>
                    <w:t>：</w:t>
                  </w:r>
                </w:p>
                <w:p>
                  <w:pPr>
                    <w:ind w:firstLine="420" w:firstLineChars="200"/>
                    <w:rPr>
                      <w:rFonts w:ascii="宋体" w:hAnsi="宋体" w:cs="宋体"/>
                      <w:kern w:val="0"/>
                      <w:szCs w:val="21"/>
                    </w:rPr>
                  </w:pPr>
                  <w:r>
                    <w:rPr>
                      <w:rFonts w:hint="eastAsia" w:ascii="宋体" w:hAnsi="宋体" w:cs="宋体"/>
                      <w:kern w:val="0"/>
                      <w:szCs w:val="21"/>
                    </w:rPr>
                    <w:t>1</w:t>
                  </w:r>
                  <w:r>
                    <w:rPr>
                      <w:rFonts w:ascii="宋体" w:hAnsi="宋体" w:cs="宋体"/>
                      <w:kern w:val="0"/>
                      <w:szCs w:val="21"/>
                    </w:rPr>
                    <w:t>.</w:t>
                  </w:r>
                  <w:bookmarkStart w:id="24" w:name="_Hlk72162904"/>
                  <w:r>
                    <w:rPr>
                      <w:rFonts w:hint="eastAsia" w:ascii="宋体" w:hAnsi="宋体" w:cs="宋体"/>
                      <w:kern w:val="0"/>
                      <w:szCs w:val="21"/>
                    </w:rPr>
                    <w:t>具有独立承担民事责任的能力（提供营业执照或事业单位法人证书等证明资料扫描件，原件备查，分支机构参与投标的，须同时提供分支机构营业执照、其总公司的营业执照及总公司授权文件且授权书载明其民事责任由总公司承担）</w:t>
                  </w:r>
                  <w:bookmarkEnd w:id="24"/>
                  <w:r>
                    <w:rPr>
                      <w:rFonts w:hint="eastAsia"/>
                    </w:rPr>
                    <w:t>；</w:t>
                  </w:r>
                </w:p>
                <w:p>
                  <w:pPr>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2.本项目</w:t>
                  </w:r>
                  <w:r>
                    <w:rPr>
                      <w:rFonts w:hint="eastAsia" w:ascii="宋体" w:hAnsi="宋体" w:cs="宋体"/>
                      <w:color w:val="000000" w:themeColor="text1"/>
                      <w:kern w:val="0"/>
                      <w:szCs w:val="21"/>
                      <w14:textFill>
                        <w14:solidFill>
                          <w14:schemeClr w14:val="tx1"/>
                        </w14:solidFill>
                      </w14:textFill>
                    </w:rPr>
                    <w:sym w:font="Wingdings" w:char="00FE"/>
                  </w:r>
                  <w:r>
                    <w:rPr>
                      <w:rFonts w:hint="eastAsia" w:ascii="宋体" w:hAnsi="宋体" w:cs="宋体"/>
                      <w:color w:val="000000" w:themeColor="text1"/>
                      <w:kern w:val="0"/>
                      <w:szCs w:val="21"/>
                      <w14:textFill>
                        <w14:solidFill>
                          <w14:schemeClr w14:val="tx1"/>
                        </w14:solidFill>
                      </w14:textFill>
                    </w:rPr>
                    <w:t>不接受联合体投标</w:t>
                  </w:r>
                  <w:bookmarkStart w:id="25" w:name="_Hlk235714150"/>
                  <w:r>
                    <w:rPr>
                      <w:rFonts w:hint="eastAsia" w:ascii="宋体" w:hAnsi="宋体" w:cs="宋体"/>
                      <w:color w:val="000000" w:themeColor="text1"/>
                      <w:kern w:val="0"/>
                      <w:szCs w:val="21"/>
                      <w14:textFill>
                        <w14:solidFill>
                          <w14:schemeClr w14:val="tx1"/>
                        </w14:solidFill>
                      </w14:textFill>
                    </w:rPr>
                    <w:t>，</w:t>
                  </w:r>
                  <w:bookmarkEnd w:id="25"/>
                  <w:r>
                    <w:rPr>
                      <w:rFonts w:hint="eastAsia" w:ascii="宋体" w:hAnsi="宋体" w:cs="宋体"/>
                      <w:color w:val="000000" w:themeColor="text1"/>
                      <w:kern w:val="0"/>
                      <w:szCs w:val="21"/>
                      <w14:textFill>
                        <w14:solidFill>
                          <w14:schemeClr w14:val="tx1"/>
                        </w14:solidFill>
                      </w14:textFill>
                    </w:rPr>
                    <w:t>是否允许投标人选用进口产品参与投标以招标文件“第三章 用户需求书”为准，（由供应商在《政府采购投标及履约承诺函》中作出声明）；</w:t>
                  </w:r>
                </w:p>
                <w:p>
                  <w:pPr>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w:t>
                  </w:r>
                  <w:r>
                    <w:rPr>
                      <w:rFonts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参与本项目政府采购活动时不存在被有关部门禁止参与政府采购活动且在有效期内的情况（由供应商在《政府采购投标及履约承诺函》中作出声明）；</w:t>
                  </w:r>
                </w:p>
                <w:p>
                  <w:pPr>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w:t>
                  </w:r>
                  <w:r>
                    <w:rPr>
                      <w:rFonts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具备《中华人民共和国政府采购法》第二十二条第一款的条件（由供应商在《政府采购投标及履约承诺函》中作出声明）；</w:t>
                  </w:r>
                </w:p>
                <w:p>
                  <w:pPr>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w:t>
                  </w:r>
                  <w:r>
                    <w:rPr>
                      <w:rFonts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未被列入失信被执行人、重大税收违法案件当事人名单、政府采购严重违法失信行为记录名单（由供应商在《政府采购投标及履约承诺函》中作出声明）；</w:t>
                  </w:r>
                </w:p>
                <w:p>
                  <w:pPr>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6.不存在《深圳市财政局政府采购供应商信用信息管理办法》（深财规〔2023〕3号）列明的严重违法失信行为（由供应商在《政府采购投标及履约承诺函》中作出声明）；</w:t>
                  </w:r>
                </w:p>
                <w:p>
                  <w:pPr>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7.为采购项目提供整体设计、规范编制或者项目管理、监理、检测等服务的供应商，不得再参加该采购项目的其他采购活动（由供应商在《政府采购投标及履约承诺函》中作出声明）；</w:t>
                  </w:r>
                </w:p>
                <w:p>
                  <w:pPr>
                    <w:pStyle w:val="193"/>
                    <w:ind w:firstLine="420" w:firstLineChars="200"/>
                    <w:rPr>
                      <w:color w:val="000000" w:themeColor="text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pStyle w:val="193"/>
                    <w:ind w:firstLine="420" w:firstLineChars="200"/>
                    <w:rPr>
                      <w:rStyle w:val="50"/>
                      <w:rFonts w:ascii="宋体" w:hAnsi="Times New Roman"/>
                      <w:kern w:val="0"/>
                    </w:rPr>
                  </w:pPr>
                  <w:r>
                    <w:rPr>
                      <w:rFonts w:hint="eastAsia"/>
                    </w:rPr>
                    <w:t>9.本项目不专门面向中小企业采购。</w:t>
                  </w:r>
                </w:p>
                <w:p>
                  <w:pPr>
                    <w:pStyle w:val="193"/>
                    <w:ind w:firstLine="420" w:firstLineChars="200"/>
                    <w:rPr>
                      <w:rStyle w:val="50"/>
                      <w:rFonts w:hint="eastAsia" w:ascii="宋体" w:hAnsi="Times New Roman"/>
                      <w:color w:val="0000FF"/>
                      <w:kern w:val="0"/>
                      <w:lang w:val="en-US" w:eastAsia="zh-CN"/>
                    </w:rPr>
                  </w:pPr>
                  <w:r>
                    <w:rPr>
                      <w:rStyle w:val="50"/>
                      <w:rFonts w:hint="eastAsia" w:ascii="宋体" w:hAnsi="Times New Roman"/>
                      <w:color w:val="0000FF"/>
                      <w:kern w:val="0"/>
                      <w:lang w:val="en-US" w:eastAsia="zh-CN"/>
                    </w:rPr>
                    <w:t>10.具备有效的《中华人民共和国基础电信业务经营许可证》。投标人若为分公司（分支机构），须提供总公司的《中华人民共和国基础电信业务经营许可证》复印件。</w:t>
                  </w:r>
                </w:p>
                <w:p>
                  <w:pPr>
                    <w:pStyle w:val="193"/>
                    <w:ind w:firstLine="420" w:firstLineChars="200"/>
                    <w:rPr>
                      <w:rStyle w:val="50"/>
                      <w:rFonts w:hint="default" w:ascii="宋体" w:hAnsi="Times New Roman" w:eastAsia="宋体"/>
                      <w:kern w:val="0"/>
                      <w:lang w:val="en-US" w:eastAsia="zh-CN"/>
                    </w:rPr>
                  </w:pPr>
                </w:p>
                <w:p>
                  <w:pPr>
                    <w:wordWrap w:val="0"/>
                    <w:ind w:firstLine="420" w:firstLineChars="200"/>
                    <w:rPr>
                      <w:rFonts w:ascii="宋体" w:hAnsi="宋体" w:cs="宋体"/>
                      <w:kern w:val="0"/>
                      <w:szCs w:val="21"/>
                    </w:rPr>
                  </w:pPr>
                  <w:r>
                    <w:rPr>
                      <w:rFonts w:hint="eastAsia" w:ascii="宋体" w:hAnsi="宋体" w:cs="宋体"/>
                      <w:kern w:val="0"/>
                      <w:szCs w:val="21"/>
                    </w:rPr>
                    <w:t>注：（1）“信用中国”（www.creditchina.gov.cn，查询“信用服务”栏的“重大税收违法失信主体”“失信被执行人”或者下载信用信息报告），“中国政府采购网”（www.ccgp.gov.cn）中的“政府采购严重违法失信行为记录名单”，“深圳市政府采购监管网”（http://zfcg.sz.gov.cn）</w:t>
                  </w:r>
                  <w:r>
                    <w:rPr>
                      <w:rFonts w:hint="eastAsia" w:asciiTheme="minorEastAsia" w:hAnsiTheme="minorEastAsia" w:eastAsiaTheme="minorEastAsia" w:cstheme="minorEastAsia"/>
                      <w:szCs w:val="21"/>
                    </w:rPr>
                    <w:t>以及深圳市、区财政部门认可的“供应商诚信档案库”</w:t>
                  </w:r>
                  <w:r>
                    <w:rPr>
                      <w:rFonts w:hint="eastAsia" w:ascii="宋体" w:hAnsi="宋体" w:cs="宋体"/>
                      <w:kern w:val="0"/>
                      <w:szCs w:val="21"/>
                    </w:rPr>
                    <w:t>为供应商信用信息的查询渠道，相关信息以开标当日的查询结果为准；</w:t>
                  </w:r>
                </w:p>
                <w:p>
                  <w:pPr>
                    <w:ind w:firstLine="420" w:firstLineChars="200"/>
                    <w:rPr>
                      <w:rFonts w:ascii="宋体" w:hAnsi="宋体"/>
                    </w:rPr>
                  </w:pPr>
                  <w:r>
                    <w:rPr>
                      <w:rFonts w:hint="eastAsia" w:ascii="宋体" w:hAnsi="宋体"/>
                    </w:rPr>
                    <w:t>（2）供应商投标（上传投标文件）必须先行办理注册手续。</w:t>
                  </w:r>
                </w:p>
                <w:p>
                  <w:pPr>
                    <w:spacing w:beforeAutospacing="1" w:afterAutospacing="1"/>
                    <w:ind w:firstLine="441" w:firstLineChars="200"/>
                    <w:rPr>
                      <w:rFonts w:ascii="宋体" w:hAnsi="宋体" w:cs="宋体"/>
                      <w:sz w:val="24"/>
                    </w:rPr>
                  </w:pPr>
                  <w:r>
                    <w:rPr>
                      <w:rFonts w:hint="eastAsia"/>
                      <w:b/>
                      <w:sz w:val="22"/>
                      <w:szCs w:val="18"/>
                    </w:rPr>
                    <w:t>完整公告内容详见：深圳公共资源交易网（</w:t>
                  </w:r>
                  <w:r>
                    <w:rPr>
                      <w:b/>
                      <w:sz w:val="22"/>
                      <w:szCs w:val="18"/>
                    </w:rPr>
                    <w:t>https://www.szggzy.com</w:t>
                  </w:r>
                  <w:r>
                    <w:rPr>
                      <w:rFonts w:hint="eastAsia"/>
                      <w:b/>
                      <w:sz w:val="22"/>
                      <w:szCs w:val="18"/>
                    </w:rPr>
                    <w:t>）</w:t>
                  </w:r>
                </w:p>
              </w:tc>
            </w:tr>
          </w:tbl>
          <w:p>
            <w:pPr>
              <w:rPr>
                <w:rFonts w:ascii="宋体" w:hAnsi="宋体" w:cs="宋体"/>
                <w:sz w:val="24"/>
              </w:rPr>
            </w:pPr>
          </w:p>
        </w:tc>
      </w:tr>
    </w:tbl>
    <w:p/>
    <w:p>
      <w:pPr>
        <w:pStyle w:val="6"/>
        <w:rPr>
          <w:sz w:val="28"/>
          <w:szCs w:val="28"/>
        </w:rPr>
      </w:pPr>
      <w:r>
        <w:rPr>
          <w:rFonts w:hint="eastAsia"/>
          <w:sz w:val="28"/>
          <w:szCs w:val="28"/>
        </w:rPr>
        <w:t>第二章 对通用条款的补充内容及其他关键信息</w:t>
      </w:r>
    </w:p>
    <w:p>
      <w:pPr>
        <w:pStyle w:val="6"/>
        <w:spacing w:before="120" w:beforeLines="50" w:after="120" w:afterLines="50"/>
        <w:rPr>
          <w:sz w:val="28"/>
          <w:szCs w:val="28"/>
        </w:rPr>
      </w:pPr>
      <w:bookmarkStart w:id="26" w:name="_Toc60560625"/>
      <w:bookmarkStart w:id="27" w:name="_Toc73521547"/>
      <w:bookmarkStart w:id="28" w:name="_Toc73517639"/>
      <w:bookmarkStart w:id="29" w:name="_Toc60631620"/>
      <w:bookmarkStart w:id="30" w:name="_Toc100052364"/>
      <w:bookmarkStart w:id="31" w:name="_Toc101074876"/>
      <w:bookmarkStart w:id="32" w:name="_Toc73518117"/>
      <w:bookmarkStart w:id="33" w:name="_Toc73521635"/>
      <w:r>
        <w:rPr>
          <w:rFonts w:hint="eastAsia"/>
          <w:szCs w:val="24"/>
        </w:rPr>
        <w:t>一、对通用条款的补充内容</w:t>
      </w:r>
    </w:p>
    <w:bookmarkEnd w:id="26"/>
    <w:bookmarkEnd w:id="27"/>
    <w:bookmarkEnd w:id="28"/>
    <w:bookmarkEnd w:id="29"/>
    <w:bookmarkEnd w:id="30"/>
    <w:bookmarkEnd w:id="31"/>
    <w:bookmarkEnd w:id="32"/>
    <w:bookmarkEnd w:id="33"/>
    <w:tbl>
      <w:tblPr>
        <w:tblStyle w:val="43"/>
        <w:tblW w:w="83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8"/>
        <w:gridCol w:w="2409"/>
        <w:gridCol w:w="498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b/>
                <w:bCs/>
              </w:rPr>
            </w:pPr>
            <w:r>
              <w:rPr>
                <w:rFonts w:hint="eastAsia" w:ascii="宋体" w:hAnsi="宋体"/>
                <w:b/>
                <w:bCs/>
              </w:rPr>
              <w:t>通用条款序号</w:t>
            </w:r>
          </w:p>
        </w:tc>
        <w:tc>
          <w:tcPr>
            <w:tcW w:w="2409" w:type="dxa"/>
            <w:vAlign w:val="center"/>
          </w:tcPr>
          <w:p>
            <w:pPr>
              <w:jc w:val="center"/>
              <w:rPr>
                <w:rFonts w:ascii="宋体" w:hAnsi="宋体"/>
                <w:b/>
                <w:bCs/>
              </w:rPr>
            </w:pPr>
            <w:r>
              <w:rPr>
                <w:rFonts w:hint="eastAsia" w:ascii="宋体" w:hAnsi="宋体"/>
                <w:b/>
                <w:bCs/>
              </w:rPr>
              <w:t>涉及事项</w:t>
            </w:r>
          </w:p>
        </w:tc>
        <w:tc>
          <w:tcPr>
            <w:tcW w:w="4980" w:type="dxa"/>
            <w:vAlign w:val="center"/>
          </w:tcPr>
          <w:p>
            <w:pPr>
              <w:jc w:val="center"/>
              <w:rPr>
                <w:rFonts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3</w:t>
            </w:r>
            <w:r>
              <w:rPr>
                <w:rFonts w:ascii="宋体" w:hAnsi="宋体"/>
              </w:rPr>
              <w:t>.1</w:t>
            </w:r>
          </w:p>
        </w:tc>
        <w:tc>
          <w:tcPr>
            <w:tcW w:w="2409" w:type="dxa"/>
            <w:vAlign w:val="center"/>
          </w:tcPr>
          <w:p>
            <w:pPr>
              <w:jc w:val="center"/>
            </w:pPr>
            <w:r>
              <w:rPr>
                <w:rFonts w:hint="eastAsia"/>
              </w:rPr>
              <w:t>采购人</w:t>
            </w:r>
          </w:p>
        </w:tc>
        <w:tc>
          <w:tcPr>
            <w:tcW w:w="4980" w:type="dxa"/>
            <w:vAlign w:val="center"/>
          </w:tcPr>
          <w:p>
            <w:pPr>
              <w:jc w:val="left"/>
              <w:rPr>
                <w:rFonts w:ascii="宋体" w:hAnsi="宋体"/>
              </w:rPr>
            </w:pPr>
            <w:r>
              <w:rPr>
                <w:rFonts w:hint="eastAsia" w:ascii="宋体" w:hAnsi="宋体"/>
              </w:rPr>
              <w:t>深圳市盐田区城市管理监督指挥中心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3</w:t>
            </w:r>
            <w:r>
              <w:rPr>
                <w:rFonts w:ascii="宋体" w:hAnsi="宋体"/>
              </w:rPr>
              <w:t>.2</w:t>
            </w:r>
          </w:p>
        </w:tc>
        <w:tc>
          <w:tcPr>
            <w:tcW w:w="2409" w:type="dxa"/>
            <w:vAlign w:val="center"/>
          </w:tcPr>
          <w:p>
            <w:pPr>
              <w:jc w:val="center"/>
              <w:rPr>
                <w:rFonts w:ascii="宋体" w:hAnsi="宋体"/>
              </w:rPr>
            </w:pPr>
            <w:r>
              <w:rPr>
                <w:rFonts w:hint="eastAsia" w:ascii="宋体" w:hAnsi="宋体"/>
              </w:rPr>
              <w:t>政府集中采购机构</w:t>
            </w:r>
          </w:p>
        </w:tc>
        <w:tc>
          <w:tcPr>
            <w:tcW w:w="4980" w:type="dxa"/>
            <w:vAlign w:val="center"/>
          </w:tcPr>
          <w:p>
            <w:pPr>
              <w:jc w:val="left"/>
              <w:rPr>
                <w:rFonts w:ascii="宋体" w:hAnsi="宋体" w:cs="宋体"/>
                <w:kern w:val="0"/>
                <w:szCs w:val="21"/>
              </w:rPr>
            </w:pPr>
            <w:r>
              <w:rPr>
                <w:rFonts w:hint="eastAsia" w:ascii="宋体" w:hAnsi="宋体" w:cs="宋体"/>
                <w:kern w:val="0"/>
                <w:szCs w:val="21"/>
              </w:rPr>
              <w:t>深圳公共资源交易中心</w:t>
            </w:r>
          </w:p>
          <w:p>
            <w:pPr>
              <w:jc w:val="left"/>
              <w:rPr>
                <w:rFonts w:ascii="宋体" w:hAnsi="宋体"/>
              </w:rPr>
            </w:pPr>
            <w:r>
              <w:rPr>
                <w:rFonts w:hint="eastAsia" w:ascii="宋体" w:hAnsi="宋体" w:cs="宋体"/>
                <w:kern w:val="0"/>
                <w:szCs w:val="21"/>
              </w:rPr>
              <w:t>（深圳交易集团有限公司</w:t>
            </w:r>
            <w:r>
              <w:rPr>
                <w:rFonts w:hint="eastAsia" w:ascii="宋体" w:hAnsi="宋体" w:cs="宋体"/>
                <w:kern w:val="0"/>
                <w:szCs w:val="21"/>
                <w:lang w:eastAsia="zh-CN"/>
              </w:rPr>
              <w:t>盐田</w:t>
            </w:r>
            <w:r>
              <w:rPr>
                <w:rFonts w:hint="eastAsia" w:ascii="宋体" w:hAnsi="宋体" w:cs="宋体"/>
                <w:kern w:val="0"/>
                <w:szCs w:val="21"/>
              </w:rPr>
              <w:t>分公司）</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9</w:t>
            </w:r>
          </w:p>
        </w:tc>
        <w:tc>
          <w:tcPr>
            <w:tcW w:w="2409" w:type="dxa"/>
            <w:vAlign w:val="center"/>
          </w:tcPr>
          <w:p>
            <w:pPr>
              <w:jc w:val="center"/>
              <w:rPr>
                <w:rFonts w:ascii="宋体" w:hAnsi="宋体"/>
              </w:rPr>
            </w:pPr>
            <w:r>
              <w:rPr>
                <w:rFonts w:hint="eastAsia" w:ascii="宋体" w:hAnsi="宋体"/>
              </w:rPr>
              <w:t>踏勘现场</w:t>
            </w:r>
          </w:p>
        </w:tc>
        <w:tc>
          <w:tcPr>
            <w:tcW w:w="4980" w:type="dxa"/>
            <w:vAlign w:val="center"/>
          </w:tcPr>
          <w:p>
            <w:pPr>
              <w:jc w:val="left"/>
              <w:rPr>
                <w:rFonts w:ascii="宋体" w:hAnsi="宋体"/>
              </w:rPr>
            </w:pPr>
            <w:r>
              <w:rPr>
                <w:rFonts w:ascii="宋体" w:hAnsi="宋体"/>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1</w:t>
            </w:r>
            <w:r>
              <w:rPr>
                <w:rFonts w:ascii="宋体" w:hAnsi="宋体"/>
              </w:rPr>
              <w:t>0</w:t>
            </w:r>
          </w:p>
        </w:tc>
        <w:tc>
          <w:tcPr>
            <w:tcW w:w="2409" w:type="dxa"/>
            <w:vAlign w:val="center"/>
          </w:tcPr>
          <w:p>
            <w:pPr>
              <w:jc w:val="center"/>
              <w:rPr>
                <w:rFonts w:ascii="宋体" w:hAnsi="宋体"/>
              </w:rPr>
            </w:pPr>
            <w:r>
              <w:rPr>
                <w:rFonts w:hint="eastAsia" w:ascii="宋体" w:hAnsi="宋体"/>
              </w:rPr>
              <w:t>标前会议</w:t>
            </w:r>
          </w:p>
        </w:tc>
        <w:tc>
          <w:tcPr>
            <w:tcW w:w="4980" w:type="dxa"/>
            <w:vAlign w:val="center"/>
          </w:tcPr>
          <w:p>
            <w:pPr>
              <w:jc w:val="left"/>
              <w:rPr>
                <w:rFonts w:ascii="宋体" w:hAnsi="宋体"/>
              </w:rPr>
            </w:pPr>
            <w:r>
              <w:rPr>
                <w:rFonts w:ascii="宋体" w:hAnsi="宋体"/>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2409" w:type="dxa"/>
            <w:vAlign w:val="center"/>
          </w:tcPr>
          <w:p>
            <w:pPr>
              <w:jc w:val="center"/>
              <w:rPr>
                <w:rFonts w:ascii="宋体" w:hAnsi="宋体"/>
              </w:rPr>
            </w:pPr>
            <w:r>
              <w:rPr>
                <w:rFonts w:hint="eastAsia" w:ascii="宋体" w:hAnsi="宋体"/>
              </w:rPr>
              <w:t>招标文件的澄清和修改</w:t>
            </w:r>
          </w:p>
        </w:tc>
        <w:tc>
          <w:tcPr>
            <w:tcW w:w="4980" w:type="dxa"/>
            <w:shd w:val="clear" w:color="auto" w:fill="auto"/>
            <w:vAlign w:val="center"/>
          </w:tcPr>
          <w:p>
            <w:pPr>
              <w:jc w:val="left"/>
              <w:rPr>
                <w:rFonts w:ascii="宋体" w:hAnsi="宋体"/>
              </w:rPr>
            </w:pPr>
            <w:r>
              <w:rPr>
                <w:rFonts w:hint="eastAsia" w:ascii="宋体" w:hAnsi="宋体"/>
              </w:rPr>
              <w:t>投标截止日三日前（详见招标公告），投标人有义务在招标期间在政府集中采购机构网站浏览与本项目有关的澄清和修改信息</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2</w:t>
            </w:r>
            <w:r>
              <w:rPr>
                <w:rFonts w:ascii="宋体" w:hAnsi="宋体"/>
              </w:rPr>
              <w:t>0</w:t>
            </w:r>
          </w:p>
        </w:tc>
        <w:tc>
          <w:tcPr>
            <w:tcW w:w="2409" w:type="dxa"/>
            <w:vAlign w:val="center"/>
          </w:tcPr>
          <w:p>
            <w:pPr>
              <w:jc w:val="center"/>
              <w:rPr>
                <w:rFonts w:ascii="宋体" w:hAnsi="宋体"/>
              </w:rPr>
            </w:pPr>
            <w:r>
              <w:rPr>
                <w:rFonts w:hint="eastAsia" w:ascii="宋体" w:hAnsi="宋体"/>
              </w:rPr>
              <w:t>投标有效期</w:t>
            </w:r>
          </w:p>
        </w:tc>
        <w:tc>
          <w:tcPr>
            <w:tcW w:w="4980" w:type="dxa"/>
            <w:shd w:val="clear" w:color="auto" w:fill="auto"/>
            <w:vAlign w:val="center"/>
          </w:tcPr>
          <w:p>
            <w:pPr>
              <w:jc w:val="left"/>
              <w:rPr>
                <w:rFonts w:ascii="宋体" w:hAnsi="宋体"/>
              </w:rPr>
            </w:pPr>
            <w:r>
              <w:rPr>
                <w:rFonts w:hint="eastAsia" w:ascii="宋体" w:hAnsi="宋体"/>
              </w:rPr>
              <w:t>120个日历日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2</w:t>
            </w:r>
            <w:r>
              <w:rPr>
                <w:rFonts w:ascii="宋体" w:hAnsi="宋体"/>
              </w:rPr>
              <w:t>2</w:t>
            </w:r>
          </w:p>
        </w:tc>
        <w:tc>
          <w:tcPr>
            <w:tcW w:w="2409" w:type="dxa"/>
            <w:vAlign w:val="center"/>
          </w:tcPr>
          <w:p>
            <w:pPr>
              <w:jc w:val="center"/>
              <w:rPr>
                <w:rFonts w:ascii="宋体" w:hAnsi="宋体"/>
              </w:rPr>
            </w:pPr>
            <w:r>
              <w:rPr>
                <w:rFonts w:hint="eastAsia" w:ascii="宋体" w:hAnsi="宋体"/>
              </w:rPr>
              <w:t>投标人的替代方案</w:t>
            </w:r>
          </w:p>
        </w:tc>
        <w:tc>
          <w:tcPr>
            <w:tcW w:w="4980" w:type="dxa"/>
            <w:shd w:val="clear" w:color="auto" w:fill="auto"/>
            <w:vAlign w:val="center"/>
          </w:tcPr>
          <w:p>
            <w:pPr>
              <w:jc w:val="left"/>
              <w:rPr>
                <w:rFonts w:ascii="宋体" w:hAnsi="宋体"/>
              </w:rPr>
            </w:pPr>
            <w:r>
              <w:rPr>
                <w:rFonts w:hint="eastAsia" w:ascii="宋体" w:hAnsi="宋体"/>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2</w:t>
            </w:r>
            <w:r>
              <w:rPr>
                <w:rFonts w:ascii="宋体" w:hAnsi="宋体"/>
              </w:rPr>
              <w:t>5</w:t>
            </w:r>
          </w:p>
        </w:tc>
        <w:tc>
          <w:tcPr>
            <w:tcW w:w="2409" w:type="dxa"/>
            <w:vAlign w:val="center"/>
          </w:tcPr>
          <w:p>
            <w:pPr>
              <w:jc w:val="center"/>
              <w:rPr>
                <w:rFonts w:ascii="宋体" w:hAnsi="宋体"/>
              </w:rPr>
            </w:pPr>
            <w:r>
              <w:rPr>
                <w:rFonts w:hint="eastAsia" w:ascii="宋体" w:hAnsi="宋体"/>
              </w:rPr>
              <w:t>投标文件的大小</w:t>
            </w:r>
          </w:p>
        </w:tc>
        <w:tc>
          <w:tcPr>
            <w:tcW w:w="4980" w:type="dxa"/>
            <w:shd w:val="clear" w:color="auto" w:fill="auto"/>
            <w:vAlign w:val="center"/>
          </w:tcPr>
          <w:p>
            <w:pPr>
              <w:jc w:val="left"/>
              <w:rPr>
                <w:rFonts w:ascii="宋体" w:hAnsi="宋体"/>
              </w:rPr>
            </w:pPr>
            <w:r>
              <w:rPr>
                <w:rFonts w:hint="eastAsia" w:ascii="宋体" w:hAnsi="宋体"/>
              </w:rPr>
              <w:t>投标文件大小不得超过</w:t>
            </w:r>
            <w:r>
              <w:rPr>
                <w:rFonts w:ascii="宋体" w:hAnsi="宋体"/>
              </w:rPr>
              <w:t>25</w:t>
            </w:r>
            <w:r>
              <w:rPr>
                <w:rFonts w:hint="eastAsia" w:ascii="宋体" w:hAnsi="宋体"/>
              </w:rPr>
              <w:t>0MB</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2</w:t>
            </w:r>
            <w:r>
              <w:rPr>
                <w:rFonts w:ascii="宋体" w:hAnsi="宋体"/>
              </w:rPr>
              <w:t>6</w:t>
            </w:r>
          </w:p>
        </w:tc>
        <w:tc>
          <w:tcPr>
            <w:tcW w:w="2409" w:type="dxa"/>
            <w:vAlign w:val="center"/>
          </w:tcPr>
          <w:p>
            <w:pPr>
              <w:jc w:val="center"/>
              <w:rPr>
                <w:rFonts w:ascii="宋体" w:hAnsi="宋体"/>
              </w:rPr>
            </w:pPr>
            <w:bookmarkStart w:id="34" w:name="_Hlk71664860"/>
            <w:r>
              <w:rPr>
                <w:rFonts w:hint="eastAsia" w:ascii="宋体" w:hAnsi="宋体"/>
              </w:rPr>
              <w:t>样品、现场演示、方案讲解</w:t>
            </w:r>
            <w:bookmarkEnd w:id="34"/>
          </w:p>
        </w:tc>
        <w:tc>
          <w:tcPr>
            <w:tcW w:w="4980" w:type="dxa"/>
            <w:vAlign w:val="center"/>
          </w:tcPr>
          <w:p>
            <w:pPr>
              <w:jc w:val="left"/>
              <w:rPr>
                <w:rFonts w:ascii="宋体" w:hAnsi="宋体"/>
              </w:rPr>
            </w:pPr>
            <w:r>
              <w:rPr>
                <w:rFonts w:hint="eastAsia" w:ascii="宋体" w:hAnsi="宋体"/>
              </w:rPr>
              <w:t>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3</w:t>
            </w:r>
            <w:r>
              <w:rPr>
                <w:rFonts w:ascii="宋体" w:hAnsi="宋体"/>
              </w:rPr>
              <w:t>7</w:t>
            </w:r>
          </w:p>
        </w:tc>
        <w:tc>
          <w:tcPr>
            <w:tcW w:w="2409" w:type="dxa"/>
            <w:vAlign w:val="center"/>
          </w:tcPr>
          <w:p>
            <w:pPr>
              <w:jc w:val="center"/>
              <w:rPr>
                <w:rFonts w:ascii="宋体" w:hAnsi="宋体"/>
              </w:rPr>
            </w:pPr>
            <w:r>
              <w:rPr>
                <w:rFonts w:hint="eastAsia" w:ascii="宋体" w:hAnsi="宋体"/>
              </w:rPr>
              <w:t>评审方法</w:t>
            </w:r>
          </w:p>
        </w:tc>
        <w:tc>
          <w:tcPr>
            <w:tcW w:w="4980" w:type="dxa"/>
            <w:vAlign w:val="center"/>
          </w:tcPr>
          <w:p>
            <w:pPr>
              <w:jc w:val="left"/>
              <w:rPr>
                <w:rFonts w:ascii="宋体" w:hAnsi="宋体"/>
              </w:rPr>
            </w:pPr>
            <w:r>
              <w:rPr>
                <w:rFonts w:hint="eastAsia" w:asciiTheme="minorEastAsia" w:hAnsiTheme="minorEastAsia" w:eastAsiaTheme="minorEastAsia"/>
              </w:rPr>
              <w:t>综合评分法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3</w:t>
            </w:r>
            <w:r>
              <w:rPr>
                <w:rFonts w:ascii="宋体" w:hAnsi="宋体"/>
              </w:rPr>
              <w:t>8</w:t>
            </w:r>
          </w:p>
        </w:tc>
        <w:tc>
          <w:tcPr>
            <w:tcW w:w="2409" w:type="dxa"/>
            <w:vAlign w:val="center"/>
          </w:tcPr>
          <w:p>
            <w:pPr>
              <w:jc w:val="center"/>
              <w:rPr>
                <w:rFonts w:ascii="宋体" w:hAnsi="宋体"/>
              </w:rPr>
            </w:pPr>
            <w:r>
              <w:rPr>
                <w:rFonts w:hint="eastAsia" w:ascii="宋体" w:hAnsi="宋体"/>
              </w:rPr>
              <w:t>是否为评定分离</w:t>
            </w:r>
          </w:p>
        </w:tc>
        <w:tc>
          <w:tcPr>
            <w:tcW w:w="4980" w:type="dxa"/>
            <w:vAlign w:val="center"/>
          </w:tcPr>
          <w:p>
            <w:pPr>
              <w:jc w:val="left"/>
              <w:rPr>
                <w:rFonts w:ascii="宋体" w:hAnsi="宋体"/>
              </w:rPr>
            </w:pPr>
            <w:r>
              <w:rPr>
                <w:rFonts w:hint="eastAsia" w:asciiTheme="minorEastAsia" w:hAnsiTheme="minorEastAsia" w:eastAsiaTheme="minorEastAsia"/>
              </w:rPr>
              <w:t>非评定分离。</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ascii="宋体" w:hAnsi="宋体"/>
              </w:rPr>
            </w:pPr>
            <w:r>
              <w:rPr>
                <w:rFonts w:hint="eastAsia" w:ascii="宋体" w:hAnsi="宋体"/>
              </w:rPr>
              <w:t>4</w:t>
            </w:r>
            <w:r>
              <w:rPr>
                <w:rFonts w:ascii="宋体" w:hAnsi="宋体"/>
              </w:rPr>
              <w:t>6</w:t>
            </w:r>
          </w:p>
        </w:tc>
        <w:tc>
          <w:tcPr>
            <w:tcW w:w="2409" w:type="dxa"/>
            <w:vAlign w:val="center"/>
          </w:tcPr>
          <w:p>
            <w:pPr>
              <w:jc w:val="center"/>
              <w:rPr>
                <w:rFonts w:ascii="宋体" w:hAnsi="宋体"/>
              </w:rPr>
            </w:pPr>
            <w:r>
              <w:rPr>
                <w:rFonts w:hint="eastAsia" w:ascii="宋体" w:hAnsi="宋体"/>
              </w:rPr>
              <w:t>履约担保</w:t>
            </w:r>
          </w:p>
        </w:tc>
        <w:tc>
          <w:tcPr>
            <w:tcW w:w="4980" w:type="dxa"/>
            <w:vAlign w:val="center"/>
          </w:tcPr>
          <w:p>
            <w:pPr>
              <w:jc w:val="left"/>
              <w:rPr>
                <w:rFonts w:ascii="宋体" w:hAnsi="宋体"/>
              </w:rPr>
            </w:pPr>
            <w:r>
              <w:rPr>
                <w:rFonts w:hint="eastAsia" w:ascii="宋体" w:hAnsi="宋体"/>
              </w:rPr>
              <w:t>不需要</w:t>
            </w:r>
          </w:p>
        </w:tc>
      </w:tr>
    </w:tbl>
    <w:p>
      <w:pPr>
        <w:rPr>
          <w:b/>
        </w:rPr>
      </w:pPr>
      <w:r>
        <w:rPr>
          <w:rFonts w:hint="eastAsia"/>
          <w:szCs w:val="21"/>
        </w:rPr>
        <w:t>备注：本表是通用条款相关条款的补充和明确，如与通用条款内容相冲突的，以本表为准。</w:t>
      </w:r>
    </w:p>
    <w:p>
      <w:pPr>
        <w:rPr>
          <w:b/>
        </w:rPr>
      </w:pPr>
    </w:p>
    <w:p>
      <w:pPr>
        <w:pStyle w:val="6"/>
        <w:spacing w:before="120" w:beforeLines="50" w:after="120" w:afterLines="50"/>
        <w:rPr>
          <w:szCs w:val="24"/>
        </w:rPr>
      </w:pPr>
      <w:r>
        <w:rPr>
          <w:rFonts w:hint="eastAsia"/>
          <w:szCs w:val="24"/>
        </w:rPr>
        <w:t>二、其他关键信息</w:t>
      </w:r>
    </w:p>
    <w:p>
      <w:pPr>
        <w:ind w:firstLine="421" w:firstLineChars="200"/>
        <w:rPr>
          <w:b/>
          <w:bCs/>
        </w:rPr>
      </w:pPr>
      <w:r>
        <w:rPr>
          <w:rFonts w:hint="eastAsia"/>
          <w:b/>
          <w:bCs/>
        </w:rPr>
        <w:t>（一）与“对通用条款的补充内容”章节相关的事项</w:t>
      </w:r>
    </w:p>
    <w:p>
      <w:pPr>
        <w:spacing w:line="276" w:lineRule="auto"/>
        <w:ind w:firstLine="421" w:firstLineChars="200"/>
        <w:jc w:val="left"/>
        <w:rPr>
          <w:rFonts w:asciiTheme="minorEastAsia" w:hAnsiTheme="minorEastAsia" w:eastAsiaTheme="minorEastAsia"/>
          <w:b/>
          <w:kern w:val="0"/>
          <w:szCs w:val="20"/>
        </w:rPr>
      </w:pPr>
      <w:bookmarkStart w:id="35" w:name="_Hlk72579465"/>
      <w:r>
        <w:rPr>
          <w:rFonts w:hint="eastAsia" w:asciiTheme="minorEastAsia" w:hAnsiTheme="minorEastAsia" w:eastAsiaTheme="minorEastAsia"/>
          <w:b/>
          <w:kern w:val="0"/>
          <w:szCs w:val="20"/>
        </w:rPr>
        <w:t>1.评标定标信息</w:t>
      </w:r>
    </w:p>
    <w:p>
      <w:pPr>
        <w:jc w:val="center"/>
      </w:pPr>
      <w:r>
        <w:rPr>
          <w:rFonts w:hint="eastAsia"/>
          <w:b/>
        </w:rPr>
        <w:t>非评定分离项目</w:t>
      </w:r>
    </w:p>
    <w:tbl>
      <w:tblPr>
        <w:tblStyle w:val="4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90"/>
        <w:gridCol w:w="4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9" w:type="pct"/>
          </w:tcPr>
          <w:p>
            <w:pPr>
              <w:jc w:val="center"/>
            </w:pPr>
            <w:r>
              <w:rPr>
                <w:rFonts w:hint="eastAsia"/>
              </w:rPr>
              <w:t>评标方法</w:t>
            </w:r>
          </w:p>
        </w:tc>
        <w:tc>
          <w:tcPr>
            <w:tcW w:w="2660" w:type="pct"/>
          </w:tcPr>
          <w:p>
            <w:pPr>
              <w:jc w:val="center"/>
            </w:pPr>
            <w:r>
              <w:rPr>
                <w:rFonts w:hint="eastAsia"/>
              </w:rPr>
              <w:sym w:font="Wingdings" w:char="00FE"/>
            </w:r>
            <w:r>
              <w:rPr>
                <w:rFonts w:hint="eastAsia"/>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9" w:type="pct"/>
          </w:tcPr>
          <w:p>
            <w:pPr>
              <w:jc w:val="center"/>
            </w:pPr>
            <w:r>
              <w:rPr>
                <w:rFonts w:hint="eastAsia"/>
              </w:rPr>
              <w:t>候选中标供应商家数</w:t>
            </w:r>
          </w:p>
        </w:tc>
        <w:tc>
          <w:tcPr>
            <w:tcW w:w="2660" w:type="pct"/>
          </w:tcPr>
          <w:p>
            <w:pPr>
              <w:jc w:val="center"/>
              <w:rPr>
                <w:rFonts w:hint="eastAsia" w:eastAsia="宋体"/>
                <w:lang w:eastAsia="zh-CN"/>
              </w:rPr>
            </w:pPr>
            <w:r>
              <w:rPr>
                <w:rFonts w:hint="eastAsia"/>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9" w:type="pct"/>
          </w:tcPr>
          <w:p>
            <w:pPr>
              <w:jc w:val="center"/>
            </w:pPr>
            <w:r>
              <w:rPr>
                <w:rFonts w:hint="eastAsia"/>
              </w:rPr>
              <w:t>中标供应商家数</w:t>
            </w:r>
          </w:p>
        </w:tc>
        <w:tc>
          <w:tcPr>
            <w:tcW w:w="2660" w:type="pct"/>
          </w:tcPr>
          <w:p>
            <w:pPr>
              <w:jc w:val="center"/>
            </w:pPr>
            <w:r>
              <w:rPr>
                <w:rFonts w:hint="eastAsia"/>
              </w:rPr>
              <w:t>1</w:t>
            </w:r>
          </w:p>
        </w:tc>
      </w:tr>
    </w:tbl>
    <w:p>
      <w:pPr>
        <w:pStyle w:val="35"/>
      </w:pPr>
    </w:p>
    <w:bookmarkEnd w:id="35"/>
    <w:p>
      <w:pPr>
        <w:ind w:firstLine="421" w:firstLineChars="200"/>
        <w:rPr>
          <w:b/>
        </w:rPr>
      </w:pPr>
      <w:r>
        <w:rPr>
          <w:rFonts w:hint="eastAsia"/>
          <w:b/>
        </w:rPr>
        <w:t>（二）政府采购政策的有关事项说明</w:t>
      </w:r>
    </w:p>
    <w:p>
      <w:pPr>
        <w:ind w:firstLine="421" w:firstLineChars="200"/>
        <w:rPr>
          <w:b/>
          <w:bCs/>
        </w:rPr>
      </w:pPr>
      <w:r>
        <w:rPr>
          <w:rFonts w:hint="eastAsia"/>
          <w:b/>
          <w:bCs/>
        </w:rPr>
        <w:t>1.关于享受中小企业扶持政策的主体、价格扣除比例及采购标的所属行业等事项的说明</w:t>
      </w:r>
    </w:p>
    <w:p>
      <w:pPr>
        <w:ind w:firstLine="630" w:firstLineChars="300"/>
      </w:pPr>
      <w:r>
        <w:rPr>
          <w:rFonts w:hint="eastAsia"/>
        </w:rPr>
        <w:t>（1）适用主体：中型企业、小型、微型企业（残疾人福利性单位视同小型、微型企业；监狱企业视同小型、微型企业）。接受联合体的项目，供应商以联合体形式参加政府采购活动，联合体各方均为中小企业的，联合体视同中小企业。其中，联合体各方均为小微企业的，联合体视同小微企业。</w:t>
      </w:r>
    </w:p>
    <w:p>
      <w:pPr>
        <w:ind w:firstLine="420" w:firstLineChars="200"/>
      </w:pPr>
      <w:r>
        <w:rPr>
          <w:rFonts w:hint="eastAsia"/>
        </w:rPr>
        <w:t>备注：(a</w:t>
      </w:r>
      <w:r>
        <w:t>)</w:t>
      </w:r>
      <w:r>
        <w:rPr>
          <w:rFonts w:hint="eastAsia"/>
        </w:rPr>
        <w:t>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t>b</w:t>
      </w:r>
      <w:r>
        <w:rPr>
          <w:rFonts w:hint="eastAsia" w:ascii="Calibri" w:hAnsi="Calibri"/>
          <w:szCs w:val="22"/>
        </w:rPr>
        <w:t>在货物采购项目中，货物由中小企业制造，即货物由中小企业生产且使用该中小企业商号或者注册商标</w:t>
      </w:r>
      <w:r>
        <w:rPr>
          <w:rFonts w:hint="eastAsia"/>
          <w:szCs w:val="22"/>
        </w:rPr>
        <w:t>（供应商提供的货物既有中小企业制造货物，也有大型企业制造货物的，不享受中小企业扶持政策）</w:t>
      </w:r>
      <w:r>
        <w:rPr>
          <w:rFonts w:hint="eastAsia" w:ascii="Calibri" w:hAnsi="Calibri"/>
          <w:szCs w:val="22"/>
        </w:rPr>
        <w:t>；在工程采购项目中，工程由中小企业承建，即工程施工单位为中小企业</w:t>
      </w:r>
      <w:r>
        <w:rPr>
          <w:rFonts w:hint="eastAsia"/>
          <w:szCs w:val="22"/>
        </w:rPr>
        <w:t>；在服务采购项目中，服务由中小企业承接，即提供服务的人员为中小企业依照《中华人民共和国劳动合同法》订立劳动合同的从业人员。</w:t>
      </w:r>
    </w:p>
    <w:p>
      <w:pPr>
        <w:ind w:firstLine="630" w:firstLineChars="300"/>
      </w:pPr>
      <w:r>
        <w:rPr>
          <w:rFonts w:hint="eastAsia"/>
        </w:rPr>
        <w:t>（2）预留份额专门面向中小企业采购的项目，不再执行价格扣除比例。</w:t>
      </w:r>
    </w:p>
    <w:p>
      <w:pPr>
        <w:ind w:firstLine="630" w:firstLineChars="300"/>
      </w:pPr>
      <w:r>
        <w:rPr>
          <w:rFonts w:hint="eastAsia"/>
        </w:rPr>
        <w:t>（3）未预留份额专门面向中小企业采购的项目，应执行价格扣除比例：供应商提供的服务</w:t>
      </w:r>
      <w:r>
        <w:rPr>
          <w:rFonts w:hint="eastAsia"/>
          <w:b/>
          <w:bCs/>
          <w:color w:val="FF0000"/>
        </w:rPr>
        <w:t>全部由小型、微型企业承接</w:t>
      </w:r>
      <w:r>
        <w:rPr>
          <w:rFonts w:hint="eastAsia"/>
        </w:rPr>
        <w:t>，则对其投标总价给予</w:t>
      </w:r>
      <w:r>
        <w:rPr>
          <w:b/>
          <w:bCs/>
          <w:color w:val="FF0000"/>
          <w:u w:val="single"/>
        </w:rPr>
        <w:t xml:space="preserve">  </w:t>
      </w:r>
      <w:r>
        <w:rPr>
          <w:rFonts w:hint="eastAsia"/>
          <w:b/>
          <w:bCs/>
          <w:color w:val="FF0000"/>
          <w:u w:val="single"/>
        </w:rPr>
        <w:t xml:space="preserve"> </w:t>
      </w:r>
      <w:r>
        <w:rPr>
          <w:rFonts w:hint="eastAsia"/>
          <w:b/>
          <w:bCs/>
          <w:color w:val="FF0000"/>
          <w:u w:val="single"/>
          <w:lang w:val="en-US" w:eastAsia="zh-CN"/>
        </w:rPr>
        <w:t>10</w:t>
      </w:r>
      <w:r>
        <w:rPr>
          <w:rFonts w:hint="eastAsia"/>
          <w:b/>
          <w:bCs/>
          <w:color w:val="FF0000"/>
          <w:u w:val="single"/>
        </w:rPr>
        <w:t xml:space="preserve">   </w:t>
      </w:r>
      <w:r>
        <w:rPr>
          <w:b/>
          <w:bCs/>
          <w:color w:val="FF0000"/>
        </w:rPr>
        <w:t>%</w:t>
      </w:r>
      <w:r>
        <w:rPr>
          <w:rFonts w:hint="eastAsia"/>
          <w:color w:val="000000" w:themeColor="text1"/>
          <w14:textFill>
            <w14:solidFill>
              <w14:schemeClr w14:val="tx1"/>
            </w14:solidFill>
          </w14:textFill>
        </w:rPr>
        <w:t>（10%~20%）</w:t>
      </w:r>
      <w:r>
        <w:rPr>
          <w:rFonts w:hint="eastAsia"/>
        </w:rPr>
        <w:t>的扣除，用扣除后的价格参与评审。</w:t>
      </w:r>
    </w:p>
    <w:p>
      <w:pPr>
        <w:ind w:firstLine="630" w:firstLineChars="300"/>
      </w:pPr>
      <w:r>
        <w:rPr>
          <w:rFonts w:hint="eastAsia"/>
        </w:rPr>
        <w:t>（4）</w:t>
      </w:r>
      <w:r>
        <w:rPr>
          <w:rFonts w:hint="eastAsia" w:asciiTheme="minorEastAsia" w:hAnsiTheme="minorEastAsia" w:eastAsiaTheme="minorEastAsia" w:cstheme="minorEastAsia"/>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ascii="宋体" w:hAnsi="宋体" w:cs="宋体"/>
          <w:b/>
          <w:bCs/>
          <w:color w:val="FF0000"/>
          <w:szCs w:val="21"/>
        </w:rPr>
        <w:t>《中小企业声明函》中相关企业</w:t>
      </w:r>
      <w:r>
        <w:rPr>
          <w:rFonts w:hint="eastAsia" w:ascii="宋体" w:hAnsi="宋体" w:cs="宋体"/>
          <w:b/>
          <w:bCs/>
          <w:color w:val="FF0000"/>
          <w:szCs w:val="21"/>
        </w:rPr>
        <w:t>（服务承接商）</w:t>
      </w:r>
      <w:r>
        <w:rPr>
          <w:rFonts w:ascii="宋体" w:hAnsi="宋体" w:cs="宋体"/>
          <w:b/>
          <w:bCs/>
          <w:color w:val="FF0000"/>
          <w:szCs w:val="21"/>
        </w:rPr>
        <w:t>所属行业应当与采购标的所属行业相一致</w:t>
      </w:r>
      <w:r>
        <w:rPr>
          <w:rFonts w:hint="eastAsia"/>
          <w:b/>
          <w:bCs/>
          <w:color w:val="FF0000"/>
        </w:rPr>
        <w:t>，标的所属行业以招标文件第一册第三章用户需求书“服务需求明细”的“标的所属行业”一栏为准</w:t>
      </w:r>
      <w:r>
        <w:rPr>
          <w:rFonts w:ascii="宋体" w:hAnsi="宋体" w:cs="宋体"/>
          <w:b/>
          <w:bCs/>
          <w:color w:val="FF0000"/>
          <w:szCs w:val="21"/>
        </w:rPr>
        <w:t>。</w:t>
      </w:r>
    </w:p>
    <w:p>
      <w:pPr>
        <w:ind w:firstLine="630" w:firstLineChars="300"/>
      </w:pPr>
      <w:r>
        <w:rPr>
          <w:rFonts w:hint="eastAsia" w:asciiTheme="minorEastAsia" w:hAnsiTheme="minorEastAsia" w:eastAsiaTheme="minorEastAsia" w:cstheme="minorEastAsia"/>
          <w:szCs w:val="21"/>
        </w:rPr>
        <w:t>（5）中型企业、小型、微型企业为优惠主体的认定资料为《中小企业声明函》；残疾人福利性单位为优惠主体的认定资料为《残疾人福利性单</w:t>
      </w:r>
      <w:r>
        <w:rPr>
          <w:rFonts w:hint="eastAsia"/>
        </w:rPr>
        <w:t>位声明函》；监狱企业为优惠主体的认定资料为省级以上监狱管理局、戒毒管理局出具的监狱企业证明文件。声明函样式见本招标文件第一册专用条款“第四章  投标文件组成要求及格式”中“三、投标人情况及资格证明文件”章节提供的格式）。</w:t>
      </w:r>
    </w:p>
    <w:p>
      <w:pPr>
        <w:ind w:firstLine="630" w:firstLineChars="300"/>
        <w:rPr>
          <w:color w:val="FF0000"/>
        </w:rPr>
      </w:pPr>
      <w:r>
        <w:rPr>
          <w:rFonts w:hint="eastAsia"/>
        </w:rPr>
        <w:t>（6）依据《</w:t>
      </w:r>
      <w:r>
        <w:rPr>
          <w:rFonts w:hint="eastAsia" w:asciiTheme="minorEastAsia" w:hAnsiTheme="minorEastAsia" w:eastAsiaTheme="minorEastAsia" w:cstheme="minorEastAsia"/>
          <w:szCs w:val="21"/>
        </w:rPr>
        <w:t>政府采购促进中小企业发展管理办法》</w:t>
      </w:r>
      <w:r>
        <w:rPr>
          <w:rFonts w:hint="eastAsia"/>
        </w:rPr>
        <w:t>规定享受扶持政策获得政府采购合同的，小微企业不得将合同分包给大中型企业，中型企业不得将合同分包给大型企业。</w:t>
      </w:r>
    </w:p>
    <w:p>
      <w:pPr>
        <w:pStyle w:val="193"/>
        <w:ind w:firstLine="421" w:firstLineChars="200"/>
        <w:rPr>
          <w:b/>
          <w:bCs/>
        </w:rPr>
      </w:pPr>
      <w:r>
        <w:rPr>
          <w:rFonts w:hint="eastAsia"/>
          <w:b/>
          <w:bCs/>
        </w:rPr>
        <w:t>2.</w:t>
      </w:r>
      <w:r>
        <w:rPr>
          <w:b/>
          <w:bCs/>
        </w:rPr>
        <w:t>上述支持政策不改变最终中标</w:t>
      </w:r>
      <w:r>
        <w:rPr>
          <w:rFonts w:hint="eastAsia"/>
          <w:b/>
          <w:bCs/>
        </w:rPr>
        <w:t>（</w:t>
      </w:r>
      <w:r>
        <w:rPr>
          <w:b/>
          <w:bCs/>
        </w:rPr>
        <w:t>成交</w:t>
      </w:r>
      <w:r>
        <w:rPr>
          <w:rFonts w:hint="eastAsia"/>
          <w:b/>
          <w:bCs/>
        </w:rPr>
        <w:t>）</w:t>
      </w:r>
      <w:r>
        <w:rPr>
          <w:b/>
          <w:bCs/>
        </w:rPr>
        <w:t>价格，政府采购合同仍按照中标</w:t>
      </w:r>
      <w:r>
        <w:rPr>
          <w:rFonts w:hint="eastAsia"/>
          <w:b/>
          <w:bCs/>
        </w:rPr>
        <w:t>（</w:t>
      </w:r>
      <w:r>
        <w:rPr>
          <w:b/>
          <w:bCs/>
        </w:rPr>
        <w:t>成交</w:t>
      </w:r>
      <w:r>
        <w:rPr>
          <w:rFonts w:hint="eastAsia"/>
          <w:b/>
          <w:bCs/>
        </w:rPr>
        <w:t>）</w:t>
      </w:r>
      <w:r>
        <w:rPr>
          <w:b/>
          <w:bCs/>
        </w:rPr>
        <w:t>供应商的报价签订。</w:t>
      </w:r>
    </w:p>
    <w:p>
      <w:pPr>
        <w:ind w:firstLine="421" w:firstLineChars="200"/>
        <w:rPr>
          <w:b/>
        </w:rPr>
      </w:pPr>
    </w:p>
    <w:p>
      <w:pPr>
        <w:ind w:firstLine="421" w:firstLineChars="200"/>
        <w:rPr>
          <w:b/>
          <w:bCs/>
        </w:rPr>
      </w:pPr>
      <w:r>
        <w:rPr>
          <w:rFonts w:hint="eastAsia"/>
          <w:b/>
        </w:rPr>
        <w:t>（三）代理服务费</w:t>
      </w:r>
    </w:p>
    <w:p>
      <w:pPr>
        <w:ind w:firstLine="421" w:firstLineChars="200"/>
        <w:rPr>
          <w:b/>
          <w:bCs/>
        </w:rPr>
      </w:pPr>
      <w:r>
        <w:rPr>
          <w:rFonts w:hint="eastAsia"/>
          <w:b/>
          <w:bCs/>
        </w:rPr>
        <w:t>本项目为代理服务项目，将向中标（成交）供应商收取代理服务费。</w:t>
      </w:r>
    </w:p>
    <w:p>
      <w:pPr>
        <w:ind w:firstLine="420" w:firstLineChars="200"/>
      </w:pPr>
      <w:r>
        <w:rPr>
          <w:rFonts w:hint="eastAsia"/>
        </w:rPr>
        <w:t>中标（成交）供应商应在中标（成交)结果公示结束之日的次日起7个工作日内向深圳公共资源交易中心（深圳交易集团有限公司</w:t>
      </w:r>
      <w:r>
        <w:rPr>
          <w:rFonts w:hint="eastAsia"/>
          <w:lang w:eastAsia="zh-CN"/>
        </w:rPr>
        <w:t>盐田</w:t>
      </w:r>
      <w:r>
        <w:rPr>
          <w:rFonts w:hint="eastAsia"/>
        </w:rPr>
        <w:t>分公司）交纳代理服务费。若因中标（成交）供应商交纳代理服务费所产生的时间影响到合同签订的，由中标（成交）供应商自行承担责任。代理服务费标准参照下列标准收取。</w:t>
      </w:r>
      <w:r>
        <w:rPr>
          <w:rFonts w:hint="eastAsia"/>
          <w:b/>
          <w:color w:val="FF0000"/>
        </w:rPr>
        <w:t>本项目类型为服务采购：</w:t>
      </w:r>
    </w:p>
    <w:p>
      <w:pPr>
        <w:ind w:firstLine="420" w:firstLineChars="200"/>
      </w:pPr>
      <w:r>
        <w:rPr>
          <w:rFonts w:hint="eastAsia"/>
        </w:rPr>
        <w:t>（1）代理服务费以《中标（成交）通知书》确定的中标（成交）金额作为计算基数，按差额定率累进法计算。</w:t>
      </w:r>
    </w:p>
    <w:p>
      <w:pPr>
        <w:ind w:firstLine="420" w:firstLineChars="200"/>
      </w:pPr>
      <w:r>
        <w:rPr>
          <w:rFonts w:hint="eastAsia"/>
        </w:rPr>
        <w:t>（2）中标（成交）金额的各部分费率如下表：</w:t>
      </w:r>
    </w:p>
    <w:tbl>
      <w:tblPr>
        <w:tblStyle w:val="4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pPr>
              <w:widowControl/>
              <w:spacing w:line="360" w:lineRule="auto"/>
              <w:jc w:val="center"/>
            </w:pPr>
            <w:r>
              <w:rPr>
                <w:rFonts w:hint="eastAsia"/>
              </w:rPr>
              <w:t>中标（成交）金额</w:t>
            </w:r>
          </w:p>
        </w:tc>
        <w:tc>
          <w:tcPr>
            <w:tcW w:w="1799" w:type="dxa"/>
            <w:vAlign w:val="center"/>
          </w:tcPr>
          <w:p>
            <w:pPr>
              <w:widowControl/>
              <w:spacing w:line="360" w:lineRule="auto"/>
              <w:jc w:val="center"/>
            </w:pPr>
            <w:r>
              <w:rPr>
                <w:rFonts w:hint="eastAsia"/>
              </w:rPr>
              <w:t>货物采购</w:t>
            </w:r>
          </w:p>
        </w:tc>
        <w:tc>
          <w:tcPr>
            <w:tcW w:w="1799" w:type="dxa"/>
            <w:vAlign w:val="center"/>
          </w:tcPr>
          <w:p>
            <w:pPr>
              <w:widowControl/>
              <w:spacing w:line="360" w:lineRule="auto"/>
              <w:jc w:val="center"/>
            </w:pPr>
            <w:r>
              <w:rPr>
                <w:rFonts w:hint="eastAsia"/>
              </w:rPr>
              <w:t>服务采购</w:t>
            </w:r>
          </w:p>
        </w:tc>
        <w:tc>
          <w:tcPr>
            <w:tcW w:w="1799" w:type="dxa"/>
            <w:vAlign w:val="center"/>
          </w:tcPr>
          <w:p>
            <w:pPr>
              <w:widowControl/>
              <w:spacing w:line="360" w:lineRule="auto"/>
              <w:jc w:val="center"/>
            </w:pPr>
            <w:r>
              <w:rPr>
                <w:rFonts w:hint="eastAsia"/>
              </w:rPr>
              <w:t>工程采购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100万元以下</w:t>
            </w:r>
          </w:p>
        </w:tc>
        <w:tc>
          <w:tcPr>
            <w:tcW w:w="1799" w:type="dxa"/>
            <w:vAlign w:val="center"/>
          </w:tcPr>
          <w:p>
            <w:pPr>
              <w:widowControl/>
              <w:spacing w:line="360" w:lineRule="auto"/>
              <w:jc w:val="center"/>
            </w:pPr>
            <w:r>
              <w:rPr>
                <w:rFonts w:hint="eastAsia"/>
              </w:rPr>
              <w:t>1.5%</w:t>
            </w:r>
          </w:p>
        </w:tc>
        <w:tc>
          <w:tcPr>
            <w:tcW w:w="1799" w:type="dxa"/>
            <w:vAlign w:val="center"/>
          </w:tcPr>
          <w:p>
            <w:pPr>
              <w:widowControl/>
              <w:spacing w:line="360" w:lineRule="auto"/>
              <w:jc w:val="center"/>
            </w:pPr>
            <w:r>
              <w:rPr>
                <w:rFonts w:hint="eastAsia"/>
              </w:rPr>
              <w:t>1.5%</w:t>
            </w:r>
          </w:p>
        </w:tc>
        <w:tc>
          <w:tcPr>
            <w:tcW w:w="1799" w:type="dxa"/>
            <w:vAlign w:val="center"/>
          </w:tcPr>
          <w:p>
            <w:pPr>
              <w:widowControl/>
              <w:spacing w:line="360" w:lineRule="auto"/>
              <w:jc w:val="center"/>
            </w:pPr>
            <w:r>
              <w:rPr>
                <w:rFonts w:hint="eastAsi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100万元（含）-500万元</w:t>
            </w:r>
          </w:p>
        </w:tc>
        <w:tc>
          <w:tcPr>
            <w:tcW w:w="1799" w:type="dxa"/>
            <w:vAlign w:val="center"/>
          </w:tcPr>
          <w:p>
            <w:pPr>
              <w:widowControl/>
              <w:spacing w:line="360" w:lineRule="auto"/>
              <w:jc w:val="center"/>
            </w:pPr>
            <w:r>
              <w:rPr>
                <w:rFonts w:hint="eastAsia"/>
              </w:rPr>
              <w:t>1.1%</w:t>
            </w:r>
          </w:p>
        </w:tc>
        <w:tc>
          <w:tcPr>
            <w:tcW w:w="1799" w:type="dxa"/>
            <w:vAlign w:val="center"/>
          </w:tcPr>
          <w:p>
            <w:pPr>
              <w:widowControl/>
              <w:spacing w:line="360" w:lineRule="auto"/>
              <w:jc w:val="center"/>
            </w:pPr>
            <w:r>
              <w:rPr>
                <w:rFonts w:hint="eastAsia"/>
              </w:rPr>
              <w:t>0.8%</w:t>
            </w:r>
          </w:p>
        </w:tc>
        <w:tc>
          <w:tcPr>
            <w:tcW w:w="1799" w:type="dxa"/>
            <w:vAlign w:val="center"/>
          </w:tcPr>
          <w:p>
            <w:pPr>
              <w:widowControl/>
              <w:spacing w:line="360" w:lineRule="auto"/>
              <w:jc w:val="center"/>
            </w:pPr>
            <w:r>
              <w:rPr>
                <w:rFonts w:hint="eastAsia"/>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500万元（含）-1000万元</w:t>
            </w:r>
          </w:p>
        </w:tc>
        <w:tc>
          <w:tcPr>
            <w:tcW w:w="1799" w:type="dxa"/>
            <w:vAlign w:val="center"/>
          </w:tcPr>
          <w:p>
            <w:pPr>
              <w:widowControl/>
              <w:spacing w:line="360" w:lineRule="auto"/>
              <w:jc w:val="center"/>
            </w:pPr>
            <w:r>
              <w:rPr>
                <w:rFonts w:hint="eastAsia"/>
              </w:rPr>
              <w:t>0.8%</w:t>
            </w:r>
          </w:p>
        </w:tc>
        <w:tc>
          <w:tcPr>
            <w:tcW w:w="1799" w:type="dxa"/>
            <w:vAlign w:val="center"/>
          </w:tcPr>
          <w:p>
            <w:pPr>
              <w:widowControl/>
              <w:spacing w:line="360" w:lineRule="auto"/>
              <w:jc w:val="center"/>
            </w:pPr>
            <w:r>
              <w:rPr>
                <w:rFonts w:hint="eastAsia"/>
              </w:rPr>
              <w:t>0.45%</w:t>
            </w:r>
          </w:p>
        </w:tc>
        <w:tc>
          <w:tcPr>
            <w:tcW w:w="1799" w:type="dxa"/>
            <w:vAlign w:val="center"/>
          </w:tcPr>
          <w:p>
            <w:pPr>
              <w:widowControl/>
              <w:spacing w:line="360" w:lineRule="auto"/>
              <w:jc w:val="center"/>
            </w:pPr>
            <w:r>
              <w:rPr>
                <w:rFonts w:hint="eastAsia"/>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1000万元（含）-5000万元</w:t>
            </w:r>
          </w:p>
        </w:tc>
        <w:tc>
          <w:tcPr>
            <w:tcW w:w="1799" w:type="dxa"/>
            <w:vAlign w:val="center"/>
          </w:tcPr>
          <w:p>
            <w:pPr>
              <w:widowControl/>
              <w:spacing w:line="360" w:lineRule="auto"/>
              <w:jc w:val="center"/>
            </w:pPr>
            <w:r>
              <w:rPr>
                <w:rFonts w:hint="eastAsia"/>
              </w:rPr>
              <w:t>0.5%</w:t>
            </w:r>
          </w:p>
        </w:tc>
        <w:tc>
          <w:tcPr>
            <w:tcW w:w="1799" w:type="dxa"/>
            <w:vAlign w:val="center"/>
          </w:tcPr>
          <w:p>
            <w:pPr>
              <w:widowControl/>
              <w:spacing w:line="360" w:lineRule="auto"/>
              <w:jc w:val="center"/>
            </w:pPr>
            <w:r>
              <w:rPr>
                <w:rFonts w:hint="eastAsia"/>
              </w:rPr>
              <w:t>0.25%</w:t>
            </w:r>
          </w:p>
        </w:tc>
        <w:tc>
          <w:tcPr>
            <w:tcW w:w="1799" w:type="dxa"/>
            <w:vAlign w:val="center"/>
          </w:tcPr>
          <w:p>
            <w:pPr>
              <w:widowControl/>
              <w:spacing w:line="360" w:lineRule="auto"/>
              <w:jc w:val="center"/>
            </w:pPr>
            <w:r>
              <w:rPr>
                <w:rFonts w:hint="eastAsia"/>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5000万元（含）-1亿元</w:t>
            </w:r>
          </w:p>
        </w:tc>
        <w:tc>
          <w:tcPr>
            <w:tcW w:w="1799" w:type="dxa"/>
            <w:vAlign w:val="center"/>
          </w:tcPr>
          <w:p>
            <w:pPr>
              <w:widowControl/>
              <w:spacing w:line="360" w:lineRule="auto"/>
              <w:jc w:val="center"/>
            </w:pPr>
            <w:r>
              <w:rPr>
                <w:rFonts w:hint="eastAsia"/>
              </w:rPr>
              <w:t>0.25%</w:t>
            </w:r>
          </w:p>
        </w:tc>
        <w:tc>
          <w:tcPr>
            <w:tcW w:w="1799" w:type="dxa"/>
            <w:vAlign w:val="center"/>
          </w:tcPr>
          <w:p>
            <w:pPr>
              <w:widowControl/>
              <w:spacing w:line="360" w:lineRule="auto"/>
              <w:jc w:val="center"/>
            </w:pPr>
            <w:r>
              <w:rPr>
                <w:rFonts w:hint="eastAsia"/>
              </w:rPr>
              <w:t>0.1%</w:t>
            </w:r>
          </w:p>
        </w:tc>
        <w:tc>
          <w:tcPr>
            <w:tcW w:w="1799" w:type="dxa"/>
            <w:vAlign w:val="center"/>
          </w:tcPr>
          <w:p>
            <w:pPr>
              <w:widowControl/>
              <w:spacing w:line="360" w:lineRule="auto"/>
              <w:jc w:val="center"/>
            </w:pPr>
            <w:r>
              <w:rPr>
                <w:rFonts w:hint="eastAsia"/>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1亿元（含）-5亿元</w:t>
            </w:r>
          </w:p>
        </w:tc>
        <w:tc>
          <w:tcPr>
            <w:tcW w:w="1799" w:type="dxa"/>
            <w:vAlign w:val="center"/>
          </w:tcPr>
          <w:p>
            <w:pPr>
              <w:widowControl/>
              <w:spacing w:line="360" w:lineRule="auto"/>
              <w:jc w:val="center"/>
            </w:pPr>
            <w:r>
              <w:rPr>
                <w:rFonts w:hint="eastAsia"/>
              </w:rPr>
              <w:t>0.05%</w:t>
            </w:r>
          </w:p>
        </w:tc>
        <w:tc>
          <w:tcPr>
            <w:tcW w:w="1799" w:type="dxa"/>
            <w:vAlign w:val="center"/>
          </w:tcPr>
          <w:p>
            <w:pPr>
              <w:widowControl/>
              <w:spacing w:line="360" w:lineRule="auto"/>
              <w:jc w:val="center"/>
            </w:pPr>
            <w:r>
              <w:rPr>
                <w:rFonts w:hint="eastAsia"/>
              </w:rPr>
              <w:t>0.05%</w:t>
            </w:r>
          </w:p>
        </w:tc>
        <w:tc>
          <w:tcPr>
            <w:tcW w:w="1799" w:type="dxa"/>
            <w:vAlign w:val="center"/>
          </w:tcPr>
          <w:p>
            <w:pPr>
              <w:widowControl/>
              <w:spacing w:line="360" w:lineRule="auto"/>
              <w:jc w:val="center"/>
            </w:pPr>
            <w:r>
              <w:rPr>
                <w:rFonts w:hint="eastAsia"/>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5亿元（含）-10亿元</w:t>
            </w:r>
          </w:p>
        </w:tc>
        <w:tc>
          <w:tcPr>
            <w:tcW w:w="1799" w:type="dxa"/>
            <w:vAlign w:val="center"/>
          </w:tcPr>
          <w:p>
            <w:pPr>
              <w:widowControl/>
              <w:spacing w:line="360" w:lineRule="auto"/>
              <w:jc w:val="center"/>
            </w:pPr>
            <w:r>
              <w:rPr>
                <w:rFonts w:hint="eastAsia"/>
              </w:rPr>
              <w:t>0.035%</w:t>
            </w:r>
          </w:p>
        </w:tc>
        <w:tc>
          <w:tcPr>
            <w:tcW w:w="1799" w:type="dxa"/>
            <w:vAlign w:val="center"/>
          </w:tcPr>
          <w:p>
            <w:pPr>
              <w:widowControl/>
              <w:spacing w:line="360" w:lineRule="auto"/>
              <w:jc w:val="center"/>
            </w:pPr>
            <w:r>
              <w:rPr>
                <w:rFonts w:hint="eastAsia"/>
              </w:rPr>
              <w:t>0.035%</w:t>
            </w:r>
          </w:p>
        </w:tc>
        <w:tc>
          <w:tcPr>
            <w:tcW w:w="1799" w:type="dxa"/>
            <w:vAlign w:val="center"/>
          </w:tcPr>
          <w:p>
            <w:pPr>
              <w:widowControl/>
              <w:spacing w:line="360" w:lineRule="auto"/>
              <w:jc w:val="center"/>
            </w:pPr>
            <w:r>
              <w:rPr>
                <w:rFonts w:hint="eastAsia"/>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pPr>
              <w:widowControl/>
              <w:spacing w:line="360" w:lineRule="auto"/>
              <w:jc w:val="center"/>
            </w:pPr>
            <w:r>
              <w:rPr>
                <w:rFonts w:hint="eastAsia"/>
              </w:rPr>
              <w:t>10亿元（含）-50亿元</w:t>
            </w:r>
          </w:p>
        </w:tc>
        <w:tc>
          <w:tcPr>
            <w:tcW w:w="1799" w:type="dxa"/>
            <w:vAlign w:val="center"/>
          </w:tcPr>
          <w:p>
            <w:pPr>
              <w:widowControl/>
              <w:spacing w:line="360" w:lineRule="auto"/>
              <w:jc w:val="center"/>
            </w:pPr>
            <w:r>
              <w:rPr>
                <w:rFonts w:hint="eastAsia"/>
              </w:rPr>
              <w:t>0.008%</w:t>
            </w:r>
          </w:p>
        </w:tc>
        <w:tc>
          <w:tcPr>
            <w:tcW w:w="1799" w:type="dxa"/>
            <w:vAlign w:val="center"/>
          </w:tcPr>
          <w:p>
            <w:pPr>
              <w:widowControl/>
              <w:spacing w:line="360" w:lineRule="auto"/>
              <w:jc w:val="center"/>
            </w:pPr>
            <w:r>
              <w:rPr>
                <w:rFonts w:hint="eastAsia"/>
              </w:rPr>
              <w:t>0.008%</w:t>
            </w:r>
          </w:p>
        </w:tc>
        <w:tc>
          <w:tcPr>
            <w:tcW w:w="1799" w:type="dxa"/>
            <w:vAlign w:val="center"/>
          </w:tcPr>
          <w:p>
            <w:pPr>
              <w:widowControl/>
              <w:spacing w:line="360" w:lineRule="auto"/>
              <w:jc w:val="center"/>
            </w:pPr>
            <w:r>
              <w:rPr>
                <w:rFonts w:hint="eastAsia"/>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50亿元（含）-100亿元</w:t>
            </w:r>
          </w:p>
        </w:tc>
        <w:tc>
          <w:tcPr>
            <w:tcW w:w="1799" w:type="dxa"/>
            <w:vAlign w:val="center"/>
          </w:tcPr>
          <w:p>
            <w:pPr>
              <w:widowControl/>
              <w:spacing w:line="360" w:lineRule="auto"/>
              <w:jc w:val="center"/>
            </w:pPr>
            <w:r>
              <w:rPr>
                <w:rFonts w:hint="eastAsia"/>
              </w:rPr>
              <w:t>0.006%</w:t>
            </w:r>
          </w:p>
        </w:tc>
        <w:tc>
          <w:tcPr>
            <w:tcW w:w="1799" w:type="dxa"/>
            <w:vAlign w:val="center"/>
          </w:tcPr>
          <w:p>
            <w:pPr>
              <w:widowControl/>
              <w:spacing w:line="360" w:lineRule="auto"/>
              <w:jc w:val="center"/>
            </w:pPr>
            <w:r>
              <w:rPr>
                <w:rFonts w:hint="eastAsia"/>
              </w:rPr>
              <w:t>0.006%</w:t>
            </w:r>
          </w:p>
        </w:tc>
        <w:tc>
          <w:tcPr>
            <w:tcW w:w="1799" w:type="dxa"/>
            <w:vAlign w:val="center"/>
          </w:tcPr>
          <w:p>
            <w:pPr>
              <w:widowControl/>
              <w:spacing w:line="360" w:lineRule="auto"/>
              <w:jc w:val="center"/>
            </w:pPr>
            <w:r>
              <w:rPr>
                <w:rFonts w:hint="eastAsia"/>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pPr>
            <w:r>
              <w:rPr>
                <w:rFonts w:hint="eastAsia"/>
              </w:rPr>
              <w:t>100亿元（含）以上</w:t>
            </w:r>
          </w:p>
        </w:tc>
        <w:tc>
          <w:tcPr>
            <w:tcW w:w="1799" w:type="dxa"/>
            <w:vAlign w:val="center"/>
          </w:tcPr>
          <w:p>
            <w:pPr>
              <w:widowControl/>
              <w:spacing w:line="360" w:lineRule="auto"/>
              <w:jc w:val="center"/>
            </w:pPr>
            <w:r>
              <w:rPr>
                <w:rFonts w:hint="eastAsia"/>
              </w:rPr>
              <w:t>0.004%</w:t>
            </w:r>
          </w:p>
        </w:tc>
        <w:tc>
          <w:tcPr>
            <w:tcW w:w="1799" w:type="dxa"/>
            <w:vAlign w:val="center"/>
          </w:tcPr>
          <w:p>
            <w:pPr>
              <w:widowControl/>
              <w:spacing w:line="360" w:lineRule="auto"/>
              <w:jc w:val="center"/>
            </w:pPr>
            <w:r>
              <w:rPr>
                <w:rFonts w:hint="eastAsia"/>
              </w:rPr>
              <w:t>0.004%</w:t>
            </w:r>
          </w:p>
        </w:tc>
        <w:tc>
          <w:tcPr>
            <w:tcW w:w="1799" w:type="dxa"/>
            <w:vAlign w:val="center"/>
          </w:tcPr>
          <w:p>
            <w:pPr>
              <w:widowControl/>
              <w:spacing w:line="360" w:lineRule="auto"/>
              <w:jc w:val="center"/>
            </w:pPr>
            <w:r>
              <w:rPr>
                <w:rFonts w:hint="eastAsia"/>
              </w:rPr>
              <w:t>0.004%</w:t>
            </w:r>
          </w:p>
        </w:tc>
      </w:tr>
    </w:tbl>
    <w:p>
      <w:pPr>
        <w:ind w:firstLine="420" w:firstLineChars="200"/>
      </w:pPr>
      <w:r>
        <w:rPr>
          <w:rFonts w:hint="eastAsia"/>
        </w:rPr>
        <w:t>备注：1.每宗交易代理服务费不低于 5000 元；</w:t>
      </w:r>
    </w:p>
    <w:p>
      <w:pPr>
        <w:ind w:firstLine="420" w:firstLineChars="200"/>
      </w:pPr>
      <w:r>
        <w:rPr>
          <w:rFonts w:hint="eastAsia"/>
        </w:rPr>
        <w:t>2.对于报总价的采购类项目，中标（成交）价为中标（成交）金额；对于报单价、折扣或费率的采购类项目，中标（成交）价为预算上限金额或经委托方与代理方确定的支付上限金额；</w:t>
      </w:r>
    </w:p>
    <w:p>
      <w:pPr>
        <w:ind w:firstLine="420" w:firstLineChars="200"/>
      </w:pPr>
      <w:r>
        <w:rPr>
          <w:rFonts w:hint="eastAsia"/>
        </w:rPr>
        <w:t>如某服务采购项目，中标（成交）金额为600万元，总共交纳的代理服务费的具体计算过程如下：</w:t>
      </w:r>
    </w:p>
    <w:p>
      <w:pPr>
        <w:ind w:firstLine="420" w:firstLineChars="200"/>
      </w:pPr>
      <w:r>
        <w:rPr>
          <w:rFonts w:hint="eastAsia"/>
        </w:rPr>
        <w:t>标准代理服务费＝（100万元以下部分的代理服务费）+（100万～500万元部分的代理服务费）+（500万～600万元部分的代理服务费）＝100万元×1.5%+（500-100）万元×0.8%+（600-500）万元×0.45%=1.5万元+3.2万元+0.45万元＝5.15万元</w:t>
      </w:r>
    </w:p>
    <w:p>
      <w:pPr>
        <w:ind w:firstLine="420" w:firstLineChars="200"/>
      </w:pPr>
      <w:r>
        <w:rPr>
          <w:rFonts w:hint="eastAsia"/>
        </w:rPr>
        <w:t>（3）中标（成交）供应商中标（成交）后，必须按规定采用银行对公转账方式向深圳交易集团有限公司直接交纳代理服务费，交纳信息及要求按照缴款（付款）通知书执行。</w:t>
      </w:r>
    </w:p>
    <w:p>
      <w:pPr>
        <w:pStyle w:val="35"/>
        <w:rPr>
          <w:b/>
        </w:rPr>
      </w:pPr>
    </w:p>
    <w:p>
      <w:pPr>
        <w:rPr>
          <w:b/>
        </w:rPr>
        <w:sectPr>
          <w:pgSz w:w="11907" w:h="16840"/>
          <w:pgMar w:top="1440" w:right="1797" w:bottom="1440" w:left="1797" w:header="851" w:footer="992" w:gutter="0"/>
          <w:cols w:space="425" w:num="1"/>
          <w:titlePg/>
          <w:docGrid w:linePitch="462" w:charSpace="0"/>
        </w:sectPr>
      </w:pPr>
    </w:p>
    <w:p>
      <w:pPr>
        <w:pStyle w:val="6"/>
        <w:rPr>
          <w:sz w:val="28"/>
          <w:szCs w:val="28"/>
        </w:rPr>
      </w:pPr>
      <w:bookmarkStart w:id="36" w:name="_Toc128884461"/>
      <w:r>
        <w:rPr>
          <w:rFonts w:hint="eastAsia"/>
          <w:sz w:val="28"/>
          <w:szCs w:val="28"/>
        </w:rPr>
        <w:t>第三章 用户需求书</w:t>
      </w:r>
    </w:p>
    <w:p>
      <w:pPr>
        <w:pStyle w:val="6"/>
        <w:spacing w:before="120" w:beforeLines="50" w:after="120" w:afterLines="50"/>
        <w:rPr>
          <w:szCs w:val="24"/>
        </w:rPr>
      </w:pPr>
      <w:r>
        <w:rPr>
          <w:rFonts w:hint="eastAsia"/>
          <w:szCs w:val="24"/>
        </w:rPr>
        <w:t>一、项目基本信息</w:t>
      </w:r>
    </w:p>
    <w:p>
      <w:pPr>
        <w:rPr>
          <w:rFonts w:ascii="宋体" w:hAnsi="宋体"/>
          <w:b/>
          <w:color w:val="FF0000"/>
          <w:szCs w:val="21"/>
        </w:rPr>
      </w:pPr>
    </w:p>
    <w:tbl>
      <w:tblPr>
        <w:tblStyle w:val="43"/>
        <w:tblpPr w:leftFromText="180" w:rightFromText="180" w:vertAnchor="text" w:horzAnchor="margin" w:tblpY="17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1"/>
        <w:gridCol w:w="2560"/>
        <w:gridCol w:w="3113"/>
        <w:gridCol w:w="2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317" w:type="pct"/>
            <w:vAlign w:val="center"/>
          </w:tcPr>
          <w:p>
            <w:pPr>
              <w:jc w:val="center"/>
              <w:rPr>
                <w:bCs/>
                <w:szCs w:val="21"/>
              </w:rPr>
            </w:pPr>
            <w:r>
              <w:rPr>
                <w:rFonts w:hint="eastAsia"/>
                <w:bCs/>
                <w:szCs w:val="21"/>
              </w:rPr>
              <w:t>序号</w:t>
            </w:r>
          </w:p>
        </w:tc>
        <w:tc>
          <w:tcPr>
            <w:tcW w:w="1501" w:type="pct"/>
            <w:vAlign w:val="center"/>
          </w:tcPr>
          <w:p>
            <w:pPr>
              <w:jc w:val="center"/>
              <w:rPr>
                <w:bCs/>
                <w:szCs w:val="21"/>
              </w:rPr>
            </w:pPr>
            <w:r>
              <w:rPr>
                <w:rFonts w:hint="eastAsia"/>
                <w:szCs w:val="21"/>
                <w:lang w:val="en-US" w:eastAsia="zh-CN"/>
              </w:rPr>
              <w:t>项目</w:t>
            </w:r>
            <w:r>
              <w:rPr>
                <w:rFonts w:hint="eastAsia"/>
                <w:szCs w:val="21"/>
              </w:rPr>
              <w:t>编号</w:t>
            </w:r>
          </w:p>
        </w:tc>
        <w:tc>
          <w:tcPr>
            <w:tcW w:w="1825" w:type="pct"/>
            <w:vAlign w:val="center"/>
          </w:tcPr>
          <w:p>
            <w:pPr>
              <w:jc w:val="center"/>
              <w:rPr>
                <w:bCs/>
                <w:szCs w:val="21"/>
              </w:rPr>
            </w:pPr>
            <w:r>
              <w:rPr>
                <w:rFonts w:hint="eastAsia"/>
                <w:bCs/>
                <w:szCs w:val="21"/>
              </w:rPr>
              <w:t>采购项目名称</w:t>
            </w:r>
          </w:p>
        </w:tc>
        <w:tc>
          <w:tcPr>
            <w:tcW w:w="1355" w:type="pct"/>
            <w:vAlign w:val="center"/>
          </w:tcPr>
          <w:p>
            <w:pPr>
              <w:jc w:val="center"/>
              <w:rPr>
                <w:b/>
                <w:bCs/>
                <w:color w:val="FF0000"/>
                <w:szCs w:val="21"/>
              </w:rPr>
            </w:pPr>
            <w:r>
              <w:rPr>
                <w:rFonts w:hint="eastAsia"/>
                <w:b/>
                <w:bCs/>
                <w:color w:val="FF0000"/>
                <w:szCs w:val="21"/>
              </w:rPr>
              <w:t>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317" w:type="pct"/>
            <w:vAlign w:val="center"/>
          </w:tcPr>
          <w:p>
            <w:pPr>
              <w:jc w:val="center"/>
              <w:rPr>
                <w:bCs/>
                <w:color w:val="FF0000"/>
                <w:szCs w:val="21"/>
              </w:rPr>
            </w:pPr>
            <w:r>
              <w:rPr>
                <w:rFonts w:hint="eastAsia"/>
                <w:bCs/>
                <w:color w:val="FF0000"/>
                <w:szCs w:val="21"/>
              </w:rPr>
              <w:t>1</w:t>
            </w:r>
          </w:p>
        </w:tc>
        <w:tc>
          <w:tcPr>
            <w:tcW w:w="1501" w:type="pct"/>
            <w:vAlign w:val="center"/>
          </w:tcPr>
          <w:p>
            <w:pPr>
              <w:jc w:val="center"/>
              <w:rPr>
                <w:bCs/>
                <w:color w:val="FF0000"/>
                <w:szCs w:val="21"/>
              </w:rPr>
            </w:pPr>
            <w:r>
              <w:rPr>
                <w:rFonts w:hint="eastAsia"/>
                <w:bCs/>
                <w:color w:val="FF0000"/>
                <w:szCs w:val="21"/>
              </w:rPr>
              <w:t>PLAN-</w:t>
            </w:r>
            <w:r>
              <w:rPr>
                <w:bCs/>
                <w:color w:val="FF0000"/>
                <w:szCs w:val="21"/>
              </w:rPr>
              <w:t>******</w:t>
            </w:r>
          </w:p>
        </w:tc>
        <w:tc>
          <w:tcPr>
            <w:tcW w:w="1825" w:type="pct"/>
            <w:vAlign w:val="center"/>
          </w:tcPr>
          <w:p>
            <w:pPr>
              <w:jc w:val="center"/>
              <w:rPr>
                <w:b/>
                <w:bCs/>
                <w:color w:val="FF0000"/>
                <w:szCs w:val="21"/>
              </w:rPr>
            </w:pPr>
            <w:r>
              <w:rPr>
                <w:rFonts w:hint="eastAsia"/>
                <w:b/>
                <w:bCs/>
                <w:color w:val="FF0000"/>
                <w:szCs w:val="21"/>
              </w:rPr>
              <w:t>盐田区数字化城管业务通讯服务项目</w:t>
            </w:r>
          </w:p>
        </w:tc>
        <w:tc>
          <w:tcPr>
            <w:tcW w:w="1355" w:type="pct"/>
            <w:vAlign w:val="center"/>
          </w:tcPr>
          <w:p>
            <w:pPr>
              <w:jc w:val="center"/>
              <w:rPr>
                <w:bCs/>
                <w:color w:val="FF0000"/>
                <w:szCs w:val="21"/>
              </w:rPr>
            </w:pPr>
            <w:r>
              <w:rPr>
                <w:rFonts w:hint="eastAsia"/>
                <w:bCs/>
                <w:color w:val="FF0000"/>
                <w:szCs w:val="21"/>
              </w:rPr>
              <w:t>164848.00</w:t>
            </w:r>
          </w:p>
        </w:tc>
      </w:tr>
    </w:tbl>
    <w:p>
      <w:pPr>
        <w:rPr>
          <w:rFonts w:ascii="宋体" w:hAnsi="宋体"/>
          <w:b/>
          <w:color w:val="FF0000"/>
          <w:szCs w:val="21"/>
        </w:rPr>
      </w:pPr>
    </w:p>
    <w:p>
      <w:pPr>
        <w:pStyle w:val="6"/>
        <w:spacing w:before="120" w:beforeLines="50" w:after="120" w:afterLines="50"/>
        <w:rPr>
          <w:szCs w:val="24"/>
        </w:rPr>
      </w:pPr>
      <w:bookmarkStart w:id="37" w:name="_Hlk235549799"/>
      <w:r>
        <w:rPr>
          <w:rFonts w:hint="eastAsia"/>
          <w:szCs w:val="24"/>
        </w:rPr>
        <w:t>二、项目概况</w:t>
      </w:r>
    </w:p>
    <w:bookmarkEnd w:id="37"/>
    <w:p>
      <w:pPr>
        <w:ind w:firstLine="480" w:firstLineChars="200"/>
        <w:rPr>
          <w:sz w:val="24"/>
        </w:rPr>
      </w:pPr>
      <w:r>
        <w:rPr>
          <w:rFonts w:hint="eastAsia"/>
          <w:sz w:val="24"/>
        </w:rPr>
        <w:t xml:space="preserve"> 为保障数字化城管业务的正常开展，通过采购符合业务需求的5G/4G无线通信套餐，满足数字化城管信息采集终端在案件上报核查、图片传输、语音通话、短信收发等环节的通信需求，保障辖区城市精细化管理工作的有序推进。  </w:t>
      </w:r>
    </w:p>
    <w:p>
      <w:pPr>
        <w:ind w:firstLine="480" w:firstLineChars="200"/>
        <w:rPr>
          <w:sz w:val="24"/>
        </w:rPr>
      </w:pPr>
    </w:p>
    <w:p>
      <w:pPr>
        <w:rPr>
          <w:rFonts w:ascii="宋体" w:hAnsi="宋体"/>
          <w:b/>
          <w:color w:val="FF0000"/>
          <w:szCs w:val="21"/>
        </w:rPr>
      </w:pPr>
    </w:p>
    <w:p>
      <w:pPr>
        <w:pStyle w:val="6"/>
        <w:spacing w:before="120" w:beforeLines="50" w:after="120" w:afterLines="50"/>
        <w:rPr>
          <w:szCs w:val="24"/>
        </w:rPr>
      </w:pPr>
      <w:r>
        <w:rPr>
          <w:rFonts w:hint="eastAsia"/>
          <w:szCs w:val="24"/>
        </w:rPr>
        <w:t>三、</w:t>
      </w:r>
      <w:bookmarkStart w:id="38" w:name="_Hlk72073432"/>
      <w:r>
        <w:rPr>
          <w:rFonts w:hint="eastAsia"/>
          <w:szCs w:val="24"/>
        </w:rPr>
        <w:t>服务需求明细</w:t>
      </w:r>
      <w:bookmarkEnd w:id="38"/>
    </w:p>
    <w:tbl>
      <w:tblPr>
        <w:tblStyle w:val="4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8"/>
        <w:gridCol w:w="1156"/>
        <w:gridCol w:w="2579"/>
        <w:gridCol w:w="898"/>
        <w:gridCol w:w="820"/>
        <w:gridCol w:w="1400"/>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52" w:type="pct"/>
            <w:vAlign w:val="center"/>
          </w:tcPr>
          <w:p>
            <w:pPr>
              <w:jc w:val="center"/>
              <w:rPr>
                <w:bCs/>
                <w:szCs w:val="21"/>
              </w:rPr>
            </w:pPr>
            <w:r>
              <w:rPr>
                <w:rFonts w:hint="eastAsia"/>
                <w:bCs/>
                <w:szCs w:val="21"/>
              </w:rPr>
              <w:t>序号</w:t>
            </w:r>
          </w:p>
        </w:tc>
        <w:tc>
          <w:tcPr>
            <w:tcW w:w="674" w:type="pct"/>
            <w:vAlign w:val="center"/>
          </w:tcPr>
          <w:p>
            <w:pPr>
              <w:jc w:val="center"/>
              <w:rPr>
                <w:bCs/>
                <w:szCs w:val="21"/>
              </w:rPr>
            </w:pPr>
            <w:r>
              <w:rPr>
                <w:rFonts w:hint="eastAsia"/>
                <w:szCs w:val="21"/>
                <w:lang w:val="en-US" w:eastAsia="zh-CN"/>
              </w:rPr>
              <w:t>项目</w:t>
            </w:r>
            <w:r>
              <w:rPr>
                <w:rFonts w:hint="eastAsia"/>
                <w:szCs w:val="21"/>
              </w:rPr>
              <w:t>编号</w:t>
            </w:r>
          </w:p>
        </w:tc>
        <w:tc>
          <w:tcPr>
            <w:tcW w:w="1512" w:type="pct"/>
            <w:vAlign w:val="center"/>
          </w:tcPr>
          <w:p>
            <w:pPr>
              <w:jc w:val="center"/>
              <w:rPr>
                <w:bCs/>
                <w:szCs w:val="21"/>
              </w:rPr>
            </w:pPr>
            <w:r>
              <w:rPr>
                <w:rFonts w:hint="eastAsia"/>
                <w:bCs/>
                <w:szCs w:val="21"/>
              </w:rPr>
              <w:t>服务需求名称（标的名称）</w:t>
            </w:r>
          </w:p>
        </w:tc>
        <w:tc>
          <w:tcPr>
            <w:tcW w:w="527" w:type="pct"/>
            <w:vAlign w:val="center"/>
          </w:tcPr>
          <w:p>
            <w:pPr>
              <w:jc w:val="center"/>
              <w:rPr>
                <w:bCs/>
                <w:szCs w:val="21"/>
              </w:rPr>
            </w:pPr>
            <w:r>
              <w:rPr>
                <w:rFonts w:hint="eastAsia"/>
                <w:bCs/>
                <w:szCs w:val="21"/>
              </w:rPr>
              <w:t>数量</w:t>
            </w:r>
          </w:p>
        </w:tc>
        <w:tc>
          <w:tcPr>
            <w:tcW w:w="481" w:type="pct"/>
            <w:vAlign w:val="center"/>
          </w:tcPr>
          <w:p>
            <w:pPr>
              <w:jc w:val="center"/>
              <w:rPr>
                <w:bCs/>
                <w:szCs w:val="21"/>
              </w:rPr>
            </w:pPr>
            <w:r>
              <w:rPr>
                <w:rFonts w:hint="eastAsia"/>
                <w:bCs/>
                <w:szCs w:val="21"/>
              </w:rPr>
              <w:t>单位</w:t>
            </w:r>
          </w:p>
        </w:tc>
        <w:tc>
          <w:tcPr>
            <w:tcW w:w="821" w:type="pct"/>
            <w:vAlign w:val="center"/>
          </w:tcPr>
          <w:p>
            <w:pPr>
              <w:jc w:val="center"/>
              <w:rPr>
                <w:bCs/>
                <w:szCs w:val="21"/>
              </w:rPr>
            </w:pPr>
            <w:r>
              <w:rPr>
                <w:rFonts w:hint="eastAsia"/>
                <w:b/>
                <w:bCs/>
                <w:color w:val="FF0000"/>
                <w:szCs w:val="21"/>
              </w:rPr>
              <w:t>是否专门面向中小企业</w:t>
            </w:r>
          </w:p>
        </w:tc>
        <w:tc>
          <w:tcPr>
            <w:tcW w:w="729" w:type="pct"/>
            <w:vAlign w:val="center"/>
          </w:tcPr>
          <w:p>
            <w:pPr>
              <w:jc w:val="center"/>
              <w:rPr>
                <w:b/>
                <w:bCs/>
                <w:color w:val="FF0000"/>
                <w:szCs w:val="21"/>
              </w:rPr>
            </w:pPr>
            <w:r>
              <w:rPr>
                <w:rFonts w:hint="eastAsia"/>
                <w:b/>
                <w:bCs/>
                <w:color w:val="FF0000"/>
                <w:szCs w:val="21"/>
              </w:rPr>
              <w:t>标的所属行业</w:t>
            </w:r>
            <w:r>
              <w:rPr>
                <w:rFonts w:hint="eastAsia"/>
                <w:b/>
                <w:color w:val="FF000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52" w:type="pct"/>
            <w:vAlign w:val="center"/>
          </w:tcPr>
          <w:p>
            <w:pPr>
              <w:jc w:val="center"/>
              <w:rPr>
                <w:bCs/>
                <w:szCs w:val="21"/>
              </w:rPr>
            </w:pPr>
            <w:r>
              <w:rPr>
                <w:rFonts w:hint="eastAsia"/>
                <w:bCs/>
                <w:szCs w:val="21"/>
              </w:rPr>
              <w:t>1</w:t>
            </w:r>
          </w:p>
        </w:tc>
        <w:tc>
          <w:tcPr>
            <w:tcW w:w="674" w:type="pct"/>
            <w:vAlign w:val="center"/>
          </w:tcPr>
          <w:p>
            <w:pPr>
              <w:jc w:val="center"/>
              <w:rPr>
                <w:bCs/>
                <w:szCs w:val="21"/>
              </w:rPr>
            </w:pPr>
            <w:r>
              <w:rPr>
                <w:rFonts w:hint="eastAsia"/>
                <w:bCs/>
                <w:szCs w:val="21"/>
              </w:rPr>
              <w:t>PLAN-</w:t>
            </w:r>
            <w:r>
              <w:rPr>
                <w:bCs/>
                <w:szCs w:val="21"/>
              </w:rPr>
              <w:t>***</w:t>
            </w:r>
          </w:p>
        </w:tc>
        <w:tc>
          <w:tcPr>
            <w:tcW w:w="1512" w:type="pct"/>
            <w:vAlign w:val="center"/>
          </w:tcPr>
          <w:p>
            <w:pPr>
              <w:jc w:val="center"/>
              <w:rPr>
                <w:rFonts w:hint="default"/>
                <w:bCs/>
                <w:szCs w:val="21"/>
              </w:rPr>
            </w:pPr>
            <w:r>
              <w:rPr>
                <w:rFonts w:hint="default"/>
                <w:bCs/>
                <w:szCs w:val="21"/>
              </w:rPr>
              <w:t>盐田区数字化城管业务通讯服务</w:t>
            </w:r>
          </w:p>
        </w:tc>
        <w:tc>
          <w:tcPr>
            <w:tcW w:w="527" w:type="pct"/>
            <w:vAlign w:val="center"/>
          </w:tcPr>
          <w:p>
            <w:pPr>
              <w:jc w:val="center"/>
              <w:rPr>
                <w:rFonts w:hint="eastAsia" w:eastAsia="宋体"/>
                <w:bCs/>
                <w:szCs w:val="21"/>
                <w:lang w:eastAsia="zh-CN"/>
              </w:rPr>
            </w:pPr>
            <w:r>
              <w:rPr>
                <w:rFonts w:hint="eastAsia"/>
                <w:lang w:val="en-US" w:eastAsia="zh-CN"/>
              </w:rPr>
              <w:t>1</w:t>
            </w:r>
          </w:p>
        </w:tc>
        <w:tc>
          <w:tcPr>
            <w:tcW w:w="481" w:type="pct"/>
            <w:vAlign w:val="center"/>
          </w:tcPr>
          <w:p>
            <w:pPr>
              <w:jc w:val="center"/>
              <w:rPr>
                <w:rFonts w:hint="eastAsia" w:eastAsia="宋体"/>
                <w:bCs/>
                <w:szCs w:val="21"/>
                <w:lang w:eastAsia="zh-CN"/>
              </w:rPr>
            </w:pPr>
            <w:r>
              <w:rPr>
                <w:rFonts w:hint="eastAsia"/>
                <w:bCs/>
                <w:szCs w:val="21"/>
                <w:lang w:eastAsia="zh-CN"/>
              </w:rPr>
              <w:t>项</w:t>
            </w:r>
          </w:p>
        </w:tc>
        <w:tc>
          <w:tcPr>
            <w:tcW w:w="821" w:type="pct"/>
            <w:vAlign w:val="center"/>
          </w:tcPr>
          <w:p>
            <w:pPr>
              <w:jc w:val="center"/>
              <w:rPr>
                <w:rFonts w:hint="eastAsia" w:eastAsia="宋体"/>
                <w:bCs/>
                <w:szCs w:val="21"/>
                <w:lang w:val="en-US" w:eastAsia="zh-CN"/>
              </w:rPr>
            </w:pPr>
            <w:r>
              <w:rPr>
                <w:rFonts w:hint="eastAsia"/>
                <w:bCs/>
                <w:szCs w:val="21"/>
                <w:lang w:val="en-US" w:eastAsia="zh-CN"/>
              </w:rPr>
              <w:t>否</w:t>
            </w:r>
          </w:p>
        </w:tc>
        <w:tc>
          <w:tcPr>
            <w:tcW w:w="729" w:type="pct"/>
            <w:vAlign w:val="center"/>
          </w:tcPr>
          <w:p>
            <w:pPr>
              <w:jc w:val="center"/>
              <w:rPr>
                <w:bCs/>
                <w:szCs w:val="21"/>
              </w:rPr>
            </w:pPr>
            <w:r>
              <w:rPr>
                <w:rFonts w:hint="eastAsia"/>
              </w:rPr>
              <w:t>信息传输业</w:t>
            </w:r>
          </w:p>
        </w:tc>
      </w:tr>
    </w:tbl>
    <w:p>
      <w:pPr>
        <w:jc w:val="center"/>
        <w:rPr>
          <w:bCs/>
          <w:szCs w:val="21"/>
        </w:rPr>
      </w:pPr>
    </w:p>
    <w:p>
      <w:pPr>
        <w:pStyle w:val="6"/>
        <w:spacing w:before="120" w:beforeLines="50" w:after="120" w:afterLines="50"/>
        <w:rPr>
          <w:szCs w:val="24"/>
        </w:rPr>
      </w:pPr>
      <w:r>
        <w:rPr>
          <w:rFonts w:hint="eastAsia"/>
          <w:szCs w:val="24"/>
        </w:rPr>
        <w:t>四、实质性条款</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7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7795" w:type="dxa"/>
          </w:tcPr>
          <w:p>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adjustRightInd w:val="0"/>
              <w:snapToGrid w:val="0"/>
              <w:spacing w:line="360" w:lineRule="auto"/>
              <w:rPr>
                <w:rFonts w:ascii="宋体" w:hAnsi="宋体"/>
                <w:kern w:val="0"/>
                <w:szCs w:val="21"/>
              </w:rPr>
            </w:pPr>
            <w:r>
              <w:rPr>
                <w:rFonts w:hint="eastAsia" w:ascii="宋体" w:hAnsi="宋体"/>
                <w:kern w:val="0"/>
                <w:szCs w:val="21"/>
              </w:rPr>
              <w:t>1</w:t>
            </w:r>
          </w:p>
        </w:tc>
        <w:tc>
          <w:tcPr>
            <w:tcW w:w="7795" w:type="dxa"/>
          </w:tcPr>
          <w:p>
            <w:pPr>
              <w:rPr>
                <w:rFonts w:hAnsi="宋体" w:eastAsiaTheme="minorEastAsia"/>
                <w:kern w:val="0"/>
                <w:szCs w:val="21"/>
              </w:rPr>
            </w:pPr>
            <w:r>
              <w:rPr>
                <w:rFonts w:hint="eastAsia"/>
                <w:color w:val="FF0000"/>
                <w:szCs w:val="21"/>
              </w:rPr>
              <w:t>★</w:t>
            </w:r>
            <w:r>
              <w:rPr>
                <w:rFonts w:hint="eastAsia"/>
                <w:color w:val="FF0000"/>
              </w:rPr>
              <w:t>完全满足本项目服务期限的要求。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adjustRightInd w:val="0"/>
              <w:snapToGrid w:val="0"/>
              <w:spacing w:line="360" w:lineRule="auto"/>
              <w:rPr>
                <w:rFonts w:ascii="宋体" w:hAnsi="宋体"/>
                <w:kern w:val="0"/>
                <w:szCs w:val="21"/>
              </w:rPr>
            </w:pPr>
            <w:r>
              <w:rPr>
                <w:rFonts w:hint="eastAsia" w:ascii="宋体" w:hAnsi="宋体"/>
                <w:kern w:val="0"/>
                <w:szCs w:val="21"/>
              </w:rPr>
              <w:t>2</w:t>
            </w:r>
          </w:p>
        </w:tc>
        <w:tc>
          <w:tcPr>
            <w:tcW w:w="7795" w:type="dxa"/>
          </w:tcPr>
          <w:p>
            <w:pPr>
              <w:rPr>
                <w:rFonts w:asciiTheme="minorEastAsia" w:hAnsiTheme="minorEastAsia" w:eastAsiaTheme="minorEastAsia"/>
              </w:rPr>
            </w:pPr>
            <w:r>
              <w:rPr>
                <w:rFonts w:hint="eastAsia"/>
                <w:color w:val="FF0000"/>
                <w:szCs w:val="21"/>
              </w:rPr>
              <w:t>★</w:t>
            </w:r>
            <w:r>
              <w:rPr>
                <w:rFonts w:hint="eastAsia" w:ascii="宋体" w:hAnsi="宋体"/>
                <w:color w:val="FF0000"/>
              </w:rPr>
              <w:t>完全满足本项目其他★标记条款的要求。</w:t>
            </w:r>
          </w:p>
        </w:tc>
      </w:tr>
    </w:tbl>
    <w:p>
      <w:pPr>
        <w:rPr>
          <w:b/>
          <w:bCs/>
          <w:sz w:val="24"/>
        </w:rPr>
      </w:pPr>
      <w:r>
        <w:rPr>
          <w:rFonts w:hint="eastAsia"/>
          <w:b/>
          <w:bCs/>
          <w:sz w:val="24"/>
        </w:rPr>
        <w:t>注：上表所列内容为不可负偏离条款，负偏离将视为未实质性满足招标文件要求作投标无效处理。</w:t>
      </w:r>
      <w:bookmarkEnd w:id="36"/>
    </w:p>
    <w:p>
      <w:pPr>
        <w:rPr>
          <w:b/>
          <w:bCs/>
          <w:sz w:val="24"/>
        </w:rPr>
      </w:pPr>
    </w:p>
    <w:p>
      <w:pPr>
        <w:pStyle w:val="6"/>
        <w:spacing w:before="120" w:beforeLines="50" w:after="120" w:afterLines="50"/>
        <w:rPr>
          <w:szCs w:val="24"/>
        </w:rPr>
      </w:pPr>
      <w:r>
        <w:rPr>
          <w:rFonts w:hint="eastAsia"/>
          <w:szCs w:val="24"/>
        </w:rPr>
        <w:t>五、技术要求</w:t>
      </w:r>
    </w:p>
    <w:p>
      <w:pPr>
        <w:rPr>
          <w:b/>
          <w:sz w:val="24"/>
        </w:rPr>
      </w:pPr>
    </w:p>
    <w:p>
      <w:pPr>
        <w:rPr>
          <w:b/>
          <w:sz w:val="24"/>
        </w:rPr>
      </w:pPr>
    </w:p>
    <w:p>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lang w:val="en-US" w:eastAsia="zh-CN"/>
        </w:rPr>
      </w:pPr>
      <w:r>
        <w:rPr>
          <w:rFonts w:hint="eastAsia" w:ascii="仿宋_GB2312" w:hAnsi="仿宋_GB2312" w:eastAsia="仿宋_GB2312" w:cs="仿宋_GB2312"/>
          <w:color w:val="FF0000"/>
          <w:sz w:val="32"/>
          <w:szCs w:val="32"/>
          <w:vertAlign w:val="baseline"/>
          <w:lang w:val="en-US" w:eastAsia="zh-CN"/>
        </w:rPr>
        <w:t>★</w:t>
      </w:r>
      <w:r>
        <w:rPr>
          <w:rFonts w:hint="default"/>
          <w:lang w:val="en-US" w:eastAsia="zh-CN"/>
        </w:rPr>
        <w:t>（一）项目服务内容及清单</w:t>
      </w:r>
    </w:p>
    <w:p>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lang w:val="en-US" w:eastAsia="zh-CN"/>
        </w:rPr>
      </w:pPr>
      <w:r>
        <w:rPr>
          <w:rFonts w:hint="default"/>
          <w:lang w:val="en-US" w:eastAsia="zh-CN"/>
        </w:rPr>
        <w:t>本项目采取租用供应商5G/4G无线通信网络套餐（包租月费、包流量、包通信语音通话、短信服务包）的包干方式。本项目采购清单如下：</w:t>
      </w:r>
    </w:p>
    <w:tbl>
      <w:tblPr>
        <w:tblStyle w:val="4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0"/>
        <w:gridCol w:w="1476"/>
        <w:gridCol w:w="1411"/>
        <w:gridCol w:w="1593"/>
        <w:gridCol w:w="3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516" w:type="pct"/>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序号</w:t>
            </w:r>
          </w:p>
        </w:tc>
        <w:tc>
          <w:tcPr>
            <w:tcW w:w="865" w:type="pct"/>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套餐名称</w:t>
            </w:r>
          </w:p>
        </w:tc>
        <w:tc>
          <w:tcPr>
            <w:tcW w:w="827" w:type="pct"/>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数量（套）</w:t>
            </w:r>
          </w:p>
        </w:tc>
        <w:tc>
          <w:tcPr>
            <w:tcW w:w="934" w:type="pct"/>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服务周期（月）</w:t>
            </w:r>
          </w:p>
        </w:tc>
        <w:tc>
          <w:tcPr>
            <w:tcW w:w="1856" w:type="pct"/>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套餐包含内容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516" w:type="pct"/>
            <w:vMerge w:val="restart"/>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1</w:t>
            </w:r>
          </w:p>
        </w:tc>
        <w:tc>
          <w:tcPr>
            <w:tcW w:w="865" w:type="pct"/>
            <w:vMerge w:val="restart"/>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畅享套餐</w:t>
            </w:r>
          </w:p>
        </w:tc>
        <w:tc>
          <w:tcPr>
            <w:tcW w:w="827" w:type="pct"/>
            <w:vMerge w:val="restart"/>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58</w:t>
            </w:r>
          </w:p>
        </w:tc>
        <w:tc>
          <w:tcPr>
            <w:tcW w:w="934" w:type="pct"/>
            <w:vMerge w:val="restart"/>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24</w:t>
            </w:r>
          </w:p>
        </w:tc>
        <w:tc>
          <w:tcPr>
            <w:tcW w:w="1856" w:type="pct"/>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含国内通话不少于1000分钟/月/号码，国内接听免费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trPr>
        <w:tc>
          <w:tcPr>
            <w:tcW w:w="516" w:type="pct"/>
            <w:vMerge w:val="continue"/>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p>
        </w:tc>
        <w:tc>
          <w:tcPr>
            <w:tcW w:w="865" w:type="pct"/>
            <w:vMerge w:val="continue"/>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p>
        </w:tc>
        <w:tc>
          <w:tcPr>
            <w:tcW w:w="827" w:type="pct"/>
            <w:vMerge w:val="continue"/>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p>
        </w:tc>
        <w:tc>
          <w:tcPr>
            <w:tcW w:w="934" w:type="pct"/>
            <w:vMerge w:val="continue"/>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p>
        </w:tc>
        <w:tc>
          <w:tcPr>
            <w:tcW w:w="1856" w:type="pct"/>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含国内流量不少于</w:t>
            </w:r>
            <w:r>
              <w:rPr>
                <w:rFonts w:hint="eastAsia" w:asciiTheme="minorEastAsia" w:hAnsiTheme="minorEastAsia" w:eastAsiaTheme="minorEastAsia" w:cstheme="minorEastAsia"/>
                <w:b w:val="0"/>
                <w:bCs w:val="0"/>
                <w:sz w:val="21"/>
                <w:szCs w:val="21"/>
                <w:vertAlign w:val="baseline"/>
                <w:lang w:eastAsia="zh-CN"/>
              </w:rPr>
              <w:t>8</w:t>
            </w:r>
            <w:r>
              <w:rPr>
                <w:rFonts w:hint="eastAsia" w:asciiTheme="minorEastAsia" w:hAnsiTheme="minorEastAsia" w:eastAsiaTheme="minorEastAsia" w:cstheme="minorEastAsia"/>
                <w:b w:val="0"/>
                <w:bCs w:val="0"/>
                <w:sz w:val="21"/>
                <w:szCs w:val="21"/>
                <w:vertAlign w:val="baseline"/>
                <w:lang w:val="en-US" w:eastAsia="zh-CN"/>
              </w:rPr>
              <w:t>0GB/月/号码（全国通用，不含定向流量）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516" w:type="pct"/>
            <w:vMerge w:val="continue"/>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p>
        </w:tc>
        <w:tc>
          <w:tcPr>
            <w:tcW w:w="865" w:type="pct"/>
            <w:vMerge w:val="continue"/>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p>
        </w:tc>
        <w:tc>
          <w:tcPr>
            <w:tcW w:w="827" w:type="pct"/>
            <w:vMerge w:val="continue"/>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p>
        </w:tc>
        <w:tc>
          <w:tcPr>
            <w:tcW w:w="934" w:type="pct"/>
            <w:vMerge w:val="continue"/>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p>
        </w:tc>
        <w:tc>
          <w:tcPr>
            <w:tcW w:w="1856" w:type="pct"/>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含国内短信不少于200条/月/号码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516" w:type="pct"/>
            <w:vMerge w:val="restart"/>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2</w:t>
            </w:r>
          </w:p>
        </w:tc>
        <w:tc>
          <w:tcPr>
            <w:tcW w:w="865" w:type="pct"/>
            <w:vMerge w:val="restart"/>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自定义套餐</w:t>
            </w:r>
          </w:p>
        </w:tc>
        <w:tc>
          <w:tcPr>
            <w:tcW w:w="827" w:type="pct"/>
            <w:vMerge w:val="restart"/>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6</w:t>
            </w:r>
          </w:p>
        </w:tc>
        <w:tc>
          <w:tcPr>
            <w:tcW w:w="934" w:type="pct"/>
            <w:vMerge w:val="restart"/>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24</w:t>
            </w:r>
          </w:p>
        </w:tc>
        <w:tc>
          <w:tcPr>
            <w:tcW w:w="1856" w:type="pct"/>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含国内通话不少于200分钟/月/号码，国内接听免费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516" w:type="pct"/>
            <w:vMerge w:val="continue"/>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p>
        </w:tc>
        <w:tc>
          <w:tcPr>
            <w:tcW w:w="865" w:type="pct"/>
            <w:vMerge w:val="continue"/>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p>
        </w:tc>
        <w:tc>
          <w:tcPr>
            <w:tcW w:w="827" w:type="pct"/>
            <w:vMerge w:val="continue"/>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p>
        </w:tc>
        <w:tc>
          <w:tcPr>
            <w:tcW w:w="934" w:type="pct"/>
            <w:vMerge w:val="continue"/>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p>
        </w:tc>
        <w:tc>
          <w:tcPr>
            <w:tcW w:w="1856" w:type="pct"/>
            <w:noWrap w:val="0"/>
            <w:vAlign w:val="center"/>
          </w:tcPr>
          <w:p>
            <w:pPr>
              <w:pStyle w:val="2"/>
              <w:jc w:val="center"/>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含国内流量不少于20GB/月/号码（全国通用，不含定向流量）</w:t>
            </w:r>
          </w:p>
        </w:tc>
      </w:tr>
    </w:tbl>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说明：1.“全国通用流量”指可在全国范围内（不含港澳台）任意场景下使用的流量，不限定特定应用程序或特定平台。</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2.“语音通话”含国内长途通话，不限定网内通话（即不限定为同一运营商用户之间的通话）。</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3.采购方临时提出的增量服务届时可采取在同等服务标准的基础上，另行签订协议或补充协议。</w:t>
      </w:r>
    </w:p>
    <w:p>
      <w:pP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 xml:space="preserve">    （二）项目管理要求</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1.项目交付要求</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（1）采购方提出具体采购需求后5个日历日内完成通信套餐办理，满足移动采集通信工作需要。</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（2）必须按照采购人要求保留或替换原有的部分移动号码，且投标人应在原通讯服务合同到期后确保数据流量、语音通话、短信服务等通信技术的正常使用，新旧合同对接期间产生的费用由投标人负责。</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3）如需携号转网，投标人应制定详细的携号转网实施方案，包括但不限于：携号转网实施时间计划、过渡期通信保障方案（转网期间须确保号码可接听、流量可用）、携号转网失败的应急回退机制。携号转网实施期间不得影响采购方业务工作的正常开展。</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（4）项目合同生效时，中标方必须完成采购方全部使用号码及套餐收费的梳理工作，不得产生乱扣费、错扣费、多扣费的情况，相应责任全部由中标方负责。</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2.项目服务管理要求</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（1）故障响应：</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①提供7×24小时技术咨询服务；</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②一般故障（单卡无法使用）：2小时内响应，24小时内解决；</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③重大故障（多卡或区域性信号中断）：1小时内响应，12小时内解决；</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④所有故障处理过程应有书面记录，并及时向采购方反馈处理进展。</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（2）备件服务：</w:t>
      </w:r>
    </w:p>
    <w:p>
      <w:pPr>
        <w:pStyle w:val="2"/>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sz w:val="21"/>
          <w:szCs w:val="21"/>
          <w:lang w:eastAsia="zh-CN"/>
        </w:rPr>
        <w:t xml:space="preserve">   </w:t>
      </w:r>
      <w:r>
        <w:rPr>
          <w:rFonts w:hint="eastAsia" w:asciiTheme="minorEastAsia" w:hAnsiTheme="minorEastAsia" w:eastAsiaTheme="minorEastAsia" w:cstheme="minorEastAsia"/>
          <w:b w:val="0"/>
          <w:bCs w:val="0"/>
          <w:sz w:val="21"/>
          <w:szCs w:val="21"/>
          <w:lang w:val="en-US" w:eastAsia="zh-CN"/>
        </w:rPr>
        <w:t>中标人应免费更换损坏的5G/4G套餐服务的SIM卡；</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SIM卡损坏后，中标人应在2个工作日内完成更换并恢复通信功能。</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（3）信号保障：</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①保障5G、4G无线网络信号及语音通话信号的覆盖能力；</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②针对招标方指定的5G、4G信号、语音通话信号薄弱区域进行信号覆盖补充，提供具体的实施方案和保障措施，确保采购方业务工作的正常有序开展；</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③信号覆盖补充的实施由中标人负责协调落实，相关费用由中标人承担。</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default" w:asciiTheme="minorEastAsia" w:hAnsiTheme="minorEastAsia" w:eastAsiaTheme="minorEastAsia" w:cstheme="minorEastAsia"/>
          <w:b w:val="0"/>
          <w:bCs w:val="0"/>
          <w:sz w:val="21"/>
          <w:szCs w:val="21"/>
          <w:lang w:eastAsia="zh-CN"/>
        </w:rPr>
        <w:t>（4）</w:t>
      </w:r>
      <w:r>
        <w:rPr>
          <w:rFonts w:hint="eastAsia" w:asciiTheme="minorEastAsia" w:hAnsiTheme="minorEastAsia" w:eastAsiaTheme="minorEastAsia" w:cstheme="minorEastAsia"/>
          <w:b w:val="0"/>
          <w:bCs w:val="0"/>
          <w:sz w:val="21"/>
          <w:szCs w:val="21"/>
          <w:lang w:val="en-US" w:eastAsia="zh-CN"/>
        </w:rPr>
        <w:t>定位服务</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中标人须配套提供SIM卡终端定位服务，满足采购人在日常管理中掌握终端位置的需求（包括但不限于实时查看定位、追溯历史轨迹等）。同时，中标人应建立完善的数据保护机制和访问权限管理措施，确保定位数据的传输与存储安全。</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 xml:space="preserve"> </w:t>
      </w:r>
      <w:r>
        <w:rPr>
          <w:rFonts w:hint="eastAsia" w:asciiTheme="minorEastAsia" w:hAnsiTheme="minorEastAsia" w:eastAsiaTheme="minorEastAsia" w:cstheme="minorEastAsia"/>
          <w:b w:val="0"/>
          <w:bCs w:val="0"/>
          <w:color w:val="FF0000"/>
          <w:sz w:val="21"/>
          <w:szCs w:val="21"/>
          <w:lang w:val="en-US" w:eastAsia="zh-CN"/>
        </w:rPr>
        <w:t>★（三）个人信息保护与数据安全要求</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鉴于本项目涉及采购方通信录、通信号码、通信记录等业务数据，且服务过程中涉及用户个人信息的收集与处理，依据《中华人民共和国个人信息保护法》《中华人民共和国数据安全法》《中华人民共和国网络安全法》等法律法规，中标人应执行下列要求：</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个人信息种类：姓名、手机号码、身份证、家庭住址等；中标人处理数据和个人信息的期限为：本项目服务期内；处理方式：仅限依法收集，不会进行存储、加工、转委托第三方处理及本合同约定的其他处理方式。</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中标人在提供通信服务时，应当要求用户提供真实身份信息并进行查验。用户不提供真实身份信息的，中标人不得为其提供相关服务。涉及号码携入的，中标人应按照实名制管理要求完成用户身份信息核验与变更登记。</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3.中标人及其工作人员对在提供服务过程中知悉的用户个人信息、通信内容等依法负有保密义务，不得泄露、篡改或者毁损，不得向他人提供。</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4.通信服务数据（包含但不限于用户号码、通信时间、通话时长、流量使用情况等）仅限于本项目管理使用，不得擅自用于其他用途。</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5.中标人应当建立日常服务、投诉处理渠道。用户对服务过程中个人信息处理提出查询、更正或删除要求的，中标人应在法定期限内予以响应和处理。采购方有权对中标人的信息保护制度及执行情况进行监督检查。</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（四）验收要求</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本项目验收分为初验和终验两个阶段。</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 初验</w:t>
      </w:r>
    </w:p>
    <w:p>
      <w:pPr>
        <w:pStyle w:val="2"/>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（1）验收条件：所有64张SIM卡已全部开通并交付使用；携号转网（如需）已全部完成；套餐内容与合同约定核对无误；中标人已提交用户信息保护制度文件及相关安全措施落实情况说明。</w:t>
      </w:r>
    </w:p>
    <w:p>
      <w:pPr>
        <w:pStyle w:val="2"/>
        <w:numPr>
          <w:ilvl w:val="0"/>
          <w:numId w:val="0"/>
        </w:numPr>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（2）验收内容：</w:t>
      </w:r>
    </w:p>
    <w:p>
      <w:pPr>
        <w:pStyle w:val="2"/>
        <w:numPr>
          <w:ilvl w:val="0"/>
          <w:numId w:val="0"/>
        </w:numPr>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①套餐内容一致性：流量、通话、短信与合同约定一致（100%核查）</w:t>
      </w:r>
    </w:p>
    <w:p>
      <w:pPr>
        <w:pStyle w:val="2"/>
        <w:numPr>
          <w:ilvl w:val="0"/>
          <w:numId w:val="0"/>
        </w:numPr>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②号码开通状态：所有号码均可正常拨打和接听（100%核查）</w:t>
      </w:r>
    </w:p>
    <w:p>
      <w:pPr>
        <w:pStyle w:val="2"/>
        <w:numPr>
          <w:ilvl w:val="0"/>
          <w:numId w:val="0"/>
        </w:numPr>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③携号转网完成度（如需）：全部号码通信功能正常</w:t>
      </w:r>
    </w:p>
    <w:p>
      <w:pPr>
        <w:pStyle w:val="2"/>
        <w:numPr>
          <w:ilvl w:val="0"/>
          <w:numId w:val="0"/>
        </w:numPr>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（3）验收结论：验收合格的，双方签署初步验收报告。验收不合格的，提出整改意见，由中标人整改后重新提交验收。</w:t>
      </w:r>
    </w:p>
    <w:p>
      <w:pPr>
        <w:pStyle w:val="2"/>
        <w:numPr>
          <w:ilvl w:val="0"/>
          <w:numId w:val="0"/>
        </w:numPr>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2.终验</w:t>
      </w:r>
    </w:p>
    <w:p>
      <w:pPr>
        <w:pStyle w:val="2"/>
        <w:numPr>
          <w:ilvl w:val="0"/>
          <w:numId w:val="0"/>
        </w:numPr>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（1）项目合同期满后，采购人组织终验。验收合格的，签署项目验收记录表。</w:t>
      </w:r>
    </w:p>
    <w:p>
      <w:pPr>
        <w:pStyle w:val="2"/>
        <w:numPr>
          <w:ilvl w:val="0"/>
          <w:numId w:val="0"/>
        </w:numPr>
        <w:ind w:firstLine="420" w:firstLineChars="200"/>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（2）验收合格标准</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4"/>
        <w:gridCol w:w="3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4" w:type="pct"/>
            <w:noWrap w:val="0"/>
            <w:vAlign w:val="top"/>
          </w:tcPr>
          <w:p>
            <w:pPr>
              <w:pStyle w:val="2"/>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验收指标</w:t>
            </w:r>
          </w:p>
        </w:tc>
        <w:tc>
          <w:tcPr>
            <w:tcW w:w="2265" w:type="pct"/>
            <w:noWrap w:val="0"/>
            <w:vAlign w:val="top"/>
          </w:tcPr>
          <w:p>
            <w:pPr>
              <w:pStyle w:val="2"/>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合格标准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4" w:type="pct"/>
            <w:noWrap w:val="0"/>
            <w:vAlign w:val="top"/>
          </w:tcPr>
          <w:p>
            <w:pPr>
              <w:pStyle w:val="2"/>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套餐内容符合率</w:t>
            </w:r>
          </w:p>
        </w:tc>
        <w:tc>
          <w:tcPr>
            <w:tcW w:w="2265" w:type="pct"/>
            <w:noWrap w:val="0"/>
            <w:vAlign w:val="top"/>
          </w:tcPr>
          <w:p>
            <w:pPr>
              <w:pStyle w:val="2"/>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4" w:type="pct"/>
            <w:noWrap w:val="0"/>
            <w:vAlign w:val="top"/>
          </w:tcPr>
          <w:p>
            <w:pPr>
              <w:pStyle w:val="2"/>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号码开通/携号转网完成率</w:t>
            </w:r>
          </w:p>
        </w:tc>
        <w:tc>
          <w:tcPr>
            <w:tcW w:w="2265" w:type="pct"/>
            <w:noWrap w:val="0"/>
            <w:vAlign w:val="top"/>
          </w:tcPr>
          <w:p>
            <w:pPr>
              <w:pStyle w:val="2"/>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34" w:type="pct"/>
            <w:noWrap w:val="0"/>
            <w:vAlign w:val="top"/>
          </w:tcPr>
          <w:p>
            <w:pPr>
              <w:pStyle w:val="2"/>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计费准确率</w:t>
            </w:r>
          </w:p>
        </w:tc>
        <w:tc>
          <w:tcPr>
            <w:tcW w:w="2265" w:type="pct"/>
            <w:noWrap w:val="0"/>
            <w:vAlign w:val="top"/>
          </w:tcPr>
          <w:p>
            <w:pPr>
              <w:pStyle w:val="2"/>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4" w:type="pct"/>
            <w:noWrap w:val="0"/>
            <w:vAlign w:val="top"/>
          </w:tcPr>
          <w:p>
            <w:pPr>
              <w:pStyle w:val="2"/>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资料文档完整性</w:t>
            </w:r>
          </w:p>
        </w:tc>
        <w:tc>
          <w:tcPr>
            <w:tcW w:w="2265" w:type="pct"/>
            <w:noWrap w:val="0"/>
            <w:vAlign w:val="top"/>
          </w:tcPr>
          <w:p>
            <w:pPr>
              <w:pStyle w:val="2"/>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全部文档齐备</w:t>
            </w:r>
          </w:p>
        </w:tc>
      </w:tr>
    </w:tbl>
    <w:p>
      <w:pPr>
        <w:pStyle w:val="2"/>
        <w:ind w:firstLine="640"/>
        <w:rPr>
          <w:rFonts w:hint="eastAsia" w:ascii="仿宋_GB2312" w:hAnsi="仿宋_GB2312" w:eastAsia="仿宋_GB2312" w:cs="仿宋_GB2312"/>
          <w:b w:val="0"/>
          <w:bCs w:val="0"/>
          <w:color w:val="auto"/>
          <w:sz w:val="22"/>
          <w:szCs w:val="22"/>
          <w:lang w:val="en-US" w:eastAsia="zh-CN"/>
        </w:rPr>
      </w:pPr>
      <w:r>
        <w:rPr>
          <w:rFonts w:hint="eastAsia" w:ascii="仿宋_GB2312" w:hAnsi="仿宋_GB2312" w:eastAsia="仿宋_GB2312" w:cs="仿宋_GB2312"/>
          <w:b w:val="0"/>
          <w:bCs w:val="0"/>
          <w:i w:val="0"/>
          <w:color w:val="FF0000"/>
          <w:kern w:val="0"/>
          <w:sz w:val="24"/>
          <w:szCs w:val="24"/>
          <w:u w:val="none"/>
          <w:lang w:val="en-US" w:eastAsia="zh-CN" w:bidi="ar"/>
        </w:rPr>
        <w:t>★</w:t>
      </w:r>
      <w:r>
        <w:rPr>
          <w:rFonts w:hint="eastAsia" w:ascii="仿宋_GB2312" w:hAnsi="仿宋_GB2312" w:eastAsia="仿宋_GB2312" w:cs="仿宋_GB2312"/>
          <w:b w:val="0"/>
          <w:bCs w:val="0"/>
          <w:color w:val="auto"/>
          <w:sz w:val="22"/>
          <w:szCs w:val="22"/>
          <w:lang w:val="en-US" w:eastAsia="zh-CN"/>
        </w:rPr>
        <w:t>（五）人员要求</w:t>
      </w:r>
    </w:p>
    <w:p>
      <w:pPr>
        <w:pStyle w:val="2"/>
        <w:ind w:firstLine="440" w:firstLineChars="200"/>
        <w:rPr>
          <w:rFonts w:hint="eastAsia" w:ascii="仿宋_GB2312" w:hAnsi="仿宋_GB2312" w:eastAsia="仿宋_GB2312" w:cs="仿宋_GB2312"/>
          <w:b w:val="0"/>
          <w:bCs w:val="0"/>
          <w:color w:val="auto"/>
          <w:sz w:val="22"/>
          <w:szCs w:val="22"/>
          <w:lang w:val="en-US" w:eastAsia="zh-CN"/>
        </w:rPr>
      </w:pPr>
      <w:r>
        <w:rPr>
          <w:rFonts w:hint="eastAsia" w:ascii="仿宋_GB2312" w:hAnsi="仿宋_GB2312" w:eastAsia="仿宋_GB2312" w:cs="仿宋_GB2312"/>
          <w:b w:val="0"/>
          <w:bCs w:val="0"/>
          <w:color w:val="auto"/>
          <w:sz w:val="22"/>
          <w:szCs w:val="22"/>
          <w:lang w:val="en-US" w:eastAsia="zh-CN"/>
        </w:rPr>
        <w:t>1.项目负责人要求</w:t>
      </w:r>
    </w:p>
    <w:p>
      <w:pPr>
        <w:pStyle w:val="2"/>
        <w:ind w:firstLine="440" w:firstLineChars="200"/>
        <w:rPr>
          <w:rFonts w:hint="eastAsia" w:ascii="仿宋_GB2312" w:hAnsi="仿宋_GB2312" w:eastAsia="仿宋_GB2312" w:cs="仿宋_GB2312"/>
          <w:b w:val="0"/>
          <w:bCs w:val="0"/>
          <w:color w:val="auto"/>
          <w:sz w:val="22"/>
          <w:szCs w:val="22"/>
          <w:lang w:val="en-US" w:eastAsia="zh-CN"/>
        </w:rPr>
      </w:pPr>
      <w:r>
        <w:rPr>
          <w:rFonts w:hint="eastAsia" w:ascii="仿宋_GB2312" w:hAnsi="仿宋_GB2312" w:eastAsia="仿宋_GB2312" w:cs="仿宋_GB2312"/>
          <w:b w:val="0"/>
          <w:bCs w:val="0"/>
          <w:color w:val="auto"/>
          <w:sz w:val="22"/>
          <w:szCs w:val="22"/>
          <w:lang w:val="en-US" w:eastAsia="zh-CN"/>
        </w:rPr>
        <w:t>投标人须配置1名项目负责人（须为投标人自有员工）。项目负责人应具备通信类专业知识和技术能力，能够统筹协调项目各环节，保障通信服务顺利交付，并承担以下职责：</w:t>
      </w:r>
    </w:p>
    <w:p>
      <w:pPr>
        <w:pStyle w:val="2"/>
        <w:ind w:firstLine="440" w:firstLineChars="200"/>
        <w:rPr>
          <w:rFonts w:hint="eastAsia" w:ascii="仿宋_GB2312" w:hAnsi="仿宋_GB2312" w:eastAsia="仿宋_GB2312" w:cs="仿宋_GB2312"/>
          <w:b w:val="0"/>
          <w:bCs w:val="0"/>
          <w:color w:val="auto"/>
          <w:sz w:val="22"/>
          <w:szCs w:val="22"/>
          <w:lang w:val="en-US" w:eastAsia="zh-CN"/>
        </w:rPr>
      </w:pPr>
      <w:r>
        <w:rPr>
          <w:rFonts w:hint="eastAsia" w:ascii="仿宋_GB2312" w:hAnsi="仿宋_GB2312" w:eastAsia="仿宋_GB2312" w:cs="仿宋_GB2312"/>
          <w:b w:val="0"/>
          <w:bCs w:val="0"/>
          <w:color w:val="auto"/>
          <w:sz w:val="22"/>
          <w:szCs w:val="22"/>
          <w:lang w:val="en-US" w:eastAsia="zh-CN"/>
        </w:rPr>
        <w:t>（1）全面负责本项目的组织实施和统筹协调，包括但不限于套餐方案设计、开卡激活实施、号码衔接保障、服务质量监督等工作；</w:t>
      </w:r>
    </w:p>
    <w:p>
      <w:pPr>
        <w:pStyle w:val="2"/>
        <w:ind w:firstLine="440" w:firstLineChars="200"/>
        <w:rPr>
          <w:rFonts w:hint="eastAsia" w:ascii="仿宋_GB2312" w:hAnsi="仿宋_GB2312" w:eastAsia="仿宋_GB2312" w:cs="仿宋_GB2312"/>
          <w:b w:val="0"/>
          <w:bCs w:val="0"/>
          <w:color w:val="auto"/>
          <w:sz w:val="22"/>
          <w:szCs w:val="22"/>
          <w:lang w:val="en-US" w:eastAsia="zh-CN"/>
        </w:rPr>
      </w:pPr>
      <w:r>
        <w:rPr>
          <w:rFonts w:hint="eastAsia" w:ascii="仿宋_GB2312" w:hAnsi="仿宋_GB2312" w:eastAsia="仿宋_GB2312" w:cs="仿宋_GB2312"/>
          <w:b w:val="0"/>
          <w:bCs w:val="0"/>
          <w:color w:val="auto"/>
          <w:sz w:val="22"/>
          <w:szCs w:val="22"/>
          <w:lang w:val="en-US" w:eastAsia="zh-CN"/>
        </w:rPr>
        <w:t>（2）作为采购人的统一对接人，负责与采购人的日常沟通、需求响应及问题协调处理；</w:t>
      </w:r>
    </w:p>
    <w:p>
      <w:pPr>
        <w:pStyle w:val="2"/>
        <w:ind w:firstLine="440" w:firstLineChars="200"/>
        <w:rPr>
          <w:rFonts w:hint="eastAsia" w:ascii="仿宋_GB2312" w:hAnsi="仿宋_GB2312" w:eastAsia="仿宋_GB2312" w:cs="仿宋_GB2312"/>
          <w:b w:val="0"/>
          <w:bCs w:val="0"/>
          <w:color w:val="auto"/>
          <w:sz w:val="22"/>
          <w:szCs w:val="22"/>
          <w:lang w:val="en-US" w:eastAsia="zh-CN"/>
        </w:rPr>
      </w:pPr>
      <w:r>
        <w:rPr>
          <w:rFonts w:hint="eastAsia" w:ascii="仿宋_GB2312" w:hAnsi="仿宋_GB2312" w:eastAsia="仿宋_GB2312" w:cs="仿宋_GB2312"/>
          <w:b w:val="0"/>
          <w:bCs w:val="0"/>
          <w:color w:val="auto"/>
          <w:sz w:val="22"/>
          <w:szCs w:val="22"/>
          <w:lang w:val="en-US" w:eastAsia="zh-CN"/>
        </w:rPr>
        <w:t>（3）对于涉及携号转网的情形，负责统筹携转流程推进及过渡期通信保障。</w:t>
      </w:r>
    </w:p>
    <w:p>
      <w:pPr>
        <w:pStyle w:val="2"/>
        <w:ind w:firstLine="440" w:firstLineChars="200"/>
        <w:rPr>
          <w:rFonts w:hint="eastAsia" w:ascii="仿宋_GB2312" w:hAnsi="仿宋_GB2312" w:eastAsia="仿宋_GB2312" w:cs="仿宋_GB2312"/>
          <w:b w:val="0"/>
          <w:bCs w:val="0"/>
          <w:color w:val="auto"/>
          <w:sz w:val="22"/>
          <w:szCs w:val="22"/>
          <w:lang w:val="en-US" w:eastAsia="zh-CN"/>
        </w:rPr>
      </w:pPr>
      <w:r>
        <w:rPr>
          <w:rFonts w:hint="eastAsia" w:ascii="仿宋_GB2312" w:hAnsi="仿宋_GB2312" w:eastAsia="仿宋_GB2312" w:cs="仿宋_GB2312"/>
          <w:b w:val="0"/>
          <w:bCs w:val="0"/>
          <w:color w:val="auto"/>
          <w:sz w:val="22"/>
          <w:szCs w:val="22"/>
          <w:lang w:val="en-US" w:eastAsia="zh-CN"/>
        </w:rPr>
        <w:t>2.项目团队成员要求</w:t>
      </w:r>
    </w:p>
    <w:p>
      <w:pPr>
        <w:pStyle w:val="2"/>
        <w:ind w:firstLine="440" w:firstLineChars="200"/>
        <w:rPr>
          <w:rFonts w:hint="eastAsia" w:ascii="仿宋_GB2312" w:hAnsi="仿宋_GB2312" w:eastAsia="仿宋_GB2312" w:cs="仿宋_GB2312"/>
          <w:b w:val="0"/>
          <w:bCs w:val="0"/>
          <w:color w:val="auto"/>
          <w:sz w:val="22"/>
          <w:szCs w:val="22"/>
          <w:lang w:val="en-US" w:eastAsia="zh-CN"/>
        </w:rPr>
      </w:pPr>
      <w:r>
        <w:rPr>
          <w:rFonts w:hint="eastAsia" w:ascii="仿宋_GB2312" w:hAnsi="仿宋_GB2312" w:eastAsia="仿宋_GB2312" w:cs="仿宋_GB2312"/>
          <w:b w:val="0"/>
          <w:bCs w:val="0"/>
          <w:color w:val="auto"/>
          <w:sz w:val="22"/>
          <w:szCs w:val="22"/>
          <w:lang w:val="en-US" w:eastAsia="zh-CN"/>
        </w:rPr>
        <w:t>投标人须配置不少于2人的项目团队成员（项目负责人除外，须为投标人自有员工）。团队成员应具备通信业务服务及网络技术保障能力，并配合项目负责人完成以下工作：</w:t>
      </w:r>
    </w:p>
    <w:p>
      <w:pPr>
        <w:pStyle w:val="2"/>
        <w:ind w:firstLine="440" w:firstLineChars="200"/>
        <w:rPr>
          <w:rFonts w:hint="eastAsia" w:ascii="仿宋_GB2312" w:hAnsi="仿宋_GB2312" w:eastAsia="仿宋_GB2312" w:cs="仿宋_GB2312"/>
          <w:b w:val="0"/>
          <w:bCs w:val="0"/>
          <w:color w:val="auto"/>
          <w:sz w:val="22"/>
          <w:szCs w:val="22"/>
          <w:lang w:val="en-US" w:eastAsia="zh-CN"/>
        </w:rPr>
      </w:pPr>
      <w:r>
        <w:rPr>
          <w:rFonts w:hint="eastAsia" w:ascii="仿宋_GB2312" w:hAnsi="仿宋_GB2312" w:eastAsia="仿宋_GB2312" w:cs="仿宋_GB2312"/>
          <w:b w:val="0"/>
          <w:bCs w:val="0"/>
          <w:color w:val="auto"/>
          <w:sz w:val="22"/>
          <w:szCs w:val="22"/>
          <w:lang w:val="en-US" w:eastAsia="zh-CN"/>
        </w:rPr>
        <w:t>（1）具体实施SIM卡的开卡、发卡、激活及后续日常服务保障工作；</w:t>
      </w:r>
    </w:p>
    <w:p>
      <w:pPr>
        <w:pStyle w:val="2"/>
        <w:ind w:firstLine="440" w:firstLineChars="200"/>
        <w:rPr>
          <w:rFonts w:hint="eastAsia" w:ascii="仿宋_GB2312" w:hAnsi="仿宋_GB2312" w:eastAsia="仿宋_GB2312" w:cs="仿宋_GB2312"/>
          <w:b w:val="0"/>
          <w:bCs w:val="0"/>
          <w:color w:val="auto"/>
          <w:sz w:val="22"/>
          <w:szCs w:val="22"/>
          <w:lang w:val="en-US" w:eastAsia="zh-CN"/>
        </w:rPr>
      </w:pPr>
      <w:r>
        <w:rPr>
          <w:rFonts w:hint="eastAsia" w:ascii="仿宋_GB2312" w:hAnsi="仿宋_GB2312" w:eastAsia="仿宋_GB2312" w:cs="仿宋_GB2312"/>
          <w:b w:val="0"/>
          <w:bCs w:val="0"/>
          <w:color w:val="auto"/>
          <w:sz w:val="22"/>
          <w:szCs w:val="22"/>
          <w:lang w:val="en-US" w:eastAsia="zh-CN"/>
        </w:rPr>
        <w:t>（2）配合进行通信信号测试、故障排查、用户投诉处理等技术支持工作；</w:t>
      </w:r>
    </w:p>
    <w:p>
      <w:pPr>
        <w:pStyle w:val="2"/>
        <w:ind w:firstLine="440" w:firstLineChars="200"/>
        <w:rPr>
          <w:rFonts w:hint="eastAsia" w:ascii="仿宋_GB2312" w:hAnsi="仿宋_GB2312" w:eastAsia="仿宋_GB2312" w:cs="仿宋_GB2312"/>
          <w:b w:val="0"/>
          <w:bCs w:val="0"/>
          <w:color w:val="auto"/>
          <w:sz w:val="22"/>
          <w:szCs w:val="22"/>
          <w:lang w:val="en-US" w:eastAsia="zh-CN"/>
        </w:rPr>
      </w:pPr>
      <w:r>
        <w:rPr>
          <w:rFonts w:hint="eastAsia" w:ascii="仿宋_GB2312" w:hAnsi="仿宋_GB2312" w:eastAsia="仿宋_GB2312" w:cs="仿宋_GB2312"/>
          <w:b w:val="0"/>
          <w:bCs w:val="0"/>
          <w:color w:val="auto"/>
          <w:sz w:val="22"/>
          <w:szCs w:val="22"/>
          <w:lang w:val="en-US" w:eastAsia="zh-CN"/>
        </w:rPr>
        <w:t>（3）协助项目负责人完成服务保障相关的其他工作。</w:t>
      </w:r>
    </w:p>
    <w:p>
      <w:pPr>
        <w:pStyle w:val="2"/>
        <w:ind w:firstLine="640"/>
        <w:jc w:val="center"/>
        <w:rPr>
          <w:rFonts w:hint="eastAsia" w:ascii="黑体" w:hAnsi="黑体" w:eastAsia="黑体" w:cs="黑体"/>
          <w:color w:val="auto"/>
          <w:sz w:val="22"/>
          <w:szCs w:val="22"/>
          <w:lang w:val="en-US" w:eastAsia="zh-CN"/>
        </w:rPr>
      </w:pPr>
      <w:r>
        <w:rPr>
          <w:rFonts w:hint="eastAsia" w:ascii="黑体" w:hAnsi="黑体" w:eastAsia="黑体" w:cs="黑体"/>
          <w:b w:val="0"/>
          <w:bCs w:val="0"/>
          <w:color w:val="auto"/>
          <w:sz w:val="22"/>
          <w:szCs w:val="22"/>
          <w:lang w:val="en-US" w:eastAsia="zh-CN"/>
        </w:rPr>
        <w:t>六、商务要求</w:t>
      </w:r>
    </w:p>
    <w:tbl>
      <w:tblPr>
        <w:tblStyle w:val="4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4"/>
        <w:gridCol w:w="1411"/>
        <w:gridCol w:w="64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i w:val="0"/>
                <w:color w:val="auto"/>
                <w:sz w:val="21"/>
                <w:szCs w:val="21"/>
                <w:u w:val="none"/>
              </w:rPr>
            </w:pPr>
            <w:r>
              <w:rPr>
                <w:rFonts w:hint="eastAsia" w:ascii="仿宋_GB2312" w:hAnsi="仿宋_GB2312" w:eastAsia="仿宋_GB2312" w:cs="仿宋_GB2312"/>
                <w:b/>
                <w:i w:val="0"/>
                <w:color w:val="auto"/>
                <w:kern w:val="0"/>
                <w:sz w:val="21"/>
                <w:szCs w:val="21"/>
                <w:u w:val="none"/>
                <w:lang w:val="en-US" w:eastAsia="zh-CN" w:bidi="ar"/>
              </w:rPr>
              <w:t>序号</w:t>
            </w:r>
          </w:p>
        </w:tc>
        <w:tc>
          <w:tcPr>
            <w:tcW w:w="8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i w:val="0"/>
                <w:color w:val="auto"/>
                <w:sz w:val="21"/>
                <w:szCs w:val="21"/>
                <w:u w:val="none"/>
              </w:rPr>
            </w:pPr>
            <w:r>
              <w:rPr>
                <w:rFonts w:hint="eastAsia" w:ascii="仿宋_GB2312" w:hAnsi="仿宋_GB2312" w:eastAsia="仿宋_GB2312" w:cs="仿宋_GB2312"/>
                <w:b/>
                <w:i w:val="0"/>
                <w:color w:val="auto"/>
                <w:kern w:val="0"/>
                <w:sz w:val="21"/>
                <w:szCs w:val="21"/>
                <w:u w:val="none"/>
                <w:lang w:val="en-US" w:eastAsia="zh-CN" w:bidi="ar"/>
              </w:rPr>
              <w:t>商务需求项</w:t>
            </w:r>
          </w:p>
        </w:tc>
        <w:tc>
          <w:tcPr>
            <w:tcW w:w="38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i w:val="0"/>
                <w:color w:val="auto"/>
                <w:sz w:val="21"/>
                <w:szCs w:val="21"/>
                <w:u w:val="none"/>
              </w:rPr>
            </w:pPr>
            <w:r>
              <w:rPr>
                <w:rFonts w:hint="eastAsia" w:ascii="仿宋_GB2312" w:hAnsi="仿宋_GB2312" w:eastAsia="仿宋_GB2312" w:cs="仿宋_GB2312"/>
                <w:b/>
                <w:i w:val="0"/>
                <w:color w:val="auto"/>
                <w:kern w:val="0"/>
                <w:sz w:val="21"/>
                <w:szCs w:val="21"/>
                <w:u w:val="none"/>
                <w:lang w:val="en-US" w:eastAsia="zh-CN" w:bidi="ar"/>
              </w:rPr>
              <w:t>招标商务要求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7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w:t>
            </w:r>
          </w:p>
        </w:tc>
        <w:tc>
          <w:tcPr>
            <w:tcW w:w="82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必备条款</w:t>
            </w:r>
          </w:p>
        </w:tc>
        <w:tc>
          <w:tcPr>
            <w:tcW w:w="38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color w:val="FF0000"/>
                <w:szCs w:val="21"/>
              </w:rPr>
              <w:t>★</w:t>
            </w:r>
            <w:r>
              <w:rPr>
                <w:rFonts w:hint="eastAsia" w:ascii="仿宋_GB2312" w:hAnsi="仿宋_GB2312" w:eastAsia="仿宋_GB2312" w:cs="仿宋_GB2312"/>
                <w:i w:val="0"/>
                <w:color w:val="auto"/>
                <w:kern w:val="0"/>
                <w:sz w:val="21"/>
                <w:szCs w:val="21"/>
                <w:u w:val="none"/>
                <w:lang w:val="en-US" w:eastAsia="zh-CN" w:bidi="ar"/>
              </w:rPr>
              <w:t xml:space="preserve">1.1 </w:t>
            </w:r>
            <w:r>
              <w:rPr>
                <w:rFonts w:hint="eastAsia" w:ascii="仿宋_GB2312" w:hAnsi="仿宋_GB2312" w:eastAsia="仿宋_GB2312" w:cs="仿宋_GB2312"/>
                <w:i w:val="0"/>
                <w:color w:val="FF0000"/>
                <w:kern w:val="0"/>
                <w:sz w:val="21"/>
                <w:szCs w:val="21"/>
                <w:u w:val="none"/>
                <w:lang w:val="en-US" w:eastAsia="zh-CN" w:bidi="ar"/>
              </w:rPr>
              <w:t>服务期要求</w:t>
            </w:r>
            <w:r>
              <w:rPr>
                <w:rFonts w:hint="eastAsia" w:ascii="仿宋_GB2312" w:hAnsi="仿宋_GB2312" w:eastAsia="仿宋_GB2312" w:cs="仿宋_GB2312"/>
                <w:i w:val="0"/>
                <w:color w:val="auto"/>
                <w:kern w:val="0"/>
                <w:sz w:val="21"/>
                <w:szCs w:val="21"/>
                <w:u w:val="none"/>
                <w:lang w:val="en-US" w:eastAsia="zh-CN" w:bidi="ar"/>
              </w:rPr>
              <w:t>：本次招标服务期限为2年，具体期限是2026年12月1日至2028年11月30日，共24个月，合同一签两年。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7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1"/>
                <w:szCs w:val="21"/>
                <w:u w:val="none"/>
              </w:rPr>
            </w:pPr>
          </w:p>
        </w:tc>
        <w:tc>
          <w:tcPr>
            <w:tcW w:w="8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1"/>
                <w:szCs w:val="21"/>
                <w:u w:val="none"/>
              </w:rPr>
            </w:pPr>
          </w:p>
        </w:tc>
        <w:tc>
          <w:tcPr>
            <w:tcW w:w="38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1.2 服务地点：采购单位指定地点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37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1"/>
                <w:szCs w:val="21"/>
                <w:u w:val="none"/>
              </w:rPr>
            </w:pPr>
          </w:p>
        </w:tc>
        <w:tc>
          <w:tcPr>
            <w:tcW w:w="8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1"/>
                <w:szCs w:val="21"/>
                <w:u w:val="none"/>
              </w:rPr>
            </w:pPr>
          </w:p>
        </w:tc>
        <w:tc>
          <w:tcPr>
            <w:tcW w:w="38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1.3 付款期限和方式：采购方于2027年2月1日前支付本次项目中标金额的50%，于2028年2月1日前支付本项目中标金额的45%，于合同到期后支付本项目中标金额的5%。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7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1"/>
                <w:szCs w:val="21"/>
                <w:u w:val="none"/>
              </w:rPr>
            </w:pPr>
          </w:p>
        </w:tc>
        <w:tc>
          <w:tcPr>
            <w:tcW w:w="8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1"/>
                <w:szCs w:val="21"/>
                <w:u w:val="none"/>
              </w:rPr>
            </w:pPr>
          </w:p>
        </w:tc>
        <w:tc>
          <w:tcPr>
            <w:tcW w:w="38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1.4 验收条件：按本项目验收要求执行。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7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1"/>
                <w:szCs w:val="21"/>
                <w:u w:val="none"/>
              </w:rPr>
            </w:pPr>
          </w:p>
        </w:tc>
        <w:tc>
          <w:tcPr>
            <w:tcW w:w="8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1"/>
                <w:szCs w:val="21"/>
                <w:u w:val="none"/>
              </w:rPr>
            </w:pPr>
          </w:p>
        </w:tc>
        <w:tc>
          <w:tcPr>
            <w:tcW w:w="380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FF0000"/>
                <w:kern w:val="0"/>
                <w:sz w:val="21"/>
                <w:szCs w:val="21"/>
                <w:u w:val="none"/>
                <w:lang w:val="en-US" w:eastAsia="zh-CN" w:bidi="ar"/>
              </w:rPr>
              <w:t>★1.5 违约责任</w:t>
            </w:r>
            <w:r>
              <w:rPr>
                <w:rFonts w:hint="eastAsia" w:ascii="仿宋_GB2312" w:hAnsi="仿宋_GB2312" w:eastAsia="仿宋_GB2312" w:cs="仿宋_GB2312"/>
                <w:i w:val="0"/>
                <w:color w:val="000000"/>
                <w:kern w:val="0"/>
                <w:sz w:val="21"/>
                <w:szCs w:val="21"/>
                <w:u w:val="none"/>
                <w:lang w:val="en-US" w:eastAsia="zh-CN" w:bidi="ar"/>
              </w:rPr>
              <w:t>：</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（1）中标人若未按本合同约定履行义务，或如因中标人原因造成服务达不到采购人管理目标或直接造成采购人经济损失的，采购人有权按照本合同约定要求中标人按照合同总额5%支付违约金。</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（2）因中标人原因造成通信服务中断的：单次中断超过2小时，免除当月相应套餐费用的50%；月度累计中断超过24小时，采购人有权解除合同。</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（3）因中标人原因造成用户个人信息泄露或违规使用的，中标人应承担全部法律责任，采购人有权解除合同并要求中标人赔偿因此造成的全部损失。</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（4）采购人有权要求中标人限期整改，在限期时间内没有整改，采购人有权解除合同。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7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1"/>
                <w:szCs w:val="21"/>
                <w:u w:val="none"/>
              </w:rPr>
            </w:pPr>
          </w:p>
        </w:tc>
        <w:tc>
          <w:tcPr>
            <w:tcW w:w="8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1"/>
                <w:szCs w:val="21"/>
                <w:u w:val="none"/>
              </w:rPr>
            </w:pPr>
          </w:p>
        </w:tc>
        <w:tc>
          <w:tcPr>
            <w:tcW w:w="3800"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7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1"/>
                <w:szCs w:val="21"/>
                <w:u w:val="none"/>
              </w:rPr>
            </w:pPr>
          </w:p>
        </w:tc>
        <w:tc>
          <w:tcPr>
            <w:tcW w:w="8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1"/>
                <w:szCs w:val="21"/>
                <w:u w:val="none"/>
              </w:rPr>
            </w:pPr>
          </w:p>
        </w:tc>
        <w:tc>
          <w:tcPr>
            <w:tcW w:w="3800"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7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1"/>
                <w:szCs w:val="21"/>
                <w:u w:val="none"/>
              </w:rPr>
            </w:pPr>
          </w:p>
        </w:tc>
        <w:tc>
          <w:tcPr>
            <w:tcW w:w="8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1"/>
                <w:szCs w:val="21"/>
                <w:u w:val="none"/>
              </w:rPr>
            </w:pPr>
          </w:p>
        </w:tc>
        <w:tc>
          <w:tcPr>
            <w:tcW w:w="3800"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1"/>
                <w:szCs w:val="21"/>
                <w:u w:val="none"/>
              </w:rPr>
            </w:pPr>
          </w:p>
        </w:tc>
        <w:tc>
          <w:tcPr>
            <w:tcW w:w="8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1"/>
                <w:szCs w:val="21"/>
                <w:u w:val="none"/>
              </w:rPr>
            </w:pPr>
          </w:p>
        </w:tc>
        <w:tc>
          <w:tcPr>
            <w:tcW w:w="3800"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37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1"/>
                <w:szCs w:val="21"/>
                <w:u w:val="none"/>
              </w:rPr>
            </w:pPr>
          </w:p>
        </w:tc>
        <w:tc>
          <w:tcPr>
            <w:tcW w:w="8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1"/>
                <w:szCs w:val="21"/>
                <w:u w:val="none"/>
              </w:rPr>
            </w:pPr>
          </w:p>
        </w:tc>
        <w:tc>
          <w:tcPr>
            <w:tcW w:w="38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1.6 争议解决方法：如在服务履行过程中发生争议，双方本着友好合作原则协商解决，如不能通过协商解决争议时，双方同意在盐田区人民法院诉讼解决。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0" w:hRule="atLeast"/>
        </w:trPr>
        <w:tc>
          <w:tcPr>
            <w:tcW w:w="372"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w:t>
            </w:r>
          </w:p>
        </w:tc>
        <w:tc>
          <w:tcPr>
            <w:tcW w:w="827"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其他</w:t>
            </w:r>
          </w:p>
        </w:tc>
        <w:tc>
          <w:tcPr>
            <w:tcW w:w="38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2.1保密义务：中标人必须对因本项目获悉的采购人一切保密信息承担严格保密责任，未经书面许可不得向任何第三方披露。具体保密约定由双方在签订合同时协商确定。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372"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eastAsia="仿宋_GB2312" w:cs="仿宋_GB2312"/>
                <w:i w:val="0"/>
                <w:color w:val="000000"/>
                <w:sz w:val="21"/>
                <w:szCs w:val="21"/>
                <w:u w:val="none"/>
              </w:rPr>
            </w:pPr>
          </w:p>
        </w:tc>
        <w:tc>
          <w:tcPr>
            <w:tcW w:w="827"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eastAsia="仿宋_GB2312" w:cs="仿宋_GB2312"/>
                <w:i w:val="0"/>
                <w:color w:val="000000"/>
                <w:sz w:val="21"/>
                <w:szCs w:val="21"/>
                <w:u w:val="none"/>
              </w:rPr>
            </w:pPr>
          </w:p>
        </w:tc>
        <w:tc>
          <w:tcPr>
            <w:tcW w:w="38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2.2其他要求：（1）中标人不得转包或擅自分包本项目；（2）中标人应确保投标信息真实有效，否则采购人有权终止合同并索赔。</w:t>
            </w:r>
          </w:p>
        </w:tc>
      </w:tr>
    </w:tbl>
    <w:p>
      <w:pPr>
        <w:rPr>
          <w:rFonts w:hint="default"/>
          <w:lang w:val="en-US" w:eastAsia="zh-CN"/>
        </w:rPr>
      </w:pPr>
    </w:p>
    <w:p>
      <w:pPr>
        <w:rPr>
          <w:b/>
          <w:sz w:val="24"/>
        </w:rPr>
      </w:pPr>
    </w:p>
    <w:p>
      <w:pPr>
        <w:pStyle w:val="35"/>
      </w:pPr>
    </w:p>
    <w:p>
      <w:pPr>
        <w:pStyle w:val="6"/>
        <w:spacing w:before="120" w:beforeLines="50" w:after="120" w:afterLines="50"/>
        <w:rPr>
          <w:szCs w:val="24"/>
        </w:rPr>
      </w:pPr>
      <w:r>
        <w:rPr>
          <w:rFonts w:hint="eastAsia"/>
          <w:szCs w:val="24"/>
        </w:rPr>
        <w:t>七、其他重要条款</w:t>
      </w:r>
    </w:p>
    <w:p>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pStyle w:val="8"/>
        <w:spacing w:before="60" w:beforeLines="25" w:after="60" w:afterLines="25"/>
        <w:ind w:firstLine="392" w:firstLineChars="187"/>
        <w:rPr>
          <w:rFonts w:ascii="宋体" w:hAnsi="宋体"/>
          <w:szCs w:val="21"/>
        </w:rPr>
      </w:pPr>
      <w:r>
        <w:rPr>
          <w:rFonts w:hint="eastAsia"/>
          <w:bCs/>
          <w:szCs w:val="21"/>
        </w:rPr>
        <w:t>2.投标人应充分了解项目的位置、情况、道路及任何其它足以影响投标报价的情况，任何因忽视或误解项目情况而导致的索赔或服务期限延长申请将不获批准。</w:t>
      </w:r>
    </w:p>
    <w:p>
      <w:pPr>
        <w:ind w:firstLine="420" w:firstLineChars="200"/>
        <w:rPr>
          <w:bCs/>
          <w:szCs w:val="21"/>
        </w:rPr>
      </w:pPr>
      <w:r>
        <w:rPr>
          <w:rFonts w:hint="eastAsia"/>
          <w:bCs/>
          <w:szCs w:val="21"/>
        </w:rPr>
        <w:t>3.投标人不得期望通过索赔等方式获取补偿，否则，除可能遭到拒绝外，还可能将被作为不良行为记录在案，并可能影响其以后参加政府采购的项目投标。各投标人在投标报价时，应充分考虑投标报价的风险。</w:t>
      </w:r>
    </w:p>
    <w:p>
      <w:pPr>
        <w:ind w:firstLine="420" w:firstLineChars="200"/>
        <w:rPr>
          <w:bCs/>
          <w:szCs w:val="21"/>
        </w:rPr>
      </w:pPr>
      <w:r>
        <w:rPr>
          <w:rFonts w:hint="eastAsia"/>
          <w:bCs/>
          <w:szCs w:val="21"/>
        </w:rPr>
        <w:t>4.除政府采购合同继续履行将损害国家利益和社会公共利益外，双方当事人不得擅自变更、中止或者终止合同。</w:t>
      </w:r>
    </w:p>
    <w:p>
      <w:pPr>
        <w:widowControl/>
        <w:ind w:firstLine="420" w:firstLineChars="200"/>
        <w:jc w:val="left"/>
        <w:rPr>
          <w:rFonts w:ascii="宋体" w:hAnsi="宋体" w:cs="宋体"/>
          <w:kern w:val="0"/>
          <w:sz w:val="24"/>
        </w:rPr>
      </w:pPr>
      <w:r>
        <w:rPr>
          <w:rFonts w:hint="eastAsia"/>
          <w:bCs/>
          <w:szCs w:val="21"/>
        </w:rPr>
        <w:t>5.“信用中国”中“信用服务”栏的“重大税收违法失信主体”“失信被执行人”，“中国政府采购网”中的“政府采购严重违法失信行为记录名单”，“深圳市政府采购监管网”</w:t>
      </w:r>
      <w:r>
        <w:rPr>
          <w:rFonts w:hint="eastAsia" w:asciiTheme="minorEastAsia" w:hAnsiTheme="minorEastAsia" w:eastAsiaTheme="minorEastAsia" w:cstheme="minorEastAsia"/>
          <w:szCs w:val="21"/>
        </w:rPr>
        <w:t>以及深圳市、区财政部门认可的“供应商诚信档案库”</w:t>
      </w:r>
      <w:r>
        <w:rPr>
          <w:rFonts w:hint="eastAsia"/>
          <w:bCs/>
          <w:szCs w:val="21"/>
        </w:rPr>
        <w:t>为供应商信用信息的查询渠道，相关信息以开标当日的查询结果为准。</w:t>
      </w:r>
      <w:r>
        <w:rPr>
          <w:rFonts w:hint="eastAsia" w:ascii="宋体" w:hAnsi="宋体"/>
          <w:bCs/>
        </w:rPr>
        <w:t>如开标当日网站出现网站无法打开的特殊情况，相关信息则以中标通知书发出前的查询结果为准。</w:t>
      </w:r>
    </w:p>
    <w:p>
      <w:pPr>
        <w:ind w:firstLine="420" w:firstLineChars="200"/>
        <w:rPr>
          <w:bCs/>
          <w:szCs w:val="21"/>
        </w:rPr>
      </w:pPr>
      <w:bookmarkStart w:id="39" w:name="_Hlk218865646"/>
      <w:r>
        <w:rPr>
          <w:rFonts w:hint="eastAsia"/>
          <w:bCs/>
          <w:szCs w:val="21"/>
        </w:rPr>
        <w:t>6、供应商提供报价合理性、澄清、说明、补正或者错误的修正的方式，包括但不限于现场提交（地址：</w:t>
      </w:r>
      <w:r>
        <w:rPr>
          <w:rFonts w:hint="eastAsia" w:ascii="宋体" w:hAnsi="宋体"/>
          <w:bCs/>
        </w:rPr>
        <w:t>深圳市盐田区海景二路</w:t>
      </w:r>
      <w:r>
        <w:rPr>
          <w:rFonts w:hint="eastAsia"/>
          <w:bCs/>
        </w:rPr>
        <w:t>1025</w:t>
      </w:r>
      <w:r>
        <w:rPr>
          <w:rFonts w:hint="eastAsia" w:ascii="宋体" w:hAnsi="宋体"/>
          <w:bCs/>
        </w:rPr>
        <w:t>号壹海国际中心</w:t>
      </w:r>
      <w:r>
        <w:rPr>
          <w:rFonts w:hint="eastAsia"/>
          <w:bCs/>
        </w:rPr>
        <w:t>9</w:t>
      </w:r>
      <w:r>
        <w:rPr>
          <w:rFonts w:hint="eastAsia" w:ascii="宋体" w:hAnsi="宋体"/>
          <w:bCs/>
        </w:rPr>
        <w:t>楼</w:t>
      </w:r>
      <w:r>
        <w:rPr>
          <w:rFonts w:hint="eastAsia"/>
          <w:bCs/>
        </w:rPr>
        <w:t>901</w:t>
      </w:r>
      <w:r>
        <w:rPr>
          <w:rFonts w:hint="eastAsia"/>
          <w:bCs/>
          <w:szCs w:val="21"/>
        </w:rPr>
        <w:t>）、电邮提交（邮箱：</w:t>
      </w:r>
      <w:r>
        <w:rPr>
          <w:rFonts w:hint="eastAsia"/>
          <w:bCs/>
          <w:szCs w:val="21"/>
          <w:lang w:val="en-US" w:eastAsia="zh-CN"/>
        </w:rPr>
        <w:t>yantian</w:t>
      </w:r>
      <w:r>
        <w:rPr>
          <w:rFonts w:hint="eastAsia"/>
          <w:bCs/>
          <w:szCs w:val="21"/>
        </w:rPr>
        <w:t>fgs@szexgrp.com）等便捷方式。</w:t>
      </w:r>
      <w:bookmarkEnd w:id="39"/>
    </w:p>
    <w:p>
      <w:pPr>
        <w:pStyle w:val="8"/>
        <w:spacing w:before="60" w:beforeLines="25" w:after="60" w:afterLines="25"/>
        <w:ind w:firstLine="392" w:firstLineChars="187"/>
        <w:rPr>
          <w:rFonts w:ascii="宋体" w:hAnsi="宋体"/>
          <w:szCs w:val="21"/>
        </w:rPr>
      </w:pPr>
    </w:p>
    <w:p>
      <w:pPr>
        <w:pStyle w:val="8"/>
        <w:spacing w:before="60" w:beforeLines="25" w:after="60" w:afterLines="25"/>
        <w:ind w:firstLine="392" w:firstLineChars="187"/>
        <w:rPr>
          <w:rFonts w:ascii="宋体" w:hAnsi="宋体"/>
          <w:szCs w:val="21"/>
        </w:rPr>
      </w:pPr>
    </w:p>
    <w:p>
      <w:pPr>
        <w:pStyle w:val="8"/>
        <w:spacing w:before="60" w:beforeLines="25" w:after="60" w:afterLines="25"/>
        <w:ind w:firstLine="392" w:firstLineChars="187"/>
        <w:rPr>
          <w:rFonts w:ascii="宋体" w:hAnsi="宋体"/>
          <w:szCs w:val="21"/>
        </w:rPr>
      </w:pPr>
    </w:p>
    <w:p>
      <w:pPr>
        <w:pStyle w:val="8"/>
        <w:spacing w:before="60" w:beforeLines="25" w:after="60" w:afterLines="25"/>
        <w:ind w:firstLine="392" w:firstLineChars="187"/>
        <w:rPr>
          <w:rFonts w:ascii="宋体" w:hAnsi="宋体"/>
          <w:szCs w:val="21"/>
        </w:rPr>
      </w:pPr>
    </w:p>
    <w:p>
      <w:r>
        <w:rPr>
          <w:rFonts w:hint="eastAsia"/>
        </w:rPr>
        <w:br w:type="page"/>
      </w:r>
    </w:p>
    <w:p>
      <w:pPr>
        <w:pStyle w:val="6"/>
        <w:rPr>
          <w:kern w:val="2"/>
        </w:rPr>
      </w:pPr>
      <w:r>
        <w:rPr>
          <w:rFonts w:hint="eastAsia"/>
          <w:kern w:val="2"/>
        </w:rPr>
        <w:t>第四章 投标文件组成要求及格式</w:t>
      </w:r>
    </w:p>
    <w:p>
      <w:pPr>
        <w:rPr>
          <w:rStyle w:val="56"/>
          <w:sz w:val="24"/>
        </w:rPr>
      </w:pPr>
      <w:r>
        <w:rPr>
          <w:rStyle w:val="56"/>
          <w:rFonts w:hint="eastAsia"/>
          <w:sz w:val="24"/>
        </w:rPr>
        <w:t>特别提醒：</w:t>
      </w:r>
    </w:p>
    <w:p>
      <w:pPr>
        <w:ind w:firstLine="480" w:firstLineChars="200"/>
        <w:rPr>
          <w:rFonts w:ascii="仿宋_GB2312" w:eastAsia="仿宋_GB2312"/>
          <w:sz w:val="24"/>
        </w:rPr>
      </w:pPr>
      <w:r>
        <w:rPr>
          <w:rFonts w:hint="eastAsia" w:ascii="仿宋_GB2312" w:eastAsia="仿宋_GB2312"/>
          <w:sz w:val="24"/>
        </w:rPr>
        <w:t>中标（成交）供应商的投标文件正文将对外公开，投标文件附件不公开；未中标（成交）供应商的投标文件一律不公开。投标人在编辑投标文件时，在投标文件目录中属于本节点内容的必须在本节点中填写，填写到其他节点或附件的将可能导致投标无效，一切后果由供应商自行承担。</w:t>
      </w:r>
    </w:p>
    <w:p>
      <w:pPr>
        <w:rPr>
          <w:rFonts w:ascii="仿宋_GB2312" w:eastAsia="仿宋_GB2312"/>
          <w:sz w:val="24"/>
        </w:rPr>
      </w:pPr>
      <w:r>
        <w:rPr>
          <w:rFonts w:hint="eastAsia" w:ascii="仿宋_GB2312" w:eastAsia="仿宋_GB2312"/>
          <w:sz w:val="24"/>
        </w:rPr>
        <w:t xml:space="preserve">    投标文件正文（信息公开部分）必须编制于“正文（公开部分）”，投标文件附件（非信息公开部分）必须编制于“附件（不公开部分）”，如下图所示。</w:t>
      </w:r>
    </w:p>
    <w:p>
      <w:pPr>
        <w:widowControl/>
        <w:jc w:val="left"/>
        <w:rPr>
          <w:rFonts w:ascii="宋体" w:hAnsi="宋体" w:cs="宋体"/>
          <w:kern w:val="0"/>
          <w:sz w:val="24"/>
        </w:rPr>
      </w:pPr>
    </w:p>
    <w:p>
      <w:pPr>
        <w:ind w:firstLine="480" w:firstLineChars="200"/>
        <w:rPr>
          <w:rFonts w:ascii="仿宋_GB2312" w:eastAsia="仿宋_GB2312"/>
          <w:sz w:val="24"/>
        </w:rPr>
      </w:pPr>
      <w:r>
        <w:rPr>
          <w:rFonts w:hint="eastAsia" w:ascii="仿宋_GB2312" w:eastAsia="仿宋_GB2312"/>
          <w:sz w:val="24"/>
        </w:rPr>
        <w:t>政府集中采购机构公布投标文件正文（信息公开部分）时为计算机截取信息自动公布，供应商登录深圳市自行采购平台后下载附件。</w:t>
      </w:r>
      <w:r>
        <w:rPr>
          <w:rFonts w:hint="eastAsia" w:ascii="仿宋_GB2312" w:eastAsia="仿宋_GB2312"/>
          <w:b/>
          <w:bCs/>
          <w:sz w:val="24"/>
        </w:rPr>
        <w:t>如投标人误将涉及个人隐私的信息放入投标文件正文，相关后果由投标人自负；</w:t>
      </w:r>
      <w:r>
        <w:rPr>
          <w:rFonts w:hint="eastAsia" w:ascii="仿宋_GB2312" w:eastAsia="仿宋_GB2312"/>
          <w:sz w:val="24"/>
          <w:highlight w:val="yellow"/>
        </w:rPr>
        <w:t>如投标人将必须放于投标文件正文（信息公开部分）的内容放入投标文件附件（非信息公开部分），将作投标无效处理。</w:t>
      </w:r>
    </w:p>
    <w:p>
      <w:pPr>
        <w:ind w:firstLine="480" w:firstLineChars="200"/>
        <w:rPr>
          <w:rFonts w:ascii="仿宋_GB2312" w:eastAsia="仿宋_GB2312"/>
          <w:sz w:val="24"/>
        </w:rPr>
      </w:pPr>
    </w:p>
    <w:p>
      <w:pPr>
        <w:ind w:firstLine="481" w:firstLineChars="200"/>
        <w:rPr>
          <w:rFonts w:ascii="宋体" w:hAnsi="宋体"/>
          <w:b/>
          <w:sz w:val="24"/>
        </w:rPr>
      </w:pPr>
    </w:p>
    <w:p>
      <w:pPr>
        <w:rPr>
          <w:rFonts w:ascii="宋体" w:hAnsi="宋体"/>
          <w:sz w:val="24"/>
        </w:rPr>
      </w:pPr>
      <w:r>
        <w:rPr>
          <w:rFonts w:hint="eastAsia" w:ascii="宋体" w:hAnsi="宋体"/>
          <w:sz w:val="24"/>
        </w:rPr>
        <w:br w:type="page"/>
      </w:r>
    </w:p>
    <w:p>
      <w:pPr>
        <w:rPr>
          <w:rFonts w:ascii="宋体" w:hAnsi="宋体"/>
          <w:sz w:val="24"/>
        </w:rPr>
      </w:pPr>
      <w:r>
        <w:rPr>
          <w:rFonts w:hint="eastAsia" w:ascii="宋体" w:hAnsi="宋体"/>
          <w:sz w:val="24"/>
        </w:rPr>
        <w:t>投标文件组成：</w:t>
      </w:r>
    </w:p>
    <w:p>
      <w:pPr>
        <w:ind w:firstLine="1200" w:firstLineChars="500"/>
        <w:rPr>
          <w:rFonts w:ascii="宋体" w:hAnsi="宋体"/>
          <w:sz w:val="24"/>
        </w:rPr>
      </w:pPr>
      <w:r>
        <w:rPr>
          <w:rFonts w:hint="eastAsia" w:ascii="宋体" w:hAnsi="宋体"/>
          <w:sz w:val="24"/>
        </w:rPr>
        <w:t>1.投标文件正文</w:t>
      </w:r>
      <w:r>
        <w:rPr>
          <w:rFonts w:hint="eastAsia" w:ascii="宋体" w:hAnsi="宋体"/>
          <w:b/>
          <w:color w:val="FF0000"/>
          <w:sz w:val="24"/>
        </w:rPr>
        <w:t>（信息公开部分）</w:t>
      </w:r>
      <w:r>
        <w:rPr>
          <w:rFonts w:hint="eastAsia" w:ascii="宋体" w:hAnsi="宋体"/>
          <w:sz w:val="24"/>
        </w:rPr>
        <w:t>，主要包括以下内容：</w:t>
      </w:r>
    </w:p>
    <w:p>
      <w:pPr>
        <w:ind w:left="718" w:leftChars="342" w:firstLine="1417" w:firstLineChars="675"/>
        <w:rPr>
          <w:szCs w:val="21"/>
        </w:rPr>
      </w:pPr>
      <w:r>
        <w:rPr>
          <w:rFonts w:hint="eastAsia"/>
          <w:szCs w:val="21"/>
        </w:rPr>
        <w:t>（1）</w:t>
      </w:r>
      <w:bookmarkStart w:id="40" w:name="_Hlk72070784"/>
      <w:r>
        <w:rPr>
          <w:rFonts w:hint="eastAsia"/>
          <w:szCs w:val="21"/>
        </w:rPr>
        <w:t>投标函</w:t>
      </w:r>
      <w:bookmarkEnd w:id="40"/>
    </w:p>
    <w:p>
      <w:pPr>
        <w:ind w:left="718" w:leftChars="342" w:firstLine="1417" w:firstLineChars="675"/>
        <w:rPr>
          <w:szCs w:val="21"/>
        </w:rPr>
      </w:pPr>
      <w:r>
        <w:rPr>
          <w:rFonts w:hint="eastAsia"/>
          <w:szCs w:val="21"/>
        </w:rPr>
        <w:t>（2）</w:t>
      </w:r>
      <w:bookmarkStart w:id="41" w:name="_Hlk72062521"/>
      <w:r>
        <w:rPr>
          <w:rFonts w:hint="eastAsia"/>
          <w:szCs w:val="21"/>
        </w:rPr>
        <w:t>政府采购投标及履约承诺函</w:t>
      </w:r>
      <w:bookmarkEnd w:id="41"/>
    </w:p>
    <w:p>
      <w:pPr>
        <w:ind w:left="718" w:leftChars="342" w:firstLine="1417" w:firstLineChars="675"/>
        <w:rPr>
          <w:szCs w:val="21"/>
        </w:rPr>
      </w:pPr>
      <w:r>
        <w:rPr>
          <w:rFonts w:hint="eastAsia"/>
          <w:szCs w:val="21"/>
        </w:rPr>
        <w:t>（</w:t>
      </w:r>
      <w:r>
        <w:rPr>
          <w:szCs w:val="21"/>
        </w:rPr>
        <w:t>3</w:t>
      </w:r>
      <w:r>
        <w:rPr>
          <w:rFonts w:hint="eastAsia"/>
          <w:szCs w:val="21"/>
        </w:rPr>
        <w:t>）投标人情况及资格证明文件</w:t>
      </w:r>
    </w:p>
    <w:p>
      <w:pPr>
        <w:ind w:left="718" w:leftChars="342" w:firstLine="1627" w:firstLineChars="775"/>
        <w:rPr>
          <w:szCs w:val="21"/>
        </w:rPr>
      </w:pPr>
      <w:r>
        <w:rPr>
          <w:rFonts w:hint="eastAsia" w:ascii="宋体" w:hAnsi="宋体"/>
          <w:szCs w:val="21"/>
        </w:rPr>
        <w:t>……</w:t>
      </w:r>
    </w:p>
    <w:p>
      <w:pPr>
        <w:ind w:firstLine="1200" w:firstLineChars="500"/>
        <w:rPr>
          <w:rFonts w:ascii="宋体" w:hAnsi="宋体"/>
          <w:sz w:val="24"/>
        </w:rPr>
      </w:pPr>
      <w:r>
        <w:rPr>
          <w:rFonts w:hint="eastAsia" w:ascii="宋体" w:hAnsi="宋体"/>
          <w:sz w:val="24"/>
        </w:rPr>
        <w:t>2.投标文件附件</w:t>
      </w:r>
      <w:r>
        <w:rPr>
          <w:rFonts w:hint="eastAsia" w:ascii="宋体" w:hAnsi="宋体"/>
          <w:b/>
          <w:color w:val="FF0000"/>
          <w:sz w:val="24"/>
        </w:rPr>
        <w:t>（信息不公开部分）</w:t>
      </w:r>
      <w:r>
        <w:rPr>
          <w:rFonts w:hint="eastAsia" w:ascii="宋体" w:hAnsi="宋体"/>
          <w:sz w:val="24"/>
        </w:rPr>
        <w:t>：主要包括以下内容：</w:t>
      </w:r>
    </w:p>
    <w:p>
      <w:pPr>
        <w:ind w:firstLine="2100" w:firstLineChars="1000"/>
        <w:rPr>
          <w:szCs w:val="21"/>
        </w:rPr>
      </w:pPr>
      <w:r>
        <w:rPr>
          <w:rFonts w:hint="eastAsia"/>
          <w:szCs w:val="21"/>
        </w:rPr>
        <w:t>（1）供应商基本情况表</w:t>
      </w:r>
    </w:p>
    <w:p>
      <w:pPr>
        <w:ind w:firstLine="2100" w:firstLineChars="1000"/>
        <w:rPr>
          <w:szCs w:val="21"/>
        </w:rPr>
      </w:pPr>
      <w:r>
        <w:rPr>
          <w:rFonts w:hint="eastAsia"/>
          <w:szCs w:val="21"/>
        </w:rPr>
        <w:t>（2）法定代表人（负责人）证明书</w:t>
      </w:r>
    </w:p>
    <w:p>
      <w:pPr>
        <w:ind w:left="718" w:leftChars="342" w:firstLine="1417" w:firstLineChars="675"/>
        <w:rPr>
          <w:szCs w:val="21"/>
        </w:rPr>
      </w:pPr>
      <w:r>
        <w:rPr>
          <w:rFonts w:hint="eastAsia"/>
          <w:szCs w:val="21"/>
        </w:rPr>
        <w:t>（3）投标文件签署授权委托书</w:t>
      </w:r>
    </w:p>
    <w:p>
      <w:pPr>
        <w:ind w:left="718" w:leftChars="342" w:firstLine="1417" w:firstLineChars="675"/>
        <w:rPr>
          <w:szCs w:val="21"/>
        </w:rPr>
      </w:pPr>
      <w:r>
        <w:rPr>
          <w:rFonts w:hint="eastAsia"/>
          <w:szCs w:val="21"/>
        </w:rPr>
        <w:t>（4）项目详细报价</w:t>
      </w:r>
    </w:p>
    <w:p>
      <w:pPr>
        <w:ind w:left="718" w:leftChars="342" w:firstLine="1417" w:firstLineChars="675"/>
        <w:rPr>
          <w:szCs w:val="21"/>
        </w:rPr>
      </w:pPr>
      <w:r>
        <w:rPr>
          <w:rFonts w:hint="eastAsia"/>
          <w:szCs w:val="21"/>
        </w:rPr>
        <w:t>（5）</w:t>
      </w:r>
      <w:r>
        <w:rPr>
          <w:szCs w:val="21"/>
        </w:rPr>
        <w:t>实质性条款响应情况表</w:t>
      </w:r>
    </w:p>
    <w:p>
      <w:pPr>
        <w:ind w:left="718" w:leftChars="342" w:firstLine="1417" w:firstLineChars="675"/>
        <w:rPr>
          <w:szCs w:val="21"/>
        </w:rPr>
      </w:pPr>
      <w:r>
        <w:rPr>
          <w:rFonts w:hint="eastAsia"/>
          <w:szCs w:val="21"/>
        </w:rPr>
        <w:t>（6）投标人认为需要加以说明的其他内容</w:t>
      </w:r>
    </w:p>
    <w:p>
      <w:pPr>
        <w:ind w:left="718" w:leftChars="342" w:firstLine="1417" w:firstLineChars="675"/>
        <w:rPr>
          <w:rFonts w:ascii="宋体" w:hAnsi="宋体"/>
          <w:szCs w:val="21"/>
        </w:rPr>
      </w:pPr>
      <w:r>
        <w:rPr>
          <w:rFonts w:hint="eastAsia" w:ascii="宋体" w:hAnsi="宋体"/>
          <w:szCs w:val="21"/>
        </w:rPr>
        <w:t>……</w:t>
      </w:r>
    </w:p>
    <w:p>
      <w:pPr>
        <w:pStyle w:val="2"/>
      </w:pPr>
    </w:p>
    <w:p>
      <w:pPr>
        <w:pStyle w:val="8"/>
        <w:ind w:firstLine="0"/>
        <w:rPr>
          <w:rFonts w:ascii="宋体" w:hAnsi="宋体"/>
          <w:szCs w:val="21"/>
        </w:rPr>
      </w:pPr>
    </w:p>
    <w:p>
      <w:pPr>
        <w:rPr>
          <w:rFonts w:ascii="仿宋_GB2312" w:eastAsia="仿宋_GB2312"/>
          <w:sz w:val="24"/>
        </w:rPr>
      </w:pPr>
    </w:p>
    <w:p>
      <w:pPr>
        <w:ind w:firstLine="425" w:firstLineChars="202"/>
        <w:rPr>
          <w:rFonts w:ascii="宋体" w:hAnsi="宋体"/>
          <w:b/>
          <w:szCs w:val="21"/>
        </w:rPr>
      </w:pPr>
      <w:r>
        <w:rPr>
          <w:rFonts w:hint="eastAsia" w:ascii="宋体" w:hAnsi="宋体"/>
          <w:b/>
          <w:szCs w:val="21"/>
        </w:rPr>
        <w:t>备注：</w:t>
      </w:r>
    </w:p>
    <w:p>
      <w:pPr>
        <w:ind w:firstLine="425" w:firstLineChars="202"/>
        <w:rPr>
          <w:rFonts w:ascii="宋体" w:hAnsi="宋体"/>
          <w:b/>
          <w:szCs w:val="21"/>
        </w:rPr>
      </w:pPr>
      <w:r>
        <w:rPr>
          <w:rFonts w:hint="eastAsia" w:ascii="宋体" w:hAnsi="宋体"/>
          <w:b/>
          <w:szCs w:val="21"/>
        </w:rPr>
        <w:t>1.本项目为网上电子投标项目，投标文件不需法人或授权委托人另行签字，无需加盖单位公章，招标文件另有规定的除外。</w:t>
      </w:r>
    </w:p>
    <w:p>
      <w:pPr>
        <w:ind w:firstLine="425" w:firstLineChars="202"/>
        <w:rPr>
          <w:rFonts w:ascii="宋体" w:hAnsi="宋体"/>
          <w:b/>
          <w:szCs w:val="21"/>
        </w:rPr>
      </w:pPr>
      <w:r>
        <w:rPr>
          <w:rFonts w:hint="eastAsia" w:ascii="宋体" w:hAnsi="宋体"/>
          <w:b/>
          <w:szCs w:val="21"/>
        </w:rPr>
        <w:t>2.关于填写“开标一览表”的说明：“开标一览表”中除“投标总价”外，其他信息不作评审依据。</w:t>
      </w:r>
    </w:p>
    <w:p>
      <w:pPr>
        <w:rPr>
          <w:rFonts w:ascii="仿宋_GB2312" w:eastAsia="仿宋_GB2312"/>
          <w:sz w:val="24"/>
        </w:rPr>
      </w:pPr>
    </w:p>
    <w:p>
      <w:pPr>
        <w:rPr>
          <w:rFonts w:ascii="宋体" w:hAnsi="宋体"/>
          <w:b/>
          <w:szCs w:val="21"/>
        </w:rPr>
      </w:pPr>
    </w:p>
    <w:p>
      <w:pPr>
        <w:rPr>
          <w:rFonts w:ascii="宋体" w:hAnsi="宋体"/>
          <w:b/>
          <w:szCs w:val="21"/>
        </w:rPr>
      </w:pPr>
    </w:p>
    <w:p>
      <w:pPr>
        <w:jc w:val="left"/>
        <w:rPr>
          <w:rFonts w:ascii="宋体" w:hAnsi="宋体"/>
          <w:b/>
          <w:color w:val="FF0000"/>
          <w:sz w:val="36"/>
          <w:szCs w:val="36"/>
        </w:rPr>
      </w:pPr>
      <w:r>
        <w:rPr>
          <w:rFonts w:hint="eastAsia" w:ascii="宋体" w:hAnsi="宋体"/>
          <w:b/>
          <w:color w:val="FF0000"/>
          <w:sz w:val="36"/>
          <w:szCs w:val="36"/>
        </w:rPr>
        <w:br w:type="page"/>
      </w:r>
    </w:p>
    <w:p>
      <w:pPr>
        <w:outlineLvl w:val="1"/>
        <w:rPr>
          <w:rFonts w:ascii="宋体" w:hAnsi="宋体"/>
          <w:b/>
          <w:color w:val="FF0000"/>
          <w:sz w:val="28"/>
          <w:szCs w:val="28"/>
        </w:rPr>
      </w:pPr>
      <w:r>
        <w:rPr>
          <w:rFonts w:hint="eastAsia" w:ascii="宋体" w:hAnsi="宋体"/>
          <w:b/>
          <w:color w:val="FF0000"/>
          <w:sz w:val="28"/>
          <w:szCs w:val="28"/>
        </w:rPr>
        <w:t>投标文件正文（信息公开部分）</w:t>
      </w:r>
    </w:p>
    <w:p>
      <w:pPr>
        <w:pStyle w:val="4"/>
        <w:jc w:val="center"/>
        <w:rPr>
          <w:rFonts w:ascii="黑体" w:eastAsia="黑体"/>
          <w:b w:val="0"/>
          <w:kern w:val="0"/>
          <w:sz w:val="24"/>
        </w:rPr>
      </w:pPr>
      <w:r>
        <w:rPr>
          <w:rFonts w:hint="eastAsia" w:ascii="黑体" w:eastAsia="黑体"/>
          <w:b w:val="0"/>
          <w:kern w:val="0"/>
          <w:sz w:val="24"/>
        </w:rPr>
        <w:t>一、投标函</w:t>
      </w:r>
    </w:p>
    <w:p>
      <w:pPr>
        <w:spacing w:line="360" w:lineRule="auto"/>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color w:val="FF0000"/>
          <w:szCs w:val="21"/>
          <w:u w:val="single"/>
        </w:rPr>
        <w:t>深圳公共资源交易中心</w:t>
      </w:r>
      <w:r>
        <w:rPr>
          <w:rFonts w:hint="eastAsia" w:ascii="宋体" w:hAnsi="宋体"/>
          <w:szCs w:val="21"/>
          <w:u w:val="single"/>
        </w:rPr>
        <w:t xml:space="preserve">  </w:t>
      </w:r>
    </w:p>
    <w:p>
      <w:pPr>
        <w:ind w:firstLine="420" w:firstLineChars="200"/>
        <w:rPr>
          <w:rFonts w:ascii="宋体" w:hAnsi="宋体"/>
          <w:szCs w:val="21"/>
        </w:rPr>
      </w:pPr>
      <w:bookmarkStart w:id="42" w:name="_Hlk73818812"/>
      <w:r>
        <w:rPr>
          <w:rFonts w:hint="eastAsia"/>
          <w:szCs w:val="21"/>
        </w:rPr>
        <w:t>1.根据已收到贵单位的项目编号为</w:t>
      </w:r>
      <w:r>
        <w:rPr>
          <w:rFonts w:hint="eastAsia"/>
          <w:szCs w:val="21"/>
          <w:u w:val="thick"/>
        </w:rPr>
        <w:t xml:space="preserve">        </w:t>
      </w:r>
      <w:r>
        <w:rPr>
          <w:rFonts w:hint="eastAsia"/>
          <w:szCs w:val="21"/>
        </w:rPr>
        <w:t>的</w:t>
      </w:r>
      <w:r>
        <w:rPr>
          <w:rFonts w:hint="eastAsia"/>
          <w:szCs w:val="21"/>
          <w:u w:val="thick"/>
        </w:rPr>
        <w:t xml:space="preserve">    （项目名称）       </w:t>
      </w:r>
      <w:r>
        <w:rPr>
          <w:rFonts w:hint="eastAsia"/>
          <w:szCs w:val="21"/>
        </w:rPr>
        <w:t>项目的招标文件，遵照《深圳经济特区政府采购条例》和《深圳网上政府采购管理暂行办法》等有关规定，我单位经研究上述招标文件的专用条款及通用条款后，</w:t>
      </w:r>
      <w:bookmarkStart w:id="43" w:name="_Hlk72263588"/>
      <w:r>
        <w:rPr>
          <w:rFonts w:hint="eastAsia"/>
          <w:szCs w:val="21"/>
        </w:rPr>
        <w:t>愿意按照招标文件要求承包上述项目并修补其任何缺陷。</w:t>
      </w:r>
      <w:bookmarkEnd w:id="43"/>
    </w:p>
    <w:p>
      <w:pPr>
        <w:ind w:firstLine="420" w:firstLineChars="200"/>
        <w:rPr>
          <w:rFonts w:ascii="宋体" w:hAnsi="宋体"/>
          <w:szCs w:val="21"/>
        </w:rPr>
      </w:pPr>
      <w:r>
        <w:rPr>
          <w:rFonts w:hint="eastAsia" w:ascii="宋体" w:hAnsi="宋体"/>
          <w:szCs w:val="21"/>
        </w:rPr>
        <w:t>2.投标价格见</w:t>
      </w:r>
      <w:r>
        <w:rPr>
          <w:rFonts w:hint="eastAsia"/>
          <w:szCs w:val="21"/>
        </w:rPr>
        <w:t>投标书编制软件中《开标一览表》中填写的投标总价。</w:t>
      </w:r>
    </w:p>
    <w:p>
      <w:pPr>
        <w:ind w:firstLine="420" w:firstLineChars="200"/>
        <w:rPr>
          <w:rFonts w:ascii="宋体" w:hAnsi="宋体"/>
          <w:szCs w:val="21"/>
        </w:rPr>
      </w:pPr>
      <w:r>
        <w:rPr>
          <w:rFonts w:hint="eastAsia" w:ascii="宋体" w:hAnsi="宋体"/>
          <w:szCs w:val="21"/>
        </w:rPr>
        <w:t>3.如果我单位中标，我单位将按照招标文件的要求足额提交履约担保。</w:t>
      </w:r>
    </w:p>
    <w:p>
      <w:pPr>
        <w:ind w:firstLine="420" w:firstLineChars="200"/>
        <w:rPr>
          <w:rFonts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pPr>
        <w:ind w:firstLine="420" w:firstLineChars="200"/>
        <w:rPr>
          <w:rFonts w:ascii="宋体" w:hAnsi="宋体"/>
          <w:szCs w:val="21"/>
        </w:rPr>
      </w:pPr>
      <w:r>
        <w:rPr>
          <w:rFonts w:hint="eastAsia" w:ascii="宋体" w:hAnsi="宋体"/>
          <w:szCs w:val="21"/>
        </w:rPr>
        <w:t>5.除非另外达成协议并生效，贵单位的中标通知书和本投标文件将构成合同的重要内容。</w:t>
      </w:r>
    </w:p>
    <w:p>
      <w:pPr>
        <w:ind w:left="420" w:leftChars="200"/>
        <w:rPr>
          <w:rFonts w:ascii="宋体" w:hAnsi="宋体"/>
          <w:szCs w:val="21"/>
        </w:rPr>
      </w:pPr>
      <w:r>
        <w:rPr>
          <w:rFonts w:hint="eastAsia" w:ascii="宋体" w:hAnsi="宋体"/>
          <w:szCs w:val="21"/>
        </w:rPr>
        <w:t>6.我单位理解贵单位将不受必须接受所收到的最低报价或其它任何投标文件的约束。</w:t>
      </w:r>
      <w:bookmarkEnd w:id="42"/>
    </w:p>
    <w:p>
      <w:pPr>
        <w:ind w:firstLine="421" w:firstLineChars="200"/>
        <w:rPr>
          <w:rFonts w:ascii="宋体" w:hAnsi="宋体"/>
          <w:b/>
          <w:szCs w:val="21"/>
        </w:rPr>
      </w:pPr>
      <w:r>
        <w:rPr>
          <w:rFonts w:hint="eastAsia" w:ascii="宋体" w:hAnsi="宋体"/>
          <w:b/>
          <w:szCs w:val="21"/>
        </w:rPr>
        <w:t>7.</w:t>
      </w:r>
      <w:r>
        <w:rPr>
          <w:rFonts w:ascii="宋体" w:hAnsi="宋体"/>
          <w:b/>
          <w:szCs w:val="21"/>
        </w:rPr>
        <w:t>如我单位提交样品，且未在规定时间内取回样品的，视</w:t>
      </w:r>
      <w:r>
        <w:rPr>
          <w:rFonts w:hint="eastAsia" w:ascii="宋体" w:hAnsi="宋体"/>
          <w:b/>
          <w:szCs w:val="21"/>
        </w:rPr>
        <w:t>为</w:t>
      </w:r>
      <w:r>
        <w:rPr>
          <w:rFonts w:ascii="宋体" w:hAnsi="宋体"/>
          <w:b/>
          <w:szCs w:val="21"/>
        </w:rPr>
        <w:t>放弃</w:t>
      </w:r>
      <w:r>
        <w:rPr>
          <w:rFonts w:hint="eastAsia" w:ascii="宋体" w:hAnsi="宋体"/>
          <w:b/>
          <w:szCs w:val="21"/>
        </w:rPr>
        <w:t>对样品的所有权</w:t>
      </w:r>
      <w:r>
        <w:rPr>
          <w:rFonts w:ascii="宋体" w:hAnsi="宋体"/>
          <w:b/>
          <w:szCs w:val="21"/>
        </w:rPr>
        <w:t>，同意深圳公共资源交易中心对我单位提交的样品进行清理</w:t>
      </w:r>
      <w:r>
        <w:rPr>
          <w:rFonts w:hint="eastAsia" w:ascii="宋体" w:hAnsi="宋体"/>
          <w:b/>
          <w:szCs w:val="21"/>
        </w:rPr>
        <w:t>处置</w:t>
      </w:r>
      <w:r>
        <w:rPr>
          <w:rFonts w:ascii="宋体" w:hAnsi="宋体"/>
          <w:b/>
          <w:szCs w:val="21"/>
        </w:rPr>
        <w:t>。</w:t>
      </w:r>
    </w:p>
    <w:p>
      <w:pPr>
        <w:ind w:firstLine="421" w:firstLineChars="200"/>
        <w:rPr>
          <w:rFonts w:ascii="宋体" w:hAnsi="宋体"/>
          <w:b/>
          <w:szCs w:val="21"/>
        </w:rPr>
      </w:pPr>
      <w:bookmarkStart w:id="44" w:name="OLE_LINK40"/>
      <w:r>
        <w:rPr>
          <w:rFonts w:hint="eastAsia" w:ascii="宋体" w:hAnsi="宋体"/>
          <w:b/>
          <w:szCs w:val="21"/>
        </w:rPr>
        <w:t>8、如果我方中标，我方保证在中标（成交）结果公示结束之日的次日起7个工作日内向深圳公共资源交易中心（深圳交易集团有限公司</w:t>
      </w:r>
      <w:r>
        <w:rPr>
          <w:rFonts w:hint="eastAsia" w:ascii="宋体" w:hAnsi="宋体"/>
          <w:b/>
          <w:szCs w:val="21"/>
          <w:lang w:eastAsia="zh-CN"/>
        </w:rPr>
        <w:t>盐田</w:t>
      </w:r>
      <w:r>
        <w:rPr>
          <w:rFonts w:hint="eastAsia" w:ascii="宋体" w:hAnsi="宋体"/>
          <w:b/>
          <w:szCs w:val="21"/>
        </w:rPr>
        <w:t>分公司）交纳代理服务费。</w:t>
      </w:r>
    </w:p>
    <w:bookmarkEnd w:id="44"/>
    <w:p>
      <w:pPr>
        <w:ind w:left="420" w:leftChars="200"/>
        <w:rPr>
          <w:rFonts w:ascii="宋体" w:hAnsi="宋体"/>
          <w:b/>
          <w:szCs w:val="21"/>
        </w:rPr>
      </w:pPr>
    </w:p>
    <w:p>
      <w:pPr>
        <w:ind w:left="420" w:leftChars="200" w:firstLine="210" w:firstLineChars="100"/>
        <w:rPr>
          <w:szCs w:val="21"/>
        </w:rPr>
      </w:pPr>
      <w:r>
        <w:rPr>
          <w:rFonts w:hint="eastAsia"/>
          <w:szCs w:val="21"/>
        </w:rPr>
        <w:t>投标人：</w:t>
      </w:r>
      <w:r>
        <w:rPr>
          <w:rFonts w:hint="eastAsia"/>
          <w:szCs w:val="21"/>
          <w:u w:val="thick"/>
        </w:rPr>
        <w:t xml:space="preserve">       </w:t>
      </w:r>
      <w:r>
        <w:rPr>
          <w:rFonts w:hint="eastAsia"/>
          <w:szCs w:val="21"/>
        </w:rPr>
        <w:t>；  单位地址：</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法定代表人（负责人）或其授权委托代理人：</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电话：</w:t>
      </w:r>
      <w:r>
        <w:rPr>
          <w:rFonts w:hint="eastAsia"/>
          <w:szCs w:val="21"/>
          <w:u w:val="thick"/>
        </w:rPr>
        <w:t xml:space="preserve">         </w:t>
      </w:r>
      <w:r>
        <w:rPr>
          <w:rFonts w:hint="eastAsia"/>
          <w:szCs w:val="21"/>
        </w:rPr>
        <w:t xml:space="preserve"> ；     </w:t>
      </w:r>
    </w:p>
    <w:p>
      <w:pPr>
        <w:ind w:left="420" w:leftChars="200" w:firstLine="210" w:firstLineChars="100"/>
        <w:rPr>
          <w:sz w:val="24"/>
        </w:rPr>
      </w:pPr>
      <w:r>
        <w:rPr>
          <w:rFonts w:hint="eastAsia" w:ascii="宋体" w:hAnsi="宋体"/>
          <w:szCs w:val="21"/>
        </w:rPr>
        <w:t>日期：</w:t>
      </w:r>
      <w:r>
        <w:rPr>
          <w:rFonts w:hint="eastAsia" w:ascii="宋体" w:hAnsi="宋体"/>
          <w:szCs w:val="21"/>
          <w:u w:val="thick"/>
        </w:rPr>
        <w:t xml:space="preserve">       </w:t>
      </w:r>
      <w:r>
        <w:rPr>
          <w:rFonts w:hint="eastAsia" w:ascii="宋体" w:hAnsi="宋体"/>
          <w:szCs w:val="21"/>
        </w:rPr>
        <w:t>年</w:t>
      </w:r>
      <w:r>
        <w:rPr>
          <w:rFonts w:hint="eastAsia" w:ascii="宋体" w:hAnsi="宋体"/>
          <w:szCs w:val="21"/>
          <w:u w:val="thick"/>
        </w:rPr>
        <w:t xml:space="preserve">     </w:t>
      </w:r>
      <w:r>
        <w:rPr>
          <w:rFonts w:hint="eastAsia" w:ascii="宋体" w:hAnsi="宋体"/>
          <w:szCs w:val="21"/>
        </w:rPr>
        <w:t>月</w:t>
      </w:r>
      <w:r>
        <w:rPr>
          <w:rFonts w:hint="eastAsia" w:ascii="宋体" w:hAnsi="宋体"/>
          <w:szCs w:val="21"/>
          <w:u w:val="thick"/>
        </w:rPr>
        <w:t xml:space="preserve">    </w:t>
      </w:r>
      <w:r>
        <w:rPr>
          <w:rFonts w:hint="eastAsia" w:ascii="宋体" w:hAnsi="宋体"/>
          <w:szCs w:val="21"/>
        </w:rPr>
        <w:t>日</w:t>
      </w:r>
      <w:r>
        <w:rPr>
          <w:rFonts w:hint="eastAsia"/>
          <w:sz w:val="24"/>
        </w:rPr>
        <w:t xml:space="preserve">                                </w:t>
      </w:r>
    </w:p>
    <w:p>
      <w:pPr>
        <w:ind w:left="420" w:leftChars="200"/>
        <w:rPr>
          <w:sz w:val="24"/>
        </w:rPr>
      </w:pPr>
      <w:r>
        <w:rPr>
          <w:rFonts w:hint="eastAsia"/>
          <w:sz w:val="24"/>
        </w:rPr>
        <w:t xml:space="preserve">                       </w:t>
      </w:r>
    </w:p>
    <w:p>
      <w:pPr>
        <w:rPr>
          <w:rFonts w:ascii="黑体" w:hAnsi="宋体" w:eastAsia="黑体"/>
        </w:rPr>
      </w:pPr>
    </w:p>
    <w:p>
      <w:pPr>
        <w:rPr>
          <w:rFonts w:ascii="宋体" w:hAnsi="宋体"/>
          <w:szCs w:val="21"/>
        </w:rPr>
      </w:pPr>
    </w:p>
    <w:p>
      <w:pPr>
        <w:pStyle w:val="4"/>
        <w:jc w:val="center"/>
        <w:rPr>
          <w:rFonts w:ascii="黑体" w:eastAsia="黑体"/>
          <w:b w:val="0"/>
          <w:kern w:val="0"/>
          <w:sz w:val="24"/>
        </w:rPr>
      </w:pPr>
      <w:r>
        <w:rPr>
          <w:rFonts w:hint="eastAsia" w:ascii="黑体" w:eastAsia="黑体"/>
          <w:b w:val="0"/>
          <w:kern w:val="0"/>
          <w:sz w:val="24"/>
        </w:rPr>
        <w:t>二、政府采购投标及履约承诺函</w:t>
      </w:r>
    </w:p>
    <w:p>
      <w:pPr>
        <w:rPr>
          <w:rFonts w:ascii="宋体" w:hAnsi="宋体"/>
          <w:sz w:val="24"/>
        </w:rPr>
      </w:pPr>
    </w:p>
    <w:p>
      <w:pPr>
        <w:rPr>
          <w:rFonts w:ascii="宋体" w:hAnsi="宋体"/>
          <w:color w:val="FF0000"/>
          <w:szCs w:val="21"/>
        </w:rPr>
      </w:pPr>
      <w:r>
        <w:rPr>
          <w:rFonts w:hint="eastAsia" w:ascii="宋体" w:hAnsi="宋体"/>
          <w:color w:val="FF0000"/>
          <w:szCs w:val="21"/>
        </w:rPr>
        <w:t>致：</w:t>
      </w:r>
      <w:r>
        <w:rPr>
          <w:rFonts w:hint="eastAsia" w:ascii="宋体" w:hAnsi="宋体"/>
          <w:color w:val="FF0000"/>
          <w:szCs w:val="21"/>
          <w:u w:val="single"/>
        </w:rPr>
        <w:t>深圳公共资源交易中心</w:t>
      </w:r>
    </w:p>
    <w:p>
      <w:pPr>
        <w:ind w:right="-815" w:firstLine="420" w:firstLineChars="200"/>
        <w:rPr>
          <w:rFonts w:ascii="宋体" w:hAnsi="宋体"/>
          <w:szCs w:val="21"/>
        </w:rPr>
      </w:pPr>
      <w:r>
        <w:rPr>
          <w:rFonts w:hint="eastAsia" w:ascii="宋体" w:hAnsi="宋体"/>
          <w:szCs w:val="21"/>
        </w:rPr>
        <w:t>我单位承诺：</w:t>
      </w:r>
    </w:p>
    <w:p>
      <w:pPr>
        <w:ind w:firstLine="420" w:firstLineChars="200"/>
      </w:pPr>
      <w:r>
        <w:rPr>
          <w:rFonts w:hint="eastAsia" w:ascii="宋体" w:hAnsi="宋体"/>
          <w:bCs/>
          <w:szCs w:val="21"/>
        </w:rPr>
        <w:t>1.我单位参与本项目符合资格条件关于联合体、进口产品的要求</w:t>
      </w:r>
      <w:r>
        <w:rPr>
          <w:rFonts w:hint="eastAsia"/>
        </w:rPr>
        <w:t>。</w:t>
      </w:r>
    </w:p>
    <w:p>
      <w:pPr>
        <w:ind w:firstLine="420" w:firstLineChars="200"/>
        <w:rPr>
          <w:rFonts w:ascii="宋体" w:hAnsi="宋体"/>
          <w:szCs w:val="21"/>
        </w:rPr>
      </w:pPr>
      <w:r>
        <w:rPr>
          <w:rFonts w:hint="eastAsia" w:ascii="宋体" w:hAnsi="宋体"/>
          <w:szCs w:val="21"/>
        </w:rPr>
        <w:t>2.我单位参与本项目</w:t>
      </w:r>
      <w:r>
        <w:rPr>
          <w:rFonts w:hint="eastAsia" w:ascii="宋体" w:hAnsi="宋体"/>
        </w:rPr>
        <w:t>所投标（响应）的货物、工程或服务，不存在侵犯知识产权的情况。</w:t>
      </w:r>
    </w:p>
    <w:p>
      <w:pPr>
        <w:ind w:firstLine="420" w:firstLineChars="200"/>
        <w:rPr>
          <w:rFonts w:ascii="宋体" w:hAnsi="宋体"/>
          <w:szCs w:val="21"/>
        </w:rPr>
      </w:pPr>
      <w:r>
        <w:rPr>
          <w:rFonts w:hint="eastAsia" w:ascii="宋体" w:hAnsi="宋体"/>
          <w:szCs w:val="21"/>
        </w:rPr>
        <w:t>3.我单位参与本项目</w:t>
      </w:r>
      <w:r>
        <w:rPr>
          <w:rFonts w:hint="eastAsia"/>
        </w:rPr>
        <w:t>政府采购活动时不存在被有关部门禁止参与政府采购活动且在有效期内的情况。</w:t>
      </w:r>
    </w:p>
    <w:p>
      <w:pPr>
        <w:ind w:firstLine="420" w:firstLineChars="200"/>
        <w:rPr>
          <w:rFonts w:ascii="宋体" w:hAnsi="宋体"/>
          <w:szCs w:val="21"/>
        </w:rPr>
      </w:pPr>
      <w:r>
        <w:rPr>
          <w:rFonts w:hint="eastAsia" w:ascii="宋体" w:hAnsi="宋体"/>
          <w:szCs w:val="21"/>
        </w:rPr>
        <w:t>4.我单位具备《中华人民共和国政府采购法》第二十二条第一款规定的六项条件。</w:t>
      </w:r>
    </w:p>
    <w:p>
      <w:pPr>
        <w:ind w:firstLine="420" w:firstLineChars="200"/>
      </w:pPr>
      <w:r>
        <w:rPr>
          <w:rFonts w:hint="eastAsia" w:ascii="宋体" w:hAnsi="宋体"/>
          <w:szCs w:val="21"/>
        </w:rPr>
        <w:t>5.我单位</w:t>
      </w:r>
      <w:r>
        <w:rPr>
          <w:rFonts w:hint="eastAsia"/>
        </w:rPr>
        <w:t>未被列入失信被执行人、重大税收违法案件当事人名单、政府采购严重违法失信行为记录名单。</w:t>
      </w:r>
    </w:p>
    <w:p>
      <w:pPr>
        <w:ind w:firstLine="420" w:firstLineChars="200"/>
      </w:pPr>
      <w:r>
        <w:rPr>
          <w:rFonts w:hint="eastAsia"/>
          <w:color w:val="FF0000"/>
        </w:rPr>
        <w:t>6.我单位不存在《深圳市财政局政府采购供应商信用信息管理办法》（深财规〔2023〕3号）列明的严重违法失信行为。</w:t>
      </w:r>
    </w:p>
    <w:p>
      <w:pPr>
        <w:ind w:firstLine="420" w:firstLineChars="200"/>
        <w:rPr>
          <w:rFonts w:ascii="宋体" w:hAnsi="宋体"/>
          <w:szCs w:val="21"/>
        </w:rPr>
      </w:pPr>
      <w:r>
        <w:rPr>
          <w:rFonts w:hint="eastAsia" w:ascii="宋体" w:hAnsi="宋体"/>
          <w:szCs w:val="21"/>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ind w:firstLine="420" w:firstLineChars="200"/>
        <w:rPr>
          <w:rFonts w:ascii="宋体" w:hAnsi="宋体"/>
          <w:szCs w:val="21"/>
        </w:rPr>
      </w:pPr>
      <w:r>
        <w:rPr>
          <w:rFonts w:hint="eastAsia" w:ascii="宋体" w:hAnsi="宋体"/>
          <w:szCs w:val="21"/>
        </w:rPr>
        <w:t>8.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ind w:firstLine="420" w:firstLineChars="200"/>
        <w:rPr>
          <w:rFonts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ind w:firstLine="420" w:firstLineChars="200"/>
        <w:rPr>
          <w:rFonts w:ascii="宋体" w:hAnsi="宋体"/>
          <w:szCs w:val="21"/>
        </w:rPr>
      </w:pPr>
      <w:r>
        <w:rPr>
          <w:rFonts w:hint="eastAsia" w:ascii="宋体" w:hAnsi="宋体"/>
          <w:szCs w:val="21"/>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ind w:firstLine="420" w:firstLineChars="200"/>
        <w:rPr>
          <w:rFonts w:ascii="宋体" w:hAnsi="宋体"/>
          <w:szCs w:val="21"/>
        </w:rPr>
      </w:pPr>
      <w:r>
        <w:rPr>
          <w:rFonts w:hint="eastAsia" w:ascii="宋体" w:hAnsi="宋体"/>
          <w:szCs w:val="21"/>
        </w:rPr>
        <w:t>10.我单位承诺中标后项目不转包，未经采购人同意不进行分包。</w:t>
      </w:r>
    </w:p>
    <w:p>
      <w:pPr>
        <w:ind w:firstLine="420" w:firstLineChars="200"/>
        <w:rPr>
          <w:rFonts w:ascii="宋体" w:hAnsi="宋体"/>
        </w:rPr>
      </w:pPr>
      <w:r>
        <w:rPr>
          <w:rFonts w:hint="eastAsia" w:ascii="宋体" w:hAnsi="宋体"/>
          <w:szCs w:val="21"/>
        </w:rPr>
        <w:t>11</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ind w:firstLine="420" w:firstLineChars="200"/>
        <w:rPr>
          <w:rFonts w:ascii="宋体" w:hAnsi="宋体" w:cs="宋体"/>
          <w:b/>
          <w:kern w:val="0"/>
          <w:szCs w:val="21"/>
        </w:rPr>
      </w:pPr>
      <w:r>
        <w:rPr>
          <w:rFonts w:hint="eastAsia" w:ascii="宋体" w:hAnsi="宋体"/>
        </w:rPr>
        <w:t>12</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号）列明的政府采购强制产品，则所投该产品符合节能产品的认证要求。若所投产品包括数据中心相关设备的，应满足</w:t>
      </w:r>
      <w:r>
        <w:rPr>
          <w:rFonts w:hint="eastAsia"/>
        </w:rPr>
        <w:t>《财政部 生态环境部 工业和信息化部关于印发&lt;绿色数据中心政府采购需求标准（试行）&gt;的通知》（财库〔2023〕7号）要求。若所投产品涉及国家强制性标准的，所投产品应符合国家强制性标准相关要求。</w:t>
      </w:r>
    </w:p>
    <w:p>
      <w:pPr>
        <w:ind w:firstLine="420" w:firstLineChars="200"/>
        <w:rPr>
          <w:rFonts w:ascii="宋体" w:hAnsi="宋体"/>
          <w:bCs/>
        </w:rPr>
      </w:pPr>
      <w:r>
        <w:rPr>
          <w:rFonts w:hint="eastAsia" w:ascii="宋体" w:hAnsi="宋体" w:cs="宋体"/>
          <w:bCs/>
          <w:kern w:val="0"/>
          <w:szCs w:val="21"/>
        </w:rPr>
        <w:t>13.</w:t>
      </w:r>
      <w:r>
        <w:rPr>
          <w:rFonts w:hint="eastAsia" w:ascii="宋体" w:hAnsi="宋体"/>
          <w:bCs/>
        </w:rPr>
        <w:t>我单位已知悉并同意中标（成交）结果信息公示（公开）的内容。</w:t>
      </w:r>
    </w:p>
    <w:p>
      <w:pPr>
        <w:ind w:firstLine="420" w:firstLineChars="200"/>
        <w:rPr>
          <w:rFonts w:ascii="宋体" w:hAnsi="宋体"/>
          <w:bCs/>
        </w:rPr>
      </w:pPr>
      <w:r>
        <w:rPr>
          <w:rFonts w:hint="eastAsia" w:ascii="宋体" w:hAnsi="宋体"/>
          <w:bCs/>
        </w:rPr>
        <w:t>14.我单位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pPr>
        <w:ind w:firstLine="421" w:firstLineChars="200"/>
        <w:rPr>
          <w:rFonts w:ascii="宋体" w:hAnsi="宋体"/>
          <w:b/>
        </w:rPr>
      </w:pPr>
      <w:r>
        <w:rPr>
          <w:rFonts w:hint="eastAsia" w:ascii="宋体" w:hAnsi="宋体"/>
          <w:b/>
        </w:rPr>
        <w:t>15.我单位清楚，如存在违反投标承诺行为情节严重的，将根据《深圳市财政局关于印发&lt;深圳市财政局政府采购供应商信用信息管理办法&gt;的通知》，依法被列入失信信息。</w:t>
      </w:r>
    </w:p>
    <w:p>
      <w:pPr>
        <w:pStyle w:val="2"/>
        <w:ind w:firstLine="481" w:firstLineChars="200"/>
        <w:rPr>
          <w:rFonts w:ascii="宋体" w:hAnsi="宋体"/>
        </w:rPr>
      </w:pPr>
    </w:p>
    <w:p>
      <w:pPr>
        <w:ind w:firstLine="420" w:firstLineChars="200"/>
        <w:rPr>
          <w:rFonts w:ascii="宋体" w:hAnsi="宋体"/>
          <w:szCs w:val="21"/>
        </w:rPr>
      </w:pPr>
      <w:r>
        <w:rPr>
          <w:rFonts w:hint="eastAsia" w:ascii="宋体" w:hAnsi="宋体"/>
          <w:szCs w:val="21"/>
        </w:rPr>
        <w:t>以上承诺，如有违反，愿依照国家相关法律法规处理，并承担由此给采购人带来的损失。</w:t>
      </w:r>
    </w:p>
    <w:p>
      <w:pPr>
        <w:spacing w:before="60" w:beforeLines="25" w:after="60" w:afterLines="25"/>
        <w:ind w:firstLine="5460" w:firstLineChars="2600"/>
        <w:rPr>
          <w:rFonts w:ascii="宋体" w:hAnsi="宋体"/>
          <w:szCs w:val="21"/>
        </w:rPr>
      </w:pPr>
      <w:r>
        <w:rPr>
          <w:rFonts w:hint="eastAsia" w:ascii="宋体" w:hAnsi="宋体"/>
          <w:szCs w:val="21"/>
        </w:rPr>
        <w:t xml:space="preserve">                                    </w:t>
      </w:r>
    </w:p>
    <w:p>
      <w:pPr>
        <w:spacing w:before="60" w:beforeLines="25" w:after="60" w:afterLines="25"/>
        <w:ind w:firstLine="5460" w:firstLineChars="2600"/>
        <w:rPr>
          <w:color w:val="FF0000"/>
        </w:rPr>
      </w:pPr>
      <w:r>
        <w:rPr>
          <w:rFonts w:hint="eastAsia"/>
          <w:color w:val="FF0000"/>
          <w:szCs w:val="21"/>
        </w:rPr>
        <w:t>投标人：</w:t>
      </w:r>
      <w:r>
        <w:rPr>
          <w:rFonts w:hint="eastAsia"/>
          <w:color w:val="FF0000"/>
          <w:szCs w:val="21"/>
          <w:u w:val="single"/>
        </w:rPr>
        <w:t xml:space="preserve">              </w:t>
      </w:r>
    </w:p>
    <w:p>
      <w:pPr>
        <w:ind w:firstLine="645"/>
        <w:rPr>
          <w:rFonts w:ascii="宋体" w:hAnsi="宋体"/>
          <w:color w:val="FF0000"/>
          <w:szCs w:val="21"/>
        </w:rPr>
      </w:pPr>
      <w:r>
        <w:rPr>
          <w:rFonts w:hint="eastAsia" w:ascii="宋体" w:hAnsi="宋体"/>
          <w:color w:val="FF0000"/>
          <w:szCs w:val="21"/>
        </w:rPr>
        <w:t xml:space="preserve">                                              日期：</w:t>
      </w:r>
      <w:r>
        <w:rPr>
          <w:rFonts w:hint="eastAsia" w:ascii="宋体" w:hAnsi="宋体"/>
          <w:color w:val="FF0000"/>
          <w:szCs w:val="21"/>
          <w:u w:val="single"/>
        </w:rPr>
        <w:t xml:space="preserve">    </w:t>
      </w:r>
      <w:r>
        <w:rPr>
          <w:rFonts w:hint="eastAsia" w:ascii="宋体" w:hAnsi="宋体"/>
          <w:color w:val="FF0000"/>
          <w:szCs w:val="21"/>
        </w:rPr>
        <w:t>年</w:t>
      </w:r>
      <w:r>
        <w:rPr>
          <w:rFonts w:hint="eastAsia" w:ascii="宋体" w:hAnsi="宋体"/>
          <w:color w:val="FF0000"/>
          <w:szCs w:val="21"/>
          <w:u w:val="single"/>
        </w:rPr>
        <w:t xml:space="preserve">   </w:t>
      </w:r>
      <w:r>
        <w:rPr>
          <w:rFonts w:hint="eastAsia" w:ascii="宋体" w:hAnsi="宋体"/>
          <w:color w:val="FF0000"/>
          <w:szCs w:val="21"/>
        </w:rPr>
        <w:t>月</w:t>
      </w:r>
      <w:r>
        <w:rPr>
          <w:rFonts w:hint="eastAsia" w:ascii="宋体" w:hAnsi="宋体"/>
          <w:color w:val="FF0000"/>
          <w:szCs w:val="21"/>
          <w:u w:val="single"/>
        </w:rPr>
        <w:t xml:space="preserve">   </w:t>
      </w:r>
      <w:r>
        <w:rPr>
          <w:rFonts w:hint="eastAsia" w:ascii="宋体" w:hAnsi="宋体"/>
          <w:color w:val="FF0000"/>
          <w:szCs w:val="21"/>
        </w:rPr>
        <w:t>日</w:t>
      </w:r>
    </w:p>
    <w:p>
      <w:pPr>
        <w:rPr>
          <w:rFonts w:ascii="宋体" w:hAnsi="宋体"/>
          <w:szCs w:val="21"/>
        </w:rPr>
      </w:pPr>
    </w:p>
    <w:p>
      <w:pPr>
        <w:rPr>
          <w:rFonts w:ascii="宋体" w:hAnsi="宋体"/>
          <w:szCs w:val="21"/>
        </w:rPr>
      </w:pPr>
    </w:p>
    <w:p>
      <w:pPr>
        <w:pStyle w:val="4"/>
        <w:spacing w:before="120" w:after="120"/>
        <w:jc w:val="center"/>
        <w:rPr>
          <w:rFonts w:ascii="黑体" w:eastAsia="黑体"/>
          <w:b w:val="0"/>
          <w:kern w:val="0"/>
          <w:sz w:val="24"/>
        </w:rPr>
      </w:pPr>
      <w:r>
        <w:rPr>
          <w:rFonts w:hint="eastAsia" w:ascii="黑体" w:eastAsia="黑体"/>
          <w:b w:val="0"/>
          <w:kern w:val="0"/>
          <w:sz w:val="24"/>
        </w:rPr>
        <w:t>三、投标人情况及资格证明文件</w:t>
      </w:r>
    </w:p>
    <w:p>
      <w:pPr>
        <w:ind w:firstLine="2640" w:firstLineChars="1100"/>
        <w:rPr>
          <w:rFonts w:ascii="黑体" w:hAnsi="宋体" w:eastAsia="黑体"/>
          <w:bCs/>
          <w:kern w:val="0"/>
          <w:sz w:val="24"/>
          <w:szCs w:val="32"/>
        </w:rPr>
      </w:pPr>
      <w:r>
        <w:rPr>
          <w:rFonts w:hint="eastAsia" w:ascii="黑体" w:hAnsi="宋体" w:eastAsia="黑体"/>
          <w:bCs/>
          <w:kern w:val="0"/>
          <w:sz w:val="24"/>
          <w:szCs w:val="32"/>
        </w:rPr>
        <w:t>（一）投标人资格证明文件</w:t>
      </w:r>
    </w:p>
    <w:p>
      <w:pPr>
        <w:spacing w:before="120" w:beforeLines="50"/>
        <w:ind w:firstLine="421" w:firstLineChars="200"/>
        <w:rPr>
          <w:b/>
          <w:bCs/>
          <w:color w:val="FF0000"/>
        </w:rPr>
      </w:pPr>
      <w:r>
        <w:rPr>
          <w:rFonts w:hint="eastAsia"/>
          <w:b/>
          <w:bCs/>
          <w:color w:val="FF0000"/>
        </w:rPr>
        <w:t>（特别提示：投标人须按本招标文件第一册第一章招标公告“申请人的资格要求”（即投标人资格要求）提供相关的资格证明资料，未提供或提供不完整、不符合要求的，将作投标无效处理，其中要求提供《政府采购投标及履约承诺函》《供应商基本情况表》且已在规定章节中提供的，此处不重复提供。）</w:t>
      </w:r>
    </w:p>
    <w:p>
      <w:pPr>
        <w:ind w:firstLine="481" w:firstLineChars="200"/>
        <w:rPr>
          <w:b/>
          <w:sz w:val="24"/>
        </w:rPr>
      </w:pPr>
    </w:p>
    <w:p>
      <w:pPr>
        <w:ind w:firstLine="480" w:firstLineChars="200"/>
        <w:rPr>
          <w:rFonts w:ascii="黑体" w:hAnsi="宋体" w:eastAsia="黑体"/>
          <w:bCs/>
          <w:kern w:val="0"/>
          <w:sz w:val="24"/>
          <w:szCs w:val="32"/>
        </w:rPr>
      </w:pPr>
      <w:r>
        <w:rPr>
          <w:rFonts w:hint="eastAsia" w:ascii="黑体" w:hAnsi="宋体" w:eastAsia="黑体"/>
          <w:bCs/>
          <w:kern w:val="0"/>
          <w:sz w:val="24"/>
          <w:szCs w:val="32"/>
        </w:rPr>
        <w:t>（二）中小企业声明函、残疾人福利性单位声明函及监狱企业声明函</w:t>
      </w:r>
    </w:p>
    <w:p>
      <w:pPr>
        <w:jc w:val="left"/>
        <w:rPr>
          <w:rFonts w:ascii="黑体" w:hAnsi="宋体" w:eastAsia="黑体"/>
          <w:bCs/>
          <w:kern w:val="0"/>
          <w:sz w:val="24"/>
          <w:szCs w:val="32"/>
        </w:rPr>
      </w:pP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填写指引：</w:t>
      </w:r>
    </w:p>
    <w:p>
      <w:pPr>
        <w:ind w:firstLine="420" w:firstLineChars="200"/>
        <w:rPr>
          <w:rFonts w:ascii="黑体" w:hAnsi="黑体" w:eastAsia="黑体"/>
          <w:color w:val="FF0000"/>
          <w:szCs w:val="21"/>
        </w:rPr>
      </w:pPr>
      <w:r>
        <w:rPr>
          <w:rFonts w:hint="eastAsia" w:ascii="黑体" w:hAnsi="宋体" w:eastAsia="黑体"/>
          <w:bCs/>
          <w:color w:val="FF0000"/>
          <w:kern w:val="0"/>
          <w:szCs w:val="21"/>
        </w:rPr>
        <w:t>1.该部分内容由投标人根据自身实际情况填写，不符合要求的投标人可以不填写或直接删除相应的声明函。</w:t>
      </w:r>
      <w:r>
        <w:rPr>
          <w:rFonts w:hint="eastAsia" w:ascii="黑体" w:hAnsi="黑体" w:eastAsia="黑体"/>
          <w:color w:val="FF0000"/>
          <w:szCs w:val="21"/>
        </w:rPr>
        <w:t>投标人提供的声明函不属实的，属于提供虚假资料谋取中标，依照《中华人民共和国政府采购法》等国家有关规定追究相应责任。</w:t>
      </w:r>
    </w:p>
    <w:p>
      <w:pPr>
        <w:ind w:firstLine="420" w:firstLineChars="200"/>
        <w:rPr>
          <w:rFonts w:ascii="黑体" w:hAnsi="黑体" w:eastAsia="黑体"/>
          <w:color w:val="FF0000"/>
          <w:szCs w:val="21"/>
        </w:rPr>
      </w:pPr>
      <w:r>
        <w:rPr>
          <w:rFonts w:hint="eastAsia" w:ascii="黑体" w:hAnsi="黑体" w:eastAsia="黑体"/>
          <w:color w:val="FF0000"/>
          <w:szCs w:val="21"/>
        </w:rPr>
        <w:t>2.该部分内容填写需要参考的相关文件：</w:t>
      </w:r>
    </w:p>
    <w:p>
      <w:pPr>
        <w:ind w:firstLine="420" w:firstLineChars="200"/>
        <w:rPr>
          <w:rFonts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pPr>
        <w:ind w:firstLine="420" w:firstLineChars="200"/>
        <w:rPr>
          <w:rFonts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w:t>
      </w:r>
      <w:bookmarkStart w:id="45" w:name="_Hlk71925120"/>
      <w:r>
        <w:rPr>
          <w:rFonts w:hint="eastAsia" w:ascii="黑体" w:hAnsi="黑体" w:eastAsia="黑体"/>
          <w:color w:val="FF0000"/>
          <w:szCs w:val="21"/>
        </w:rPr>
        <w:t>《工业和信息化部、国家统计局、国家发展和改革委员会、财政部关于印发中小企业划型标准规定的通知》（工信部联企业〔2011〕300号</w:t>
      </w:r>
      <w:bookmarkEnd w:id="45"/>
      <w:r>
        <w:rPr>
          <w:rFonts w:hint="eastAsia" w:ascii="黑体" w:hAnsi="黑体" w:eastAsia="黑体"/>
          <w:color w:val="FF0000"/>
          <w:szCs w:val="21"/>
        </w:rPr>
        <w:t>）</w:t>
      </w:r>
    </w:p>
    <w:p>
      <w:pPr>
        <w:ind w:firstLine="420" w:firstLineChars="200"/>
        <w:rPr>
          <w:rFonts w:ascii="黑体" w:hAnsi="黑体" w:eastAsia="黑体"/>
          <w:color w:val="FF0000"/>
          <w:szCs w:val="21"/>
        </w:rPr>
      </w:pPr>
      <w:r>
        <w:rPr>
          <w:rFonts w:hint="eastAsia" w:ascii="黑体" w:hAnsi="黑体" w:eastAsia="黑体"/>
          <w:color w:val="FF0000"/>
          <w:szCs w:val="21"/>
        </w:rPr>
        <w:t>(3)《统计上大中小微型企业划分办法(2017)》（国统字〔2017〕213号）</w:t>
      </w:r>
    </w:p>
    <w:p>
      <w:pPr>
        <w:ind w:firstLine="420" w:firstLineChars="200"/>
        <w:rPr>
          <w:rFonts w:ascii="黑体" w:hAnsi="黑体" w:eastAsia="黑体"/>
          <w:color w:val="FF0000"/>
          <w:szCs w:val="21"/>
        </w:rPr>
      </w:pPr>
      <w:r>
        <w:rPr>
          <w:rFonts w:hint="eastAsia" w:ascii="黑体" w:hAnsi="黑体" w:eastAsia="黑体"/>
          <w:color w:val="FF0000"/>
          <w:szCs w:val="21"/>
        </w:rPr>
        <w:t>(4)《关于促进残疾人就业政府采购政策的通知》（财库〔2017〕141号）</w:t>
      </w:r>
    </w:p>
    <w:p>
      <w:pPr>
        <w:ind w:firstLine="420" w:firstLineChars="200"/>
        <w:rPr>
          <w:rFonts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3.请依照提供的格式和内容填写声明函，不要随意变更格式；声明函不需要盖章或签字</w:t>
      </w:r>
      <w:r>
        <w:rPr>
          <w:rFonts w:hint="eastAsia" w:ascii="黑体" w:hAnsi="黑体" w:eastAsia="黑体"/>
          <w:color w:val="FF0000"/>
          <w:szCs w:val="21"/>
        </w:rPr>
        <w:t>。</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4.声明函具体填写要求：</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第一处，在“单位名称”下划线处如实填写采购人名称（深圳公共资源交易中心不是本项目的采购人，而是组织实施机构）；</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三处，在“标的名称”下划线处填写所采购标的具体名称（以招标文件第一册第三章用户需求书“服务需求明细”的“服务需求名称（标的名称）”一栏为准）；如果涉及多项服务（标的）为同一企业承接的，“标的名称”下划线处可以如实填写多项服务；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四处，在“采购文件中明确的所属行业”下划线处填写采购标的对应的中小企业划分标准所属行业（所属行业以招标文件第一册第三章用户需求书“服务需求明细”的“标的所属行业”一栏为准），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分包部分采购标的涉及的服务承接商本身的所属行业保持一致；</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第五处，在“企业名称”下划线处如实填写</w:t>
      </w:r>
      <w:r>
        <w:rPr>
          <w:rFonts w:hint="eastAsia" w:ascii="黑体" w:hAnsi="宋体" w:eastAsia="黑体"/>
          <w:b/>
          <w:color w:val="FF0000"/>
          <w:kern w:val="0"/>
          <w:szCs w:val="21"/>
        </w:rPr>
        <w:t>服务承接商名称。</w:t>
      </w:r>
      <w:r>
        <w:rPr>
          <w:rFonts w:hint="eastAsia" w:ascii="黑体" w:hAnsi="宋体" w:eastAsia="黑体"/>
          <w:bCs/>
          <w:color w:val="FF0000"/>
          <w:kern w:val="0"/>
          <w:szCs w:val="21"/>
        </w:rPr>
        <w:t>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服务承接商是否属于采购文件所属行业的中型企业/小型企业/微型企业。</w:t>
      </w:r>
    </w:p>
    <w:p>
      <w:pPr>
        <w:pStyle w:val="193"/>
        <w:ind w:firstLine="420" w:firstLineChars="200"/>
        <w:rPr>
          <w:rFonts w:ascii="黑体" w:hAnsi="宋体" w:eastAsia="黑体"/>
          <w:bCs/>
          <w:color w:val="FF0000"/>
          <w:kern w:val="0"/>
          <w:szCs w:val="21"/>
        </w:rPr>
      </w:pPr>
      <w:r>
        <w:rPr>
          <w:rFonts w:hint="eastAsia" w:ascii="黑体" w:hAnsi="宋体" w:eastAsia="黑体"/>
          <w:bCs/>
          <w:color w:val="FF0000"/>
          <w:kern w:val="0"/>
          <w:szCs w:val="21"/>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（3）事业单位、社会组织等非企业主体不享受中小企业扶持政策。</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（4）声明是残疾人福利性单位须填写《残疾人福利性单位声明函》的相关内容，具体参照以上《中小企业声明函》填写要求执行。</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（5）声明是监狱企业须填写《监狱企业声明函》的三项内容（填写位置的字体已加粗），具体参照以上《中小企业声明函》填写要求执行。</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5.本项目属于服务类项目，相关服务承接商应当为中小企业或残疾人福利性单位或监狱企业，如包含硬件设备、产品等货物采购的，不再对其中涉及的货物制造商作出要求。</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pStyle w:val="2"/>
      </w:pPr>
    </w:p>
    <w:p>
      <w:pPr>
        <w:numPr>
          <w:ilvl w:val="0"/>
          <w:numId w:val="7"/>
        </w:numPr>
        <w:jc w:val="center"/>
        <w:rPr>
          <w:b/>
          <w:sz w:val="24"/>
        </w:rPr>
      </w:pPr>
      <w:r>
        <w:rPr>
          <w:b/>
          <w:sz w:val="24"/>
        </w:rPr>
        <w:t>中小企业声明函（</w:t>
      </w:r>
      <w:r>
        <w:rPr>
          <w:rFonts w:hint="eastAsia"/>
          <w:b/>
          <w:sz w:val="24"/>
        </w:rPr>
        <w:t>服务</w:t>
      </w:r>
      <w:r>
        <w:rPr>
          <w:b/>
          <w:sz w:val="24"/>
        </w:rPr>
        <w:t>）</w:t>
      </w:r>
    </w:p>
    <w:p>
      <w:pPr>
        <w:pStyle w:val="2"/>
      </w:pP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本公司（联合体）郑重声明，根据《政府采购促进中小企业发展管理办法》（财库﹝2020﹞46号）的规定，本公司（联合体）参加</w:t>
      </w:r>
      <w:r>
        <w:rPr>
          <w:rFonts w:hint="eastAsia" w:asciiTheme="minorEastAsia" w:hAnsiTheme="minorEastAsia" w:eastAsiaTheme="minorEastAsia" w:cstheme="minorEastAsia"/>
          <w:b/>
          <w:bCs/>
          <w:i/>
          <w:iCs/>
          <w:szCs w:val="21"/>
          <w:u w:val="single"/>
        </w:rPr>
        <w:t xml:space="preserve">    （单位名称）    </w:t>
      </w:r>
      <w:r>
        <w:rPr>
          <w:rFonts w:hint="eastAsia" w:asciiTheme="minorEastAsia" w:hAnsiTheme="minorEastAsia" w:eastAsiaTheme="minorEastAsia" w:cstheme="minorEastAsia"/>
          <w:szCs w:val="21"/>
        </w:rPr>
        <w:t>的</w:t>
      </w:r>
      <w:r>
        <w:rPr>
          <w:rFonts w:hint="eastAsia" w:asciiTheme="minorEastAsia" w:hAnsiTheme="minorEastAsia" w:eastAsiaTheme="minorEastAsia" w:cstheme="minorEastAsia"/>
          <w:b/>
          <w:bCs/>
          <w:i/>
          <w:iCs/>
          <w:szCs w:val="21"/>
          <w:u w:val="single"/>
        </w:rPr>
        <w:t xml:space="preserve">    （项目名称）    </w:t>
      </w:r>
      <w:r>
        <w:rPr>
          <w:rFonts w:hint="eastAsia" w:asciiTheme="minorEastAsia" w:hAnsiTheme="minorEastAsia" w:eastAsiaTheme="minorEastAsia" w:cstheme="minorEastAsia"/>
          <w:szCs w:val="21"/>
        </w:rPr>
        <w:t>采购活动，服务全部由符合政策要求的中小企业承接。相关企业（含联合体中的中小企业、签订分包意向协议的中小企业）的具体情况如下：</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r>
        <w:rPr>
          <w:rFonts w:hint="eastAsia" w:asciiTheme="minorEastAsia" w:hAnsiTheme="minorEastAsia" w:eastAsiaTheme="minorEastAsia" w:cstheme="minorEastAsia"/>
          <w:b/>
          <w:bCs/>
          <w:i/>
          <w:iCs/>
          <w:szCs w:val="21"/>
          <w:u w:val="single"/>
        </w:rPr>
        <w:t xml:space="preserve">    （标的名称）     </w:t>
      </w:r>
      <w:r>
        <w:rPr>
          <w:rFonts w:hint="eastAsia" w:asciiTheme="minorEastAsia" w:hAnsiTheme="minorEastAsia" w:eastAsiaTheme="minorEastAsia" w:cstheme="minorEastAsia"/>
          <w:szCs w:val="21"/>
        </w:rPr>
        <w:t>，属于</w:t>
      </w:r>
      <w:r>
        <w:rPr>
          <w:rFonts w:hint="eastAsia" w:asciiTheme="minorEastAsia" w:hAnsiTheme="minorEastAsia" w:eastAsiaTheme="minorEastAsia" w:cstheme="minorEastAsia"/>
          <w:b/>
          <w:bCs/>
          <w:i/>
          <w:iCs/>
          <w:szCs w:val="21"/>
          <w:u w:val="single"/>
        </w:rPr>
        <w:t xml:space="preserve">    （采购文件中明确的所属行业）    </w:t>
      </w:r>
      <w:r>
        <w:rPr>
          <w:rFonts w:hint="eastAsia" w:asciiTheme="minorEastAsia" w:hAnsiTheme="minorEastAsia" w:eastAsiaTheme="minorEastAsia" w:cstheme="minorEastAsia"/>
          <w:szCs w:val="21"/>
        </w:rPr>
        <w:t>行业；承接企业为</w:t>
      </w:r>
      <w:r>
        <w:rPr>
          <w:rFonts w:hint="eastAsia" w:asciiTheme="minorEastAsia" w:hAnsiTheme="minorEastAsia" w:eastAsiaTheme="minorEastAsia" w:cstheme="minorEastAsia"/>
          <w:b/>
          <w:bCs/>
          <w:i/>
          <w:iCs/>
          <w:szCs w:val="21"/>
          <w:u w:val="single"/>
        </w:rPr>
        <w:t xml:space="preserve">    （企业名称，要求承接企业本身所属行业应当与招标文件要求的行业相一致）    </w:t>
      </w:r>
      <w:r>
        <w:rPr>
          <w:rFonts w:hint="eastAsia" w:asciiTheme="minorEastAsia" w:hAnsiTheme="minorEastAsia" w:eastAsiaTheme="minorEastAsia" w:cstheme="minorEastAsia"/>
          <w:szCs w:val="21"/>
        </w:rPr>
        <w:t>，从业人员</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人，营业收入为</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万元，资产总额为</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万元，属于</w:t>
      </w:r>
      <w:r>
        <w:rPr>
          <w:rFonts w:hint="eastAsia" w:asciiTheme="minorEastAsia" w:hAnsiTheme="minorEastAsia" w:eastAsiaTheme="minorEastAsia" w:cstheme="minorEastAsia"/>
          <w:b/>
          <w:bCs/>
          <w:i/>
          <w:iCs/>
          <w:szCs w:val="21"/>
          <w:u w:val="single"/>
        </w:rPr>
        <w:t xml:space="preserve">    （中型企业、小型企业、微型企业）    </w:t>
      </w:r>
      <w:r>
        <w:rPr>
          <w:rFonts w:hint="eastAsia" w:asciiTheme="minorEastAsia" w:hAnsiTheme="minorEastAsia" w:eastAsiaTheme="minorEastAsia" w:cstheme="minorEastAsia"/>
          <w:szCs w:val="21"/>
        </w:rPr>
        <w:t>；</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b/>
          <w:bCs/>
          <w:i/>
          <w:iCs/>
          <w:szCs w:val="21"/>
          <w:u w:val="single"/>
        </w:rPr>
        <w:t xml:space="preserve">    （标的名称）     </w:t>
      </w:r>
      <w:r>
        <w:rPr>
          <w:rFonts w:hint="eastAsia" w:asciiTheme="minorEastAsia" w:hAnsiTheme="minorEastAsia" w:eastAsiaTheme="minorEastAsia" w:cstheme="minorEastAsia"/>
          <w:szCs w:val="21"/>
        </w:rPr>
        <w:t>，属于</w:t>
      </w:r>
      <w:r>
        <w:rPr>
          <w:rFonts w:hint="eastAsia" w:asciiTheme="minorEastAsia" w:hAnsiTheme="minorEastAsia" w:eastAsiaTheme="minorEastAsia" w:cstheme="minorEastAsia"/>
          <w:b/>
          <w:bCs/>
          <w:i/>
          <w:iCs/>
          <w:szCs w:val="21"/>
          <w:u w:val="single"/>
        </w:rPr>
        <w:t xml:space="preserve">    （采购文件中明确的所属行业）    </w:t>
      </w:r>
      <w:r>
        <w:rPr>
          <w:rFonts w:hint="eastAsia" w:asciiTheme="minorEastAsia" w:hAnsiTheme="minorEastAsia" w:eastAsiaTheme="minorEastAsia" w:cstheme="minorEastAsia"/>
          <w:szCs w:val="21"/>
        </w:rPr>
        <w:t>行业；承接企业为</w:t>
      </w:r>
      <w:r>
        <w:rPr>
          <w:rFonts w:hint="eastAsia" w:asciiTheme="minorEastAsia" w:hAnsiTheme="minorEastAsia" w:eastAsiaTheme="minorEastAsia" w:cstheme="minorEastAsia"/>
          <w:b/>
          <w:bCs/>
          <w:i/>
          <w:iCs/>
          <w:szCs w:val="21"/>
          <w:u w:val="single"/>
        </w:rPr>
        <w:t xml:space="preserve">    （企业名称，要求承接企业本身所属行业应当与招标文件要求的行业相一致）    </w:t>
      </w:r>
      <w:r>
        <w:rPr>
          <w:rFonts w:hint="eastAsia" w:asciiTheme="minorEastAsia" w:hAnsiTheme="minorEastAsia" w:eastAsiaTheme="minorEastAsia" w:cstheme="minorEastAsia"/>
          <w:szCs w:val="21"/>
        </w:rPr>
        <w:t>，从业人员</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人，营业收入为</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万元，资产总额为</w:t>
      </w:r>
      <w:r>
        <w:rPr>
          <w:rFonts w:hint="eastAsia" w:asciiTheme="minorEastAsia" w:hAnsiTheme="minorEastAsia" w:eastAsiaTheme="minorEastAsia" w:cstheme="minorEastAsia"/>
          <w:b/>
          <w:bCs/>
          <w:i/>
          <w:iCs/>
          <w:szCs w:val="21"/>
          <w:u w:val="single"/>
        </w:rPr>
        <w:t xml:space="preserve">        </w:t>
      </w:r>
      <w:r>
        <w:rPr>
          <w:rFonts w:hint="eastAsia" w:asciiTheme="minorEastAsia" w:hAnsiTheme="minorEastAsia" w:eastAsiaTheme="minorEastAsia" w:cstheme="minorEastAsia"/>
          <w:szCs w:val="21"/>
        </w:rPr>
        <w:t>万元，属于</w:t>
      </w:r>
      <w:r>
        <w:rPr>
          <w:rFonts w:hint="eastAsia" w:asciiTheme="minorEastAsia" w:hAnsiTheme="minorEastAsia" w:eastAsiaTheme="minorEastAsia" w:cstheme="minorEastAsia"/>
          <w:b/>
          <w:bCs/>
          <w:i/>
          <w:iCs/>
          <w:szCs w:val="21"/>
          <w:u w:val="single"/>
        </w:rPr>
        <w:t xml:space="preserve">    （中型企业、小型企业、微型企业）    </w:t>
      </w:r>
      <w:r>
        <w:rPr>
          <w:rFonts w:hint="eastAsia" w:asciiTheme="minorEastAsia" w:hAnsiTheme="minorEastAsia" w:eastAsiaTheme="minorEastAsia" w:cstheme="minorEastAsia"/>
          <w:szCs w:val="21"/>
        </w:rPr>
        <w:t>；</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以上企业，不属于大企业的分支机构，不存在控股股东为大企业的情形，也不存在与大企业的负责人为同一人的情形。</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本企业对上述声明内容的真实性负责。如有虚假，将依法承担相应责任。</w:t>
      </w:r>
    </w:p>
    <w:p>
      <w:pPr>
        <w:spacing w:line="360" w:lineRule="auto"/>
        <w:ind w:firstLine="420" w:firstLineChars="200"/>
        <w:rPr>
          <w:rFonts w:asciiTheme="minorEastAsia" w:hAnsiTheme="minorEastAsia" w:eastAsiaTheme="minorEastAsia" w:cstheme="minorEastAsia"/>
          <w:szCs w:val="21"/>
        </w:rPr>
      </w:pPr>
      <w:bookmarkStart w:id="46" w:name="_Hlk73562275"/>
      <w:r>
        <w:rPr>
          <w:rFonts w:hint="eastAsia" w:asciiTheme="minorEastAsia" w:hAnsiTheme="minorEastAsia" w:eastAsiaTheme="minorEastAsia" w:cstheme="minorEastAsia"/>
          <w:szCs w:val="21"/>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46"/>
    </w:p>
    <w:p>
      <w:pPr>
        <w:ind w:firstLine="420" w:firstLineChars="200"/>
      </w:pPr>
    </w:p>
    <w:p>
      <w:pPr>
        <w:jc w:val="center"/>
        <w:rPr>
          <w:b/>
          <w:sz w:val="24"/>
        </w:rPr>
      </w:pPr>
      <w:r>
        <w:rPr>
          <w:rFonts w:hint="eastAsia"/>
          <w:b/>
          <w:sz w:val="24"/>
        </w:rPr>
        <w:t>2.残疾人福利性单位声明函（服务类）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szCs w:val="21"/>
          <w:u w:val="single"/>
        </w:rPr>
        <w:t xml:space="preserve">    （单位名称）    </w:t>
      </w:r>
      <w:r>
        <w:rPr>
          <w:rFonts w:hint="eastAsia" w:asciiTheme="minorEastAsia" w:hAnsiTheme="minorEastAsia" w:eastAsiaTheme="minorEastAsia" w:cstheme="minorEastAsia"/>
          <w:szCs w:val="21"/>
        </w:rPr>
        <w:t>单位的</w:t>
      </w:r>
      <w:r>
        <w:rPr>
          <w:rFonts w:hint="eastAsia" w:asciiTheme="minorEastAsia" w:hAnsiTheme="minorEastAsia" w:eastAsiaTheme="minorEastAsia" w:cstheme="minorEastAsia"/>
          <w:b/>
          <w:bCs/>
          <w:i/>
          <w:iCs/>
          <w:szCs w:val="21"/>
          <w:u w:val="single"/>
        </w:rPr>
        <w:t xml:space="preserve">    （项目名称）    </w:t>
      </w:r>
      <w:r>
        <w:rPr>
          <w:rFonts w:hint="eastAsia" w:asciiTheme="minorEastAsia" w:hAnsiTheme="minorEastAsia" w:eastAsiaTheme="minorEastAsia" w:cstheme="minorEastAsia"/>
          <w:szCs w:val="21"/>
        </w:rPr>
        <w:t>项目采购活动由本单位提供服务。</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本单位对上述声明的真实性负责。如有虚假，将依法承担相应责任。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本投标人已知悉《财政部民政部中国残疾人联合会关于促进残疾人就业政府采购政策的通知》（财库〔2017〕141号）的规定，承诺提供的声明函内容是真实的，如提供声明函内容不实，则依法追究相关法律责任。</w:t>
      </w: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jc w:val="center"/>
        <w:rPr>
          <w:b/>
          <w:sz w:val="24"/>
        </w:rPr>
      </w:pPr>
      <w:r>
        <w:rPr>
          <w:rFonts w:hint="eastAsia"/>
          <w:b/>
          <w:sz w:val="24"/>
        </w:rPr>
        <w:t>3.监狱企业声明函【服务类，监狱企业如需享受优惠政策，还须另行提供省级以上监狱管理局、戒毒管理局（含新疆生产建设兵团）出具的监狱企业证明文件】</w:t>
      </w:r>
    </w:p>
    <w:p>
      <w:pPr>
        <w:ind w:firstLine="420" w:firstLineChars="200"/>
        <w:rPr>
          <w:rFonts w:ascii="宋体" w:hAnsi="宋体"/>
          <w:szCs w:val="21"/>
        </w:rPr>
      </w:pPr>
      <w:r>
        <w:rPr>
          <w:rFonts w:hint="eastAsia" w:ascii="宋体" w:hAnsi="宋体"/>
          <w:szCs w:val="21"/>
        </w:rPr>
        <w:t>本投标人郑重声明，根据《财政部司法部关于政府采购支持监狱企业发展有关问题的通知》（财库〔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号）的规定，本投标人</w:t>
      </w:r>
      <w:r>
        <w:rPr>
          <w:rFonts w:ascii="宋体" w:hAnsi="宋体" w:cstheme="minorBidi"/>
          <w:szCs w:val="21"/>
        </w:rPr>
        <w:t>参加</w:t>
      </w:r>
      <w:r>
        <w:rPr>
          <w:rFonts w:ascii="宋体" w:hAnsi="宋体"/>
          <w:b/>
          <w:bCs/>
          <w:szCs w:val="21"/>
          <w:u w:val="single"/>
        </w:rPr>
        <w:t>（</w:t>
      </w:r>
      <w:r>
        <w:rPr>
          <w:rFonts w:hint="eastAsia" w:ascii="宋体" w:hAnsi="宋体"/>
          <w:b/>
          <w:bCs/>
          <w:szCs w:val="21"/>
          <w:u w:val="single"/>
        </w:rPr>
        <w:t>采购人</w:t>
      </w:r>
      <w:r>
        <w:rPr>
          <w:rFonts w:ascii="宋体" w:hAnsi="宋体"/>
          <w:b/>
          <w:bCs/>
          <w:szCs w:val="21"/>
          <w:u w:val="single"/>
        </w:rPr>
        <w:t>名称）</w:t>
      </w:r>
      <w:r>
        <w:rPr>
          <w:rFonts w:ascii="宋体" w:hAnsi="宋体"/>
          <w:szCs w:val="21"/>
        </w:rPr>
        <w:t>的</w:t>
      </w:r>
      <w:r>
        <w:rPr>
          <w:rFonts w:ascii="宋体" w:hAnsi="宋体"/>
          <w:b/>
          <w:bCs/>
          <w:szCs w:val="21"/>
          <w:u w:val="single"/>
        </w:rPr>
        <w:t>（项目名称）</w:t>
      </w:r>
      <w:r>
        <w:rPr>
          <w:rFonts w:ascii="宋体" w:hAnsi="宋体"/>
          <w:szCs w:val="21"/>
        </w:rPr>
        <w:t>采购活动，</w:t>
      </w:r>
      <w:r>
        <w:rPr>
          <w:rFonts w:hint="eastAsia" w:ascii="宋体" w:hAnsi="宋体"/>
          <w:szCs w:val="21"/>
        </w:rPr>
        <w:t>服务</w:t>
      </w:r>
      <w:r>
        <w:rPr>
          <w:rFonts w:ascii="宋体" w:hAnsi="宋体"/>
          <w:szCs w:val="21"/>
        </w:rPr>
        <w:t>全部由符合政策要求的</w:t>
      </w:r>
      <w:r>
        <w:rPr>
          <w:rFonts w:hint="eastAsia" w:ascii="宋体" w:hAnsi="宋体"/>
          <w:szCs w:val="21"/>
        </w:rPr>
        <w:t>监狱企业承接</w:t>
      </w:r>
      <w:r>
        <w:rPr>
          <w:rFonts w:ascii="宋体" w:hAnsi="宋体"/>
          <w:szCs w:val="21"/>
        </w:rPr>
        <w:t>。相关</w:t>
      </w:r>
      <w:r>
        <w:rPr>
          <w:rFonts w:hint="eastAsia" w:ascii="宋体" w:hAnsi="宋体"/>
          <w:szCs w:val="21"/>
        </w:rPr>
        <w:t>监狱企业</w:t>
      </w:r>
      <w:r>
        <w:rPr>
          <w:rFonts w:ascii="宋体" w:hAnsi="宋体"/>
          <w:szCs w:val="21"/>
        </w:rPr>
        <w:t>的具体情况如下：</w:t>
      </w:r>
    </w:p>
    <w:p>
      <w:pPr>
        <w:ind w:firstLine="420" w:firstLineChars="200"/>
        <w:rPr>
          <w:rFonts w:ascii="宋体" w:hAnsi="宋体"/>
          <w:szCs w:val="21"/>
        </w:rPr>
      </w:pPr>
      <w:r>
        <w:rPr>
          <w:rFonts w:ascii="宋体" w:hAnsi="宋体"/>
          <w:szCs w:val="21"/>
        </w:rPr>
        <w:t>1.</w:t>
      </w:r>
      <w:r>
        <w:rPr>
          <w:rFonts w:ascii="宋体" w:hAnsi="宋体"/>
          <w:b/>
          <w:bCs/>
          <w:szCs w:val="21"/>
          <w:u w:val="single"/>
        </w:rPr>
        <w:t xml:space="preserve"> </w:t>
      </w:r>
      <w:r>
        <w:rPr>
          <w:rFonts w:ascii="宋体" w:hAnsi="宋体"/>
          <w:b/>
          <w:bCs/>
          <w:i/>
          <w:iCs/>
          <w:szCs w:val="21"/>
          <w:u w:val="single"/>
        </w:rPr>
        <w:t>（标的名称</w:t>
      </w:r>
      <w:r>
        <w:rPr>
          <w:rFonts w:ascii="宋体" w:hAnsi="宋体"/>
          <w:b/>
          <w:bCs/>
          <w:szCs w:val="21"/>
          <w:u w:val="single"/>
        </w:rPr>
        <w:t>）</w:t>
      </w:r>
      <w:r>
        <w:rPr>
          <w:rFonts w:ascii="宋体" w:hAnsi="宋体"/>
          <w:szCs w:val="21"/>
        </w:rPr>
        <w:t xml:space="preserve"> </w:t>
      </w:r>
      <w:r>
        <w:rPr>
          <w:rFonts w:hint="eastAsia" w:ascii="宋体" w:hAnsi="宋体"/>
          <w:szCs w:val="21"/>
        </w:rPr>
        <w:t>，承接单位</w:t>
      </w:r>
      <w:r>
        <w:rPr>
          <w:rFonts w:ascii="宋体" w:hAnsi="宋体"/>
          <w:szCs w:val="21"/>
        </w:rPr>
        <w:t>为</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ascii="宋体" w:hAnsi="宋体"/>
          <w:szCs w:val="21"/>
        </w:rPr>
        <w:t>，属于</w:t>
      </w:r>
      <w:r>
        <w:rPr>
          <w:rFonts w:hint="eastAsia" w:ascii="宋体" w:hAnsi="宋体"/>
          <w:b/>
          <w:bCs/>
          <w:i/>
          <w:iCs/>
          <w:szCs w:val="21"/>
          <w:u w:val="single"/>
        </w:rPr>
        <w:t>监狱企业</w:t>
      </w:r>
      <w:r>
        <w:rPr>
          <w:rFonts w:ascii="宋体" w:hAnsi="宋体"/>
          <w:szCs w:val="21"/>
        </w:rPr>
        <w:t>；</w:t>
      </w:r>
    </w:p>
    <w:p>
      <w:pPr>
        <w:ind w:firstLine="420" w:firstLineChars="200"/>
        <w:rPr>
          <w:rFonts w:ascii="宋体" w:hAnsi="宋体"/>
          <w:szCs w:val="21"/>
        </w:rPr>
      </w:pPr>
      <w:r>
        <w:rPr>
          <w:rFonts w:ascii="宋体" w:hAnsi="宋体"/>
          <w:szCs w:val="21"/>
        </w:rPr>
        <w:t>2.</w:t>
      </w:r>
      <w:r>
        <w:rPr>
          <w:rFonts w:ascii="宋体" w:hAnsi="宋体"/>
          <w:b/>
          <w:bCs/>
          <w:szCs w:val="21"/>
          <w:u w:val="single"/>
        </w:rPr>
        <w:t xml:space="preserve"> </w:t>
      </w:r>
      <w:r>
        <w:rPr>
          <w:rFonts w:ascii="宋体" w:hAnsi="宋体"/>
          <w:b/>
          <w:bCs/>
          <w:i/>
          <w:iCs/>
          <w:szCs w:val="21"/>
          <w:u w:val="single"/>
        </w:rPr>
        <w:t>（标的名称）</w:t>
      </w:r>
      <w:r>
        <w:rPr>
          <w:rFonts w:ascii="宋体" w:hAnsi="宋体"/>
          <w:i/>
          <w:iCs/>
          <w:szCs w:val="21"/>
        </w:rPr>
        <w:t xml:space="preserve"> </w:t>
      </w:r>
      <w:r>
        <w:rPr>
          <w:rFonts w:hint="eastAsia" w:ascii="宋体" w:hAnsi="宋体"/>
          <w:szCs w:val="21"/>
        </w:rPr>
        <w:t>，承接单位</w:t>
      </w:r>
      <w:r>
        <w:rPr>
          <w:rFonts w:ascii="宋体" w:hAnsi="宋体"/>
          <w:szCs w:val="21"/>
        </w:rPr>
        <w:t>为</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ascii="宋体" w:hAnsi="宋体"/>
          <w:szCs w:val="21"/>
        </w:rPr>
        <w:t>，属于</w:t>
      </w:r>
      <w:r>
        <w:rPr>
          <w:rFonts w:hint="eastAsia" w:ascii="宋体" w:hAnsi="宋体"/>
          <w:b/>
          <w:bCs/>
          <w:i/>
          <w:iCs/>
          <w:szCs w:val="21"/>
          <w:u w:val="single"/>
        </w:rPr>
        <w:t>监狱企业</w:t>
      </w:r>
      <w:r>
        <w:rPr>
          <w:rFonts w:hint="eastAsia" w:ascii="宋体" w:hAnsi="宋体"/>
          <w:szCs w:val="21"/>
        </w:rPr>
        <w:t>。</w:t>
      </w:r>
    </w:p>
    <w:p>
      <w:pPr>
        <w:ind w:firstLine="420" w:firstLineChars="200"/>
        <w:rPr>
          <w:rFonts w:ascii="宋体" w:hAnsi="宋体"/>
          <w:szCs w:val="21"/>
        </w:rPr>
      </w:pPr>
      <w:r>
        <w:rPr>
          <w:rFonts w:ascii="宋体" w:hAnsi="宋体"/>
          <w:szCs w:val="21"/>
        </w:rPr>
        <w:t xml:space="preserve">…… </w:t>
      </w:r>
    </w:p>
    <w:p>
      <w:pPr>
        <w:ind w:firstLine="420" w:firstLineChars="200"/>
        <w:rPr>
          <w:rFonts w:ascii="宋体" w:hAnsi="宋体"/>
          <w:szCs w:val="21"/>
        </w:rPr>
      </w:pPr>
      <w:r>
        <w:rPr>
          <w:rFonts w:ascii="宋体" w:hAnsi="宋体" w:cstheme="minorBidi"/>
          <w:szCs w:val="21"/>
        </w:rPr>
        <w:t>本</w:t>
      </w:r>
      <w:r>
        <w:rPr>
          <w:rFonts w:hint="eastAsia" w:ascii="宋体" w:hAnsi="宋体" w:cstheme="minorBidi"/>
          <w:szCs w:val="21"/>
        </w:rPr>
        <w:t>投标人</w:t>
      </w:r>
      <w:r>
        <w:rPr>
          <w:rFonts w:ascii="宋体" w:hAnsi="宋体"/>
          <w:szCs w:val="21"/>
        </w:rPr>
        <w:t>对上述声明内容的真实性负责。如有虚假，将依法承担相应责任。</w:t>
      </w:r>
    </w:p>
    <w:p>
      <w:pPr>
        <w:ind w:firstLine="420" w:firstLineChars="200"/>
        <w:rPr>
          <w:rFonts w:ascii="宋体" w:hAnsi="宋体"/>
          <w:szCs w:val="21"/>
        </w:rPr>
      </w:pPr>
      <w:r>
        <w:rPr>
          <w:rFonts w:hint="eastAsia" w:ascii="宋体" w:hAnsi="宋体"/>
          <w:szCs w:val="21"/>
        </w:rPr>
        <w:t>附：省级以上监狱管理局、戒毒管理局（含新疆生产建设兵团）出具的监狱企业证明文件。</w:t>
      </w:r>
    </w:p>
    <w:p>
      <w:pPr>
        <w:ind w:left="723" w:hanging="722" w:hangingChars="300"/>
        <w:rPr>
          <w:b/>
          <w:sz w:val="24"/>
        </w:rPr>
      </w:pPr>
    </w:p>
    <w:p/>
    <w:p>
      <w:pPr>
        <w:pStyle w:val="4"/>
        <w:jc w:val="center"/>
        <w:rPr>
          <w:rFonts w:ascii="黑体" w:eastAsia="黑体"/>
          <w:b w:val="0"/>
          <w:sz w:val="24"/>
        </w:rPr>
      </w:pPr>
      <w:r>
        <w:rPr>
          <w:rFonts w:hint="eastAsia" w:ascii="黑体" w:eastAsia="黑体"/>
          <w:b w:val="0"/>
          <w:sz w:val="24"/>
        </w:rPr>
        <w:t>【如有】四、投标人综合实力部分的部分证明材料（包括认证证书、获奖证书、知识产权证书等证明材料，不包括业绩合同）</w:t>
      </w:r>
    </w:p>
    <w:p>
      <w:pPr>
        <w:pStyle w:val="2"/>
      </w:pPr>
    </w:p>
    <w:p>
      <w:pPr>
        <w:ind w:firstLine="1445" w:firstLineChars="600"/>
        <w:rPr>
          <w:b/>
          <w:color w:val="FF0000"/>
          <w:sz w:val="24"/>
        </w:rPr>
      </w:pPr>
      <w:r>
        <w:rPr>
          <w:rFonts w:hint="eastAsia"/>
          <w:b/>
          <w:color w:val="FF0000"/>
          <w:sz w:val="24"/>
        </w:rPr>
        <w:t>（信息公开部分的内容到此为止！以下为信息不公开部分。）</w:t>
      </w:r>
    </w:p>
    <w:p>
      <w:pPr>
        <w:jc w:val="center"/>
        <w:rPr>
          <w:b/>
          <w:sz w:val="32"/>
          <w:szCs w:val="32"/>
        </w:rPr>
      </w:pPr>
    </w:p>
    <w:p>
      <w:pPr>
        <w:rPr>
          <w:rFonts w:ascii="仿宋_GB2312" w:eastAsia="仿宋_GB2312"/>
          <w:b/>
          <w:sz w:val="30"/>
          <w:szCs w:val="30"/>
        </w:rPr>
      </w:pPr>
      <w:r>
        <w:rPr>
          <w:rFonts w:hint="eastAsia" w:ascii="仿宋_GB2312" w:eastAsia="仿宋_GB2312"/>
          <w:b/>
          <w:sz w:val="30"/>
          <w:szCs w:val="30"/>
        </w:rPr>
        <w:br w:type="page"/>
      </w:r>
    </w:p>
    <w:p>
      <w:pPr>
        <w:outlineLvl w:val="1"/>
        <w:rPr>
          <w:rFonts w:ascii="宋体" w:hAnsi="宋体"/>
          <w:b/>
          <w:color w:val="FF0000"/>
          <w:sz w:val="28"/>
          <w:szCs w:val="28"/>
        </w:rPr>
      </w:pPr>
      <w:r>
        <w:rPr>
          <w:rFonts w:hint="eastAsia" w:ascii="宋体" w:hAnsi="宋体"/>
          <w:b/>
          <w:color w:val="FF0000"/>
          <w:sz w:val="28"/>
          <w:szCs w:val="28"/>
        </w:rPr>
        <w:t>投标文件附件（信息不公开部分）</w:t>
      </w:r>
    </w:p>
    <w:p>
      <w:pPr>
        <w:pStyle w:val="193"/>
        <w:rPr>
          <w:rFonts w:ascii="宋体" w:hAnsi="宋体"/>
          <w:b/>
          <w:color w:val="FF0000"/>
          <w:sz w:val="28"/>
          <w:szCs w:val="28"/>
        </w:rPr>
      </w:pPr>
    </w:p>
    <w:p>
      <w:pPr>
        <w:pStyle w:val="4"/>
        <w:jc w:val="center"/>
        <w:rPr>
          <w:rFonts w:ascii="黑体" w:eastAsia="黑体"/>
          <w:b w:val="0"/>
          <w:sz w:val="24"/>
        </w:rPr>
      </w:pPr>
      <w:r>
        <w:rPr>
          <w:rFonts w:hint="eastAsia" w:ascii="黑体" w:eastAsia="黑体"/>
          <w:b w:val="0"/>
          <w:sz w:val="24"/>
        </w:rPr>
        <w:t>一、供应商基本情况表</w:t>
      </w:r>
    </w:p>
    <w:tbl>
      <w:tblPr>
        <w:tblStyle w:val="4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645"/>
        <w:gridCol w:w="1530"/>
        <w:gridCol w:w="904"/>
        <w:gridCol w:w="752"/>
        <w:gridCol w:w="1146"/>
        <w:gridCol w:w="1429"/>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pct"/>
            <w:gridSpan w:val="2"/>
            <w:vAlign w:val="center"/>
          </w:tcPr>
          <w:p>
            <w:pPr>
              <w:rPr>
                <w:rFonts w:ascii="宋体" w:hAnsi="宋体" w:cs="宋体"/>
                <w:szCs w:val="21"/>
              </w:rPr>
            </w:pPr>
            <w:r>
              <w:rPr>
                <w:rFonts w:hint="eastAsia" w:ascii="宋体" w:hAnsi="宋体" w:cs="宋体"/>
                <w:szCs w:val="21"/>
              </w:rPr>
              <w:t>投标（响应）供应商</w:t>
            </w:r>
          </w:p>
        </w:tc>
        <w:tc>
          <w:tcPr>
            <w:tcW w:w="1427" w:type="pct"/>
            <w:gridSpan w:val="2"/>
            <w:vAlign w:val="center"/>
          </w:tcPr>
          <w:p>
            <w:pPr>
              <w:jc w:val="center"/>
              <w:rPr>
                <w:rFonts w:ascii="宋体" w:hAnsi="宋体" w:cs="宋体"/>
                <w:szCs w:val="21"/>
              </w:rPr>
            </w:pPr>
          </w:p>
        </w:tc>
        <w:tc>
          <w:tcPr>
            <w:tcW w:w="1113" w:type="pct"/>
            <w:gridSpan w:val="2"/>
            <w:vAlign w:val="center"/>
          </w:tcPr>
          <w:p>
            <w:pPr>
              <w:jc w:val="center"/>
              <w:rPr>
                <w:rFonts w:ascii="宋体" w:hAnsi="宋体" w:cs="宋体"/>
                <w:szCs w:val="21"/>
              </w:rPr>
            </w:pPr>
            <w:r>
              <w:rPr>
                <w:rFonts w:hint="eastAsia" w:ascii="宋体" w:hAnsi="宋体" w:cs="宋体"/>
                <w:szCs w:val="21"/>
              </w:rPr>
              <w:t>项目名称及编号</w:t>
            </w:r>
          </w:p>
        </w:tc>
        <w:tc>
          <w:tcPr>
            <w:tcW w:w="1669" w:type="pct"/>
            <w:gridSpan w:val="2"/>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pPr>
              <w:jc w:val="center"/>
              <w:rPr>
                <w:rFonts w:ascii="宋体" w:hAnsi="宋体" w:cs="宋体"/>
                <w:szCs w:val="21"/>
              </w:rPr>
            </w:pPr>
            <w:r>
              <w:rPr>
                <w:rFonts w:hint="eastAsia" w:ascii="宋体" w:hAnsi="宋体" w:cs="宋体"/>
                <w:b/>
                <w:bCs/>
                <w:szCs w:val="21"/>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vAlign w:val="center"/>
          </w:tcPr>
          <w:p>
            <w:pPr>
              <w:snapToGrid w:val="0"/>
              <w:jc w:val="center"/>
              <w:rPr>
                <w:rFonts w:ascii="宋体" w:hAnsi="宋体" w:cs="宋体"/>
                <w:szCs w:val="21"/>
              </w:rPr>
            </w:pPr>
            <w:r>
              <w:rPr>
                <w:rFonts w:hint="eastAsia" w:ascii="宋体" w:hAnsi="宋体" w:cs="宋体"/>
                <w:szCs w:val="21"/>
              </w:rPr>
              <w:t>序号</w:t>
            </w:r>
          </w:p>
        </w:tc>
        <w:tc>
          <w:tcPr>
            <w:tcW w:w="1275" w:type="pct"/>
            <w:gridSpan w:val="2"/>
            <w:tcBorders>
              <w:bottom w:val="single" w:color="auto" w:sz="4" w:space="0"/>
            </w:tcBorders>
            <w:vAlign w:val="center"/>
          </w:tcPr>
          <w:p>
            <w:pPr>
              <w:jc w:val="center"/>
              <w:rPr>
                <w:rFonts w:ascii="宋体" w:hAnsi="宋体" w:cs="宋体"/>
                <w:szCs w:val="21"/>
              </w:rPr>
            </w:pPr>
            <w:r>
              <w:rPr>
                <w:rFonts w:hint="eastAsia" w:ascii="宋体" w:hAnsi="宋体" w:cs="宋体"/>
                <w:szCs w:val="21"/>
              </w:rPr>
              <w:t>职务</w:t>
            </w:r>
          </w:p>
        </w:tc>
        <w:tc>
          <w:tcPr>
            <w:tcW w:w="529" w:type="pct"/>
            <w:tcBorders>
              <w:bottom w:val="single" w:color="auto" w:sz="4" w:space="0"/>
            </w:tcBorders>
            <w:vAlign w:val="center"/>
          </w:tcPr>
          <w:p>
            <w:pPr>
              <w:jc w:val="center"/>
              <w:rPr>
                <w:rFonts w:ascii="宋体" w:hAnsi="宋体" w:cs="宋体"/>
                <w:szCs w:val="21"/>
              </w:rPr>
            </w:pPr>
            <w:r>
              <w:rPr>
                <w:rFonts w:hint="eastAsia" w:ascii="宋体" w:hAnsi="宋体" w:cs="宋体"/>
                <w:szCs w:val="21"/>
              </w:rPr>
              <w:t>姓名</w:t>
            </w:r>
          </w:p>
        </w:tc>
        <w:tc>
          <w:tcPr>
            <w:tcW w:w="1113" w:type="pct"/>
            <w:gridSpan w:val="2"/>
            <w:tcBorders>
              <w:bottom w:val="single" w:color="auto" w:sz="4" w:space="0"/>
            </w:tcBorders>
            <w:vAlign w:val="center"/>
          </w:tcPr>
          <w:p>
            <w:pPr>
              <w:jc w:val="center"/>
              <w:rPr>
                <w:rFonts w:ascii="宋体" w:hAnsi="宋体" w:cs="宋体"/>
                <w:szCs w:val="21"/>
              </w:rPr>
            </w:pPr>
            <w:r>
              <w:rPr>
                <w:rFonts w:hint="eastAsia" w:ascii="宋体" w:hAnsi="宋体" w:cs="宋体"/>
                <w:szCs w:val="21"/>
              </w:rPr>
              <w:t>身份证号码</w:t>
            </w:r>
          </w:p>
        </w:tc>
        <w:tc>
          <w:tcPr>
            <w:tcW w:w="838" w:type="pct"/>
            <w:tcBorders>
              <w:bottom w:val="single" w:color="auto" w:sz="4" w:space="0"/>
            </w:tcBorders>
            <w:vAlign w:val="center"/>
          </w:tcPr>
          <w:p>
            <w:pPr>
              <w:snapToGrid w:val="0"/>
              <w:jc w:val="center"/>
              <w:rPr>
                <w:rFonts w:ascii="宋体" w:hAnsi="宋体" w:cs="宋体"/>
                <w:szCs w:val="21"/>
              </w:rPr>
            </w:pPr>
            <w:r>
              <w:rPr>
                <w:rFonts w:hint="eastAsia" w:ascii="宋体" w:hAnsi="宋体" w:cs="宋体"/>
                <w:szCs w:val="21"/>
              </w:rPr>
              <w:t>劳动合同</w:t>
            </w:r>
          </w:p>
          <w:p>
            <w:pPr>
              <w:snapToGrid w:val="0"/>
              <w:jc w:val="center"/>
              <w:rPr>
                <w:rFonts w:ascii="宋体" w:hAnsi="宋体" w:cs="宋体"/>
                <w:szCs w:val="21"/>
              </w:rPr>
            </w:pPr>
            <w:r>
              <w:rPr>
                <w:rFonts w:hint="eastAsia" w:ascii="宋体" w:hAnsi="宋体" w:cs="宋体"/>
                <w:szCs w:val="21"/>
              </w:rPr>
              <w:t>关系单位</w:t>
            </w:r>
          </w:p>
        </w:tc>
        <w:tc>
          <w:tcPr>
            <w:tcW w:w="830" w:type="pct"/>
            <w:tcBorders>
              <w:bottom w:val="single" w:color="auto" w:sz="4" w:space="0"/>
            </w:tcBorders>
            <w:vAlign w:val="center"/>
          </w:tcPr>
          <w:p>
            <w:pPr>
              <w:snapToGrid w:val="0"/>
              <w:jc w:val="center"/>
              <w:rPr>
                <w:rFonts w:ascii="宋体" w:hAnsi="宋体" w:cs="宋体"/>
                <w:szCs w:val="21"/>
              </w:rPr>
            </w:pPr>
            <w:r>
              <w:rPr>
                <w:rFonts w:hint="eastAsia" w:ascii="宋体" w:hAnsi="宋体" w:cs="宋体"/>
                <w:szCs w:val="21"/>
              </w:rPr>
              <w:t>缴纳社会</w:t>
            </w:r>
          </w:p>
          <w:p>
            <w:pPr>
              <w:snapToGrid w:val="0"/>
              <w:jc w:val="center"/>
              <w:rPr>
                <w:rFonts w:ascii="宋体" w:hAnsi="宋体" w:cs="宋体"/>
                <w:szCs w:val="21"/>
              </w:rPr>
            </w:pPr>
            <w:r>
              <w:rPr>
                <w:rFonts w:hint="eastAsia" w:ascii="宋体" w:hAnsi="宋体" w:cs="宋体"/>
                <w:szCs w:val="21"/>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宋体" w:hAnsi="宋体" w:cs="宋体"/>
                <w:szCs w:val="21"/>
              </w:rPr>
            </w:pPr>
            <w:r>
              <w:rPr>
                <w:rFonts w:hint="eastAsia" w:ascii="宋体" w:hAnsi="宋体" w:cs="宋体"/>
                <w:szCs w:val="21"/>
              </w:rPr>
              <w:t>法定代表人/单位负责人/主要经营负责人</w:t>
            </w:r>
          </w:p>
        </w:tc>
        <w:tc>
          <w:tcPr>
            <w:tcW w:w="529"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项目投标授权代表人</w:t>
            </w:r>
          </w:p>
        </w:tc>
        <w:tc>
          <w:tcPr>
            <w:tcW w:w="529"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tcBorders>
            <w:vAlign w:val="center"/>
          </w:tcPr>
          <w:p>
            <w:pPr>
              <w:jc w:val="center"/>
              <w:rPr>
                <w:rFonts w:ascii="宋体" w:hAnsi="宋体" w:cs="宋体"/>
                <w:szCs w:val="21"/>
              </w:rPr>
            </w:pPr>
            <w:r>
              <w:rPr>
                <w:rFonts w:hint="eastAsia" w:ascii="宋体" w:hAnsi="宋体" w:cs="宋体"/>
                <w:szCs w:val="21"/>
                <w:lang w:bidi="ar"/>
              </w:rPr>
              <w:t>3</w:t>
            </w:r>
          </w:p>
        </w:tc>
        <w:tc>
          <w:tcPr>
            <w:tcW w:w="1275" w:type="pct"/>
            <w:gridSpan w:val="2"/>
            <w:tcBorders>
              <w:top w:val="single" w:color="auto" w:sz="4" w:space="0"/>
            </w:tcBorders>
            <w:vAlign w:val="center"/>
          </w:tcPr>
          <w:p>
            <w:pPr>
              <w:jc w:val="center"/>
              <w:rPr>
                <w:rFonts w:ascii="宋体" w:hAnsi="宋体" w:cs="宋体"/>
                <w:szCs w:val="21"/>
              </w:rPr>
            </w:pPr>
            <w:r>
              <w:rPr>
                <w:rFonts w:hint="eastAsia" w:ascii="宋体" w:hAnsi="宋体" w:cs="宋体"/>
                <w:szCs w:val="21"/>
              </w:rPr>
              <w:t>项目负责人</w:t>
            </w:r>
          </w:p>
        </w:tc>
        <w:tc>
          <w:tcPr>
            <w:tcW w:w="529" w:type="pct"/>
            <w:tcBorders>
              <w:top w:val="single" w:color="auto" w:sz="4" w:space="0"/>
            </w:tcBorders>
            <w:vAlign w:val="center"/>
          </w:tcPr>
          <w:p>
            <w:pPr>
              <w:jc w:val="center"/>
              <w:rPr>
                <w:rFonts w:ascii="宋体" w:hAnsi="宋体" w:cs="宋体"/>
                <w:szCs w:val="21"/>
              </w:rPr>
            </w:pPr>
          </w:p>
        </w:tc>
        <w:tc>
          <w:tcPr>
            <w:tcW w:w="1113" w:type="pct"/>
            <w:gridSpan w:val="2"/>
            <w:tcBorders>
              <w:top w:val="single" w:color="auto" w:sz="4" w:space="0"/>
            </w:tcBorders>
            <w:vAlign w:val="center"/>
          </w:tcPr>
          <w:p>
            <w:pPr>
              <w:jc w:val="center"/>
              <w:rPr>
                <w:rFonts w:ascii="宋体" w:hAnsi="宋体" w:cs="宋体"/>
                <w:szCs w:val="21"/>
              </w:rPr>
            </w:pPr>
          </w:p>
        </w:tc>
        <w:tc>
          <w:tcPr>
            <w:tcW w:w="838" w:type="pct"/>
            <w:tcBorders>
              <w:top w:val="single" w:color="auto" w:sz="4" w:space="0"/>
            </w:tcBorders>
            <w:vAlign w:val="center"/>
          </w:tcPr>
          <w:p>
            <w:pPr>
              <w:jc w:val="center"/>
              <w:rPr>
                <w:rFonts w:ascii="宋体" w:hAnsi="宋体" w:cs="宋体"/>
                <w:szCs w:val="21"/>
              </w:rPr>
            </w:pPr>
          </w:p>
        </w:tc>
        <w:tc>
          <w:tcPr>
            <w:tcW w:w="830" w:type="pct"/>
            <w:tcBorders>
              <w:top w:val="single" w:color="auto" w:sz="4" w:space="0"/>
            </w:tcBorders>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pPr>
              <w:jc w:val="center"/>
              <w:rPr>
                <w:rFonts w:ascii="宋体" w:hAnsi="宋体" w:cs="宋体"/>
                <w:szCs w:val="21"/>
              </w:rPr>
            </w:pPr>
            <w:r>
              <w:rPr>
                <w:rFonts w:hint="eastAsia" w:ascii="宋体" w:hAnsi="宋体" w:cs="宋体"/>
                <w:szCs w:val="21"/>
                <w:lang w:bidi="ar"/>
              </w:rPr>
              <w:t>4</w:t>
            </w:r>
          </w:p>
        </w:tc>
        <w:tc>
          <w:tcPr>
            <w:tcW w:w="1275" w:type="pct"/>
            <w:gridSpan w:val="2"/>
            <w:vAlign w:val="center"/>
          </w:tcPr>
          <w:p>
            <w:pPr>
              <w:jc w:val="center"/>
              <w:rPr>
                <w:rFonts w:ascii="宋体" w:hAnsi="宋体" w:cs="宋体"/>
                <w:szCs w:val="21"/>
              </w:rPr>
            </w:pPr>
            <w:r>
              <w:rPr>
                <w:rFonts w:hint="eastAsia" w:ascii="宋体" w:hAnsi="宋体" w:cs="宋体"/>
                <w:szCs w:val="21"/>
              </w:rPr>
              <w:t>主要技术人员</w:t>
            </w:r>
          </w:p>
        </w:tc>
        <w:tc>
          <w:tcPr>
            <w:tcW w:w="529" w:type="pct"/>
            <w:vAlign w:val="center"/>
          </w:tcPr>
          <w:p>
            <w:pPr>
              <w:jc w:val="center"/>
              <w:rPr>
                <w:rFonts w:ascii="宋体" w:hAnsi="宋体" w:cs="宋体"/>
                <w:szCs w:val="21"/>
              </w:rPr>
            </w:pPr>
          </w:p>
        </w:tc>
        <w:tc>
          <w:tcPr>
            <w:tcW w:w="1113" w:type="pct"/>
            <w:gridSpan w:val="2"/>
            <w:vAlign w:val="center"/>
          </w:tcPr>
          <w:p>
            <w:pPr>
              <w:jc w:val="center"/>
              <w:rPr>
                <w:rFonts w:ascii="宋体" w:hAnsi="宋体" w:cs="宋体"/>
                <w:szCs w:val="21"/>
              </w:rPr>
            </w:pPr>
          </w:p>
        </w:tc>
        <w:tc>
          <w:tcPr>
            <w:tcW w:w="838" w:type="pct"/>
            <w:vAlign w:val="center"/>
          </w:tcPr>
          <w:p>
            <w:pPr>
              <w:jc w:val="center"/>
              <w:rPr>
                <w:rFonts w:ascii="宋体" w:hAnsi="宋体" w:cs="宋体"/>
                <w:szCs w:val="21"/>
              </w:rPr>
            </w:pPr>
          </w:p>
        </w:tc>
        <w:tc>
          <w:tcPr>
            <w:tcW w:w="830"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1" w:type="pct"/>
            <w:vAlign w:val="center"/>
          </w:tcPr>
          <w:p>
            <w:pPr>
              <w:jc w:val="center"/>
              <w:rPr>
                <w:rFonts w:ascii="宋体" w:hAnsi="宋体" w:cs="宋体"/>
                <w:szCs w:val="21"/>
              </w:rPr>
            </w:pPr>
            <w:r>
              <w:rPr>
                <w:rFonts w:hint="eastAsia" w:ascii="宋体" w:hAnsi="宋体" w:cs="宋体"/>
                <w:szCs w:val="21"/>
                <w:lang w:bidi="ar"/>
              </w:rPr>
              <w:t>5</w:t>
            </w:r>
          </w:p>
        </w:tc>
        <w:tc>
          <w:tcPr>
            <w:tcW w:w="1275" w:type="pct"/>
            <w:gridSpan w:val="2"/>
            <w:vAlign w:val="center"/>
          </w:tcPr>
          <w:p>
            <w:pPr>
              <w:snapToGrid w:val="0"/>
              <w:jc w:val="center"/>
              <w:rPr>
                <w:rFonts w:ascii="宋体" w:hAnsi="宋体" w:cs="宋体"/>
                <w:szCs w:val="21"/>
              </w:rPr>
            </w:pPr>
            <w:r>
              <w:rPr>
                <w:rFonts w:hint="eastAsia" w:ascii="宋体" w:hAnsi="宋体" w:cs="宋体"/>
                <w:szCs w:val="21"/>
              </w:rPr>
              <w:t>投标文件编制人员</w:t>
            </w:r>
          </w:p>
        </w:tc>
        <w:tc>
          <w:tcPr>
            <w:tcW w:w="529" w:type="pct"/>
            <w:vAlign w:val="center"/>
          </w:tcPr>
          <w:p>
            <w:pPr>
              <w:jc w:val="center"/>
              <w:rPr>
                <w:rFonts w:ascii="宋体" w:hAnsi="宋体" w:cs="宋体"/>
                <w:szCs w:val="21"/>
              </w:rPr>
            </w:pPr>
          </w:p>
        </w:tc>
        <w:tc>
          <w:tcPr>
            <w:tcW w:w="1113" w:type="pct"/>
            <w:gridSpan w:val="2"/>
            <w:vAlign w:val="center"/>
          </w:tcPr>
          <w:p>
            <w:pPr>
              <w:jc w:val="center"/>
              <w:rPr>
                <w:rFonts w:ascii="宋体" w:hAnsi="宋体" w:cs="宋体"/>
                <w:szCs w:val="21"/>
              </w:rPr>
            </w:pPr>
          </w:p>
        </w:tc>
        <w:tc>
          <w:tcPr>
            <w:tcW w:w="838" w:type="pct"/>
            <w:vAlign w:val="center"/>
          </w:tcPr>
          <w:p>
            <w:pPr>
              <w:jc w:val="center"/>
              <w:rPr>
                <w:rFonts w:ascii="宋体" w:hAnsi="宋体" w:cs="宋体"/>
                <w:szCs w:val="21"/>
              </w:rPr>
            </w:pPr>
          </w:p>
        </w:tc>
        <w:tc>
          <w:tcPr>
            <w:tcW w:w="830" w:type="pct"/>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pPr>
              <w:rPr>
                <w:rFonts w:ascii="宋体" w:hAnsi="宋体" w:cs="宋体"/>
                <w:szCs w:val="21"/>
              </w:rPr>
            </w:pPr>
            <w:r>
              <w:rPr>
                <w:rFonts w:hint="eastAsia" w:ascii="宋体" w:hAnsi="宋体" w:cs="宋体"/>
                <w:b/>
                <w:bCs/>
                <w:szCs w:val="21"/>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8"/>
            <w:vAlign w:val="center"/>
          </w:tcPr>
          <w:p>
            <w:pPr>
              <w:jc w:val="center"/>
              <w:rPr>
                <w:rFonts w:ascii="宋体" w:hAnsi="宋体" w:cs="宋体"/>
                <w:b/>
                <w:bCs/>
                <w:szCs w:val="21"/>
              </w:rPr>
            </w:pPr>
            <w:r>
              <w:rPr>
                <w:rFonts w:hint="eastAsia" w:ascii="宋体" w:hAnsi="宋体" w:cs="宋体"/>
                <w:b/>
                <w:bCs/>
                <w:szCs w:val="21"/>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vAlign w:val="center"/>
          </w:tcPr>
          <w:p>
            <w:pPr>
              <w:jc w:val="center"/>
              <w:rPr>
                <w:rFonts w:ascii="宋体" w:hAnsi="宋体" w:cs="宋体"/>
                <w:szCs w:val="21"/>
                <w:lang w:bidi="ar"/>
              </w:rPr>
            </w:pPr>
            <w:r>
              <w:rPr>
                <w:rFonts w:hint="eastAsia" w:ascii="宋体" w:hAnsi="宋体" w:cs="宋体"/>
                <w:szCs w:val="21"/>
                <w:lang w:bidi="ar"/>
              </w:rPr>
              <w:t>序号</w:t>
            </w:r>
          </w:p>
        </w:tc>
        <w:tc>
          <w:tcPr>
            <w:tcW w:w="1275" w:type="pct"/>
            <w:gridSpan w:val="2"/>
            <w:tcBorders>
              <w:bottom w:val="single" w:color="auto" w:sz="4" w:space="0"/>
            </w:tcBorders>
            <w:vAlign w:val="center"/>
          </w:tcPr>
          <w:p>
            <w:pPr>
              <w:jc w:val="center"/>
              <w:rPr>
                <w:rFonts w:ascii="宋体" w:hAnsi="宋体" w:cs="宋体"/>
                <w:szCs w:val="21"/>
              </w:rPr>
            </w:pPr>
            <w:r>
              <w:rPr>
                <w:rFonts w:hint="eastAsia" w:ascii="宋体" w:hAnsi="宋体" w:cs="宋体"/>
                <w:szCs w:val="21"/>
              </w:rPr>
              <w:t>关联关系类型</w:t>
            </w:r>
          </w:p>
        </w:tc>
        <w:tc>
          <w:tcPr>
            <w:tcW w:w="971" w:type="pct"/>
            <w:gridSpan w:val="2"/>
            <w:tcBorders>
              <w:bottom w:val="single" w:color="auto" w:sz="4" w:space="0"/>
            </w:tcBorders>
            <w:vAlign w:val="center"/>
          </w:tcPr>
          <w:p>
            <w:pPr>
              <w:jc w:val="center"/>
              <w:rPr>
                <w:rFonts w:ascii="宋体" w:hAnsi="宋体" w:cs="宋体"/>
                <w:szCs w:val="21"/>
              </w:rPr>
            </w:pPr>
            <w:r>
              <w:rPr>
                <w:rFonts w:hint="eastAsia" w:ascii="宋体" w:hAnsi="宋体" w:cs="宋体"/>
                <w:szCs w:val="21"/>
              </w:rPr>
              <w:t>关联主体名称</w:t>
            </w:r>
          </w:p>
        </w:tc>
        <w:tc>
          <w:tcPr>
            <w:tcW w:w="2340" w:type="pct"/>
            <w:gridSpan w:val="3"/>
            <w:tcBorders>
              <w:bottom w:val="single" w:color="auto" w:sz="4" w:space="0"/>
            </w:tcBorders>
            <w:vAlign w:val="center"/>
          </w:tcPr>
          <w:p>
            <w:pPr>
              <w:jc w:val="cente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lang w:bidi="ar"/>
              </w:rPr>
            </w:pPr>
            <w:r>
              <w:rPr>
                <w:rFonts w:hint="eastAsia" w:ascii="宋体" w:hAnsi="宋体" w:cs="宋体"/>
                <w:szCs w:val="21"/>
                <w:lang w:bidi="ar"/>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控股股东</w:t>
            </w:r>
          </w:p>
        </w:tc>
        <w:tc>
          <w:tcPr>
            <w:tcW w:w="971"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hint="eastAsia" w:ascii="宋体" w:hAnsi="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lang w:bidi="ar"/>
              </w:rPr>
            </w:pPr>
            <w:r>
              <w:rPr>
                <w:rFonts w:hint="eastAsia" w:ascii="宋体" w:hAnsi="宋体" w:cs="宋体"/>
                <w:szCs w:val="21"/>
                <w:lang w:bidi="ar"/>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管理关系</w:t>
            </w:r>
          </w:p>
        </w:tc>
        <w:tc>
          <w:tcPr>
            <w:tcW w:w="971" w:type="pct"/>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hint="eastAsia" w:ascii="宋体" w:hAnsi="宋体" w:cs="宋体"/>
                <w:szCs w:val="21"/>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szCs w:val="21"/>
              </w:rPr>
            </w:pPr>
            <w:r>
              <w:rPr>
                <w:rFonts w:hint="eastAsia" w:ascii="宋体" w:hAnsi="宋体" w:cs="宋体"/>
                <w:b/>
                <w:bCs/>
                <w:szCs w:val="21"/>
              </w:rPr>
              <w:t>说明：同一关联关系类型有多个主体的，应分行填写。</w:t>
            </w:r>
          </w:p>
        </w:tc>
      </w:tr>
    </w:tbl>
    <w:p>
      <w:pPr>
        <w:pStyle w:val="193"/>
        <w:rPr>
          <w:rFonts w:ascii="宋体" w:hAnsi="宋体"/>
          <w:b/>
          <w:color w:val="FF0000"/>
          <w:sz w:val="28"/>
          <w:szCs w:val="28"/>
        </w:rPr>
      </w:pPr>
    </w:p>
    <w:p>
      <w:pPr>
        <w:pStyle w:val="193"/>
        <w:rPr>
          <w:rFonts w:ascii="宋体" w:hAnsi="宋体"/>
          <w:b/>
          <w:color w:val="FF0000"/>
          <w:sz w:val="28"/>
          <w:szCs w:val="28"/>
        </w:rPr>
      </w:pPr>
      <w:r>
        <w:rPr>
          <w:rFonts w:hint="eastAsia" w:ascii="黑体" w:hAnsi="黑体" w:eastAsia="黑体" w:cs="黑体"/>
          <w:b/>
          <w:bCs/>
          <w:color w:val="FF0000"/>
          <w:sz w:val="24"/>
          <w:szCs w:val="24"/>
        </w:rPr>
        <w:t>温馨提示：</w:t>
      </w:r>
      <w:r>
        <w:rPr>
          <w:rFonts w:hint="eastAsia" w:ascii="Times New Roman" w:hAnsi="Times New Roman"/>
          <w:color w:val="FF0000"/>
          <w:szCs w:val="21"/>
        </w:rPr>
        <w:t>为避免出现《深圳经济特区政府采购条例实施细则》第七十七条第一款第（三）项所列情形（项目负责人或者主要技术人员不是本单位人员的），请投标供应商核实贵单本项目负责人（如有）、主要技术人员（如有）等是否在贵单位缴纳社会保险。</w:t>
      </w:r>
    </w:p>
    <w:p>
      <w:pPr>
        <w:pStyle w:val="193"/>
        <w:rPr>
          <w:rFonts w:ascii="宋体" w:hAnsi="宋体"/>
          <w:b/>
          <w:color w:val="FF0000"/>
          <w:sz w:val="28"/>
          <w:szCs w:val="28"/>
        </w:rPr>
      </w:pPr>
    </w:p>
    <w:p>
      <w:pPr>
        <w:pStyle w:val="4"/>
        <w:jc w:val="center"/>
        <w:rPr>
          <w:rFonts w:ascii="黑体" w:eastAsia="黑体"/>
          <w:b w:val="0"/>
          <w:sz w:val="24"/>
        </w:rPr>
      </w:pPr>
      <w:r>
        <w:rPr>
          <w:rFonts w:hint="eastAsia" w:ascii="黑体" w:eastAsia="黑体"/>
          <w:b w:val="0"/>
          <w:sz w:val="24"/>
        </w:rPr>
        <w:t>二、</w:t>
      </w:r>
      <w:bookmarkStart w:id="47" w:name="_Hlk72092499"/>
      <w:r>
        <w:rPr>
          <w:rFonts w:hint="eastAsia" w:ascii="黑体" w:eastAsia="黑体"/>
          <w:b w:val="0"/>
          <w:sz w:val="24"/>
        </w:rPr>
        <w:t>法定代表人（负责人）证明书</w:t>
      </w:r>
      <w:bookmarkEnd w:id="47"/>
    </w:p>
    <w:p>
      <w:pPr>
        <w:rPr>
          <w:sz w:val="24"/>
        </w:rPr>
      </w:pPr>
    </w:p>
    <w:p>
      <w:pPr>
        <w:spacing w:line="360" w:lineRule="auto"/>
        <w:ind w:firstLine="420" w:firstLineChars="200"/>
        <w:rPr>
          <w:szCs w:val="21"/>
        </w:rPr>
      </w:pPr>
      <w:r>
        <w:rPr>
          <w:rFonts w:hint="eastAsia"/>
          <w:szCs w:val="21"/>
          <w:u w:val="single"/>
        </w:rPr>
        <w:t xml:space="preserve">                 </w:t>
      </w:r>
      <w:r>
        <w:rPr>
          <w:rFonts w:hint="eastAsia"/>
          <w:szCs w:val="21"/>
        </w:rPr>
        <w:t>（姓名），现任我单位</w:t>
      </w:r>
      <w:r>
        <w:rPr>
          <w:rFonts w:hint="eastAsia"/>
          <w:szCs w:val="21"/>
          <w:u w:val="single"/>
        </w:rPr>
        <w:t xml:space="preserve">             </w:t>
      </w:r>
      <w:r>
        <w:rPr>
          <w:rFonts w:hint="eastAsia"/>
          <w:szCs w:val="21"/>
        </w:rPr>
        <w:t>职务，为法定代表人（负责人），身份证件号为：</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特此证明。</w:t>
      </w:r>
    </w:p>
    <w:p>
      <w:pPr>
        <w:spacing w:line="360" w:lineRule="auto"/>
        <w:ind w:firstLine="420" w:firstLineChars="200"/>
        <w:rPr>
          <w:szCs w:val="21"/>
        </w:rPr>
      </w:pPr>
      <w:r>
        <w:rPr>
          <w:rFonts w:hint="eastAsia"/>
          <w:szCs w:val="21"/>
        </w:rPr>
        <w:t>说明：1、法定代表人为投标人（企业事业单位、国家机关、社会团体）的主要行政负责人。</w:t>
      </w:r>
    </w:p>
    <w:p>
      <w:pPr>
        <w:numPr>
          <w:ilvl w:val="0"/>
          <w:numId w:val="8"/>
        </w:numPr>
        <w:spacing w:line="360" w:lineRule="auto"/>
        <w:ind w:firstLine="420" w:firstLineChars="200"/>
        <w:rPr>
          <w:szCs w:val="21"/>
        </w:rPr>
      </w:pPr>
      <w:r>
        <w:rPr>
          <w:rFonts w:hint="eastAsia"/>
          <w:szCs w:val="21"/>
          <w:lang w:eastAsia="zh-Hans"/>
        </w:rPr>
        <w:t>本证明书</w:t>
      </w:r>
      <w:r>
        <w:rPr>
          <w:rFonts w:hint="eastAsia"/>
          <w:szCs w:val="21"/>
        </w:rPr>
        <w:t>需提</w:t>
      </w:r>
      <w:r>
        <w:rPr>
          <w:rFonts w:hint="eastAsia"/>
          <w:szCs w:val="21"/>
          <w:lang w:eastAsia="zh-Hans"/>
        </w:rPr>
        <w:t>供法定代表人（负责人）</w:t>
      </w:r>
      <w:r>
        <w:rPr>
          <w:rFonts w:hint="eastAsia"/>
          <w:szCs w:val="21"/>
        </w:rPr>
        <w:t>相关身份证明文件：身份证扫描件（正反两面）；港澳台居民可提供来往通行证扫描件；非中国国籍管辖范围人员，可提供公安部门认可的身份证明材料扫描件。</w:t>
      </w:r>
    </w:p>
    <w:p>
      <w:pPr>
        <w:numPr>
          <w:ilvl w:val="0"/>
          <w:numId w:val="8"/>
        </w:numPr>
        <w:spacing w:line="360" w:lineRule="auto"/>
        <w:ind w:firstLine="420" w:firstLineChars="200"/>
        <w:rPr>
          <w:szCs w:val="21"/>
        </w:rPr>
      </w:pPr>
      <w:r>
        <w:rPr>
          <w:rFonts w:hint="eastAsia"/>
          <w:szCs w:val="21"/>
          <w:lang w:eastAsia="zh-Hans"/>
        </w:rPr>
        <w:t>本项目投标授权代表为法定代表人（负责人）的，无需提供</w:t>
      </w:r>
      <w:r>
        <w:rPr>
          <w:rFonts w:hint="eastAsia"/>
          <w:szCs w:val="21"/>
        </w:rPr>
        <w:t>《投标文件签署授权委托书》</w:t>
      </w:r>
      <w:r>
        <w:rPr>
          <w:rFonts w:hint="eastAsia"/>
          <w:szCs w:val="21"/>
          <w:lang w:eastAsia="zh-Hans"/>
        </w:rPr>
        <w:t>。</w:t>
      </w:r>
    </w:p>
    <w:p>
      <w:pPr>
        <w:numPr>
          <w:ilvl w:val="0"/>
          <w:numId w:val="8"/>
        </w:numPr>
        <w:spacing w:line="360" w:lineRule="auto"/>
        <w:ind w:firstLine="420" w:firstLineChars="200"/>
        <w:rPr>
          <w:szCs w:val="21"/>
        </w:rPr>
      </w:pPr>
      <w:r>
        <w:rPr>
          <w:rFonts w:hint="eastAsia"/>
          <w:szCs w:val="21"/>
        </w:rPr>
        <w:t>内容必须填写真实、清楚，涂改无效，不得转让、买卖。</w:t>
      </w:r>
    </w:p>
    <w:tbl>
      <w:tblPr>
        <w:tblStyle w:val="44"/>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rPr>
              <w:t>证件扫描件正面</w:t>
            </w:r>
          </w:p>
          <w:p>
            <w:pPr>
              <w:pStyle w:val="2"/>
            </w:pPr>
          </w:p>
          <w:p>
            <w:pPr>
              <w:pStyle w:val="35"/>
            </w:pPr>
          </w:p>
          <w:p>
            <w:pPr>
              <w:pStyle w:val="35"/>
            </w:pPr>
          </w:p>
          <w:p>
            <w:pPr>
              <w:pStyle w:val="35"/>
            </w:pPr>
          </w:p>
        </w:tc>
        <w:tc>
          <w:tcPr>
            <w:tcW w:w="4265" w:type="dxa"/>
          </w:tcPr>
          <w:p>
            <w:pPr>
              <w:jc w:val="center"/>
            </w:pPr>
            <w:r>
              <w:rPr>
                <w:rFonts w:hint="eastAsia"/>
              </w:rPr>
              <w:t>证件扫描件反面</w:t>
            </w:r>
          </w:p>
          <w:p>
            <w:pPr>
              <w:pStyle w:val="2"/>
              <w:jc w:val="center"/>
            </w:pPr>
          </w:p>
          <w:p>
            <w:pPr>
              <w:pStyle w:val="35"/>
              <w:jc w:val="center"/>
            </w:pPr>
          </w:p>
        </w:tc>
      </w:tr>
    </w:tbl>
    <w:p>
      <w:pPr>
        <w:pStyle w:val="193"/>
        <w:rPr>
          <w:rFonts w:ascii="黑体" w:hAnsi="黑体" w:eastAsia="黑体" w:cs="黑体"/>
          <w:b/>
          <w:bCs/>
          <w:sz w:val="24"/>
          <w:szCs w:val="24"/>
        </w:rPr>
      </w:pPr>
    </w:p>
    <w:p>
      <w:pPr>
        <w:pStyle w:val="193"/>
        <w:rPr>
          <w:sz w:val="24"/>
        </w:rPr>
      </w:pPr>
      <w:r>
        <w:rPr>
          <w:rFonts w:hint="eastAsia" w:ascii="黑体" w:hAnsi="黑体" w:eastAsia="黑体" w:cs="黑体"/>
          <w:b/>
          <w:bCs/>
          <w:sz w:val="24"/>
          <w:szCs w:val="24"/>
        </w:rPr>
        <w:t>温馨提示</w:t>
      </w:r>
      <w:r>
        <w:rPr>
          <w:rFonts w:hint="eastAsia" w:ascii="黑体" w:hAnsi="黑体" w:eastAsia="黑体" w:cs="黑体"/>
          <w:sz w:val="24"/>
          <w:szCs w:val="24"/>
        </w:rPr>
        <w:t>：</w:t>
      </w:r>
      <w:r>
        <w:rPr>
          <w:rFonts w:hint="eastAsia" w:ascii="Times New Roman" w:hAnsi="Times New Roman"/>
          <w:szCs w:val="21"/>
        </w:rPr>
        <w:t>为避免出现《深圳经济特区政府采购条例实施细则》第七十五条第二项所列情形（不同投标供应商的法定代表人、主要经营负责人、项目投标授权代表人、项目负责人、主要技术人员为同一人、属同一单位或者在同一单位缴纳社会保险），请投标供应商核实贵单位法定代表人、本项目投标授权代表人、项目负责人（如有）、主要技术人员（如有）等是否在贵单位缴纳社会保险。</w:t>
      </w:r>
    </w:p>
    <w:p>
      <w:pPr>
        <w:rPr>
          <w:sz w:val="24"/>
        </w:rPr>
      </w:pPr>
    </w:p>
    <w:p>
      <w:pPr>
        <w:pStyle w:val="4"/>
        <w:spacing w:before="120" w:after="120"/>
        <w:jc w:val="center"/>
        <w:rPr>
          <w:rFonts w:ascii="黑体" w:eastAsia="黑体"/>
          <w:b w:val="0"/>
          <w:sz w:val="24"/>
        </w:rPr>
      </w:pPr>
      <w:r>
        <w:rPr>
          <w:rFonts w:hint="eastAsia" w:ascii="黑体" w:eastAsia="黑体"/>
          <w:b w:val="0"/>
          <w:sz w:val="24"/>
        </w:rPr>
        <w:t>三、投标文件签署授权委托书</w:t>
      </w:r>
    </w:p>
    <w:p>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pPr>
        <w:spacing w:line="360" w:lineRule="auto"/>
        <w:ind w:firstLine="420" w:firstLineChars="200"/>
        <w:rPr>
          <w:szCs w:val="21"/>
        </w:rPr>
      </w:pPr>
      <w:r>
        <w:rPr>
          <w:rFonts w:hint="eastAsia"/>
          <w:szCs w:val="21"/>
        </w:rPr>
        <w:t>代理人无转委托权，特此委托。</w:t>
      </w:r>
    </w:p>
    <w:p>
      <w:pPr>
        <w:spacing w:line="360" w:lineRule="auto"/>
        <w:ind w:firstLine="420" w:firstLineChars="200"/>
        <w:rPr>
          <w:szCs w:val="21"/>
        </w:rPr>
      </w:pPr>
    </w:p>
    <w:p>
      <w:pPr>
        <w:spacing w:line="360" w:lineRule="auto"/>
        <w:ind w:firstLine="420" w:firstLineChars="200"/>
        <w:rPr>
          <w:szCs w:val="21"/>
        </w:rPr>
      </w:pPr>
      <w:r>
        <w:rPr>
          <w:rFonts w:hint="eastAsia"/>
          <w:szCs w:val="21"/>
        </w:rPr>
        <w:t>代理人：</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身份证件号：</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联系电话：</w:t>
      </w:r>
      <w:r>
        <w:rPr>
          <w:rFonts w:hint="eastAsia"/>
          <w:szCs w:val="21"/>
          <w:u w:val="single"/>
        </w:rPr>
        <w:t xml:space="preserve">         </w:t>
      </w:r>
      <w:r>
        <w:rPr>
          <w:rFonts w:hint="eastAsia"/>
          <w:szCs w:val="21"/>
        </w:rPr>
        <w:t>，手机：</w:t>
      </w:r>
      <w:r>
        <w:rPr>
          <w:rFonts w:hint="eastAsia"/>
          <w:szCs w:val="21"/>
          <w:u w:val="single"/>
        </w:rPr>
        <w:t xml:space="preserve">                </w:t>
      </w:r>
      <w:r>
        <w:rPr>
          <w:rFonts w:hint="eastAsia"/>
          <w:szCs w:val="21"/>
        </w:rPr>
        <w:t>，电子邮箱：</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pPr>
        <w:spacing w:line="360" w:lineRule="auto"/>
        <w:ind w:firstLine="421"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44"/>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rPr>
              <w:t>证件扫描件正面</w:t>
            </w:r>
          </w:p>
          <w:p>
            <w:pPr>
              <w:pStyle w:val="2"/>
            </w:pPr>
          </w:p>
          <w:p>
            <w:pPr>
              <w:pStyle w:val="35"/>
            </w:pPr>
          </w:p>
          <w:p>
            <w:pPr>
              <w:pStyle w:val="35"/>
            </w:pPr>
          </w:p>
          <w:p>
            <w:pPr>
              <w:pStyle w:val="35"/>
            </w:pPr>
          </w:p>
        </w:tc>
        <w:tc>
          <w:tcPr>
            <w:tcW w:w="4265" w:type="dxa"/>
          </w:tcPr>
          <w:p>
            <w:pPr>
              <w:jc w:val="center"/>
            </w:pPr>
            <w:r>
              <w:rPr>
                <w:rFonts w:hint="eastAsia"/>
              </w:rPr>
              <w:t>证件扫描件反面</w:t>
            </w:r>
          </w:p>
          <w:p>
            <w:pPr>
              <w:pStyle w:val="2"/>
              <w:jc w:val="center"/>
            </w:pPr>
          </w:p>
          <w:p>
            <w:pPr>
              <w:pStyle w:val="35"/>
              <w:jc w:val="center"/>
            </w:pPr>
          </w:p>
        </w:tc>
      </w:tr>
    </w:tbl>
    <w:p>
      <w:pPr>
        <w:pStyle w:val="193"/>
        <w:rPr>
          <w:rFonts w:ascii="黑体" w:hAnsi="黑体" w:eastAsia="黑体" w:cs="黑体"/>
          <w:b/>
          <w:bCs/>
          <w:sz w:val="24"/>
          <w:szCs w:val="24"/>
        </w:rPr>
      </w:pPr>
    </w:p>
    <w:p>
      <w:pPr>
        <w:pStyle w:val="193"/>
        <w:rPr>
          <w:sz w:val="24"/>
        </w:rPr>
      </w:pPr>
      <w:r>
        <w:rPr>
          <w:rFonts w:hint="eastAsia" w:ascii="黑体" w:hAnsi="黑体" w:eastAsia="黑体" w:cs="黑体"/>
          <w:b/>
          <w:bCs/>
          <w:sz w:val="24"/>
          <w:szCs w:val="24"/>
        </w:rPr>
        <w:t>温馨提示</w:t>
      </w:r>
      <w:r>
        <w:rPr>
          <w:rFonts w:hint="eastAsia" w:ascii="黑体" w:hAnsi="黑体" w:eastAsia="黑体" w:cs="黑体"/>
          <w:sz w:val="24"/>
          <w:szCs w:val="24"/>
        </w:rPr>
        <w:t>：</w:t>
      </w:r>
      <w:r>
        <w:rPr>
          <w:rFonts w:hint="eastAsia" w:ascii="Times New Roman" w:hAnsi="Times New Roman"/>
          <w:szCs w:val="21"/>
        </w:rPr>
        <w:t>为避免出现《深圳经济特区政府采购条例实施细则》第七十五条第二项所列情形（不同投标供应商的法定代表人、主要经营负责人、项目投标授权代表人、项目负责人、主要技术人员为同一人、属同一单位或者在同一单位缴纳社会保险），请投标供应商核实贵单位法定代表人、本项目投标授权代表人、项目负责人（如有）、主要技术人员（如有）等是否在贵单位缴纳社会保险。</w:t>
      </w:r>
    </w:p>
    <w:p/>
    <w:p>
      <w:pPr>
        <w:pStyle w:val="4"/>
        <w:jc w:val="center"/>
        <w:rPr>
          <w:rFonts w:ascii="黑体" w:eastAsia="黑体"/>
          <w:b w:val="0"/>
          <w:sz w:val="24"/>
          <w:szCs w:val="24"/>
        </w:rPr>
      </w:pPr>
      <w:r>
        <w:rPr>
          <w:rFonts w:hint="eastAsia" w:ascii="黑体" w:eastAsia="黑体"/>
          <w:b w:val="0"/>
          <w:sz w:val="24"/>
          <w:szCs w:val="24"/>
        </w:rPr>
        <w:t>四、项目详细报价</w:t>
      </w:r>
    </w:p>
    <w:p>
      <w:pPr>
        <w:tabs>
          <w:tab w:val="left" w:pos="720"/>
        </w:tabs>
        <w:ind w:firstLine="3132" w:firstLineChars="1300"/>
        <w:rPr>
          <w:b/>
          <w:sz w:val="24"/>
        </w:rPr>
      </w:pPr>
      <w:bookmarkStart w:id="48" w:name="_Hlk235714583"/>
      <w:r>
        <w:rPr>
          <w:rFonts w:hint="eastAsia"/>
          <w:b/>
          <w:sz w:val="24"/>
        </w:rPr>
        <w:t>（一）分项报价表</w:t>
      </w:r>
    </w:p>
    <w:bookmarkEnd w:id="48"/>
    <w:tbl>
      <w:tblPr>
        <w:tblStyle w:val="43"/>
        <w:tblW w:w="8613" w:type="dxa"/>
        <w:tblInd w:w="0" w:type="dxa"/>
        <w:tblLayout w:type="fixed"/>
        <w:tblCellMar>
          <w:top w:w="0" w:type="dxa"/>
          <w:left w:w="108" w:type="dxa"/>
          <w:bottom w:w="0" w:type="dxa"/>
          <w:right w:w="108" w:type="dxa"/>
        </w:tblCellMar>
      </w:tblPr>
      <w:tblGrid>
        <w:gridCol w:w="618"/>
        <w:gridCol w:w="1016"/>
        <w:gridCol w:w="3152"/>
        <w:gridCol w:w="1559"/>
        <w:gridCol w:w="2268"/>
      </w:tblGrid>
      <w:tr>
        <w:tblPrEx>
          <w:tblCellMar>
            <w:top w:w="0" w:type="dxa"/>
            <w:left w:w="108" w:type="dxa"/>
            <w:bottom w:w="0" w:type="dxa"/>
            <w:right w:w="108" w:type="dxa"/>
          </w:tblCellMar>
        </w:tblPrEx>
        <w:trPr>
          <w:trHeight w:val="285" w:hRule="atLeast"/>
        </w:trPr>
        <w:tc>
          <w:tcPr>
            <w:tcW w:w="618" w:type="dxa"/>
            <w:tcBorders>
              <w:top w:val="single" w:color="auto" w:sz="8" w:space="0"/>
              <w:left w:val="single" w:color="auto" w:sz="8" w:space="0"/>
              <w:bottom w:val="single" w:color="auto" w:sz="4" w:space="0"/>
              <w:right w:val="single" w:color="auto" w:sz="4" w:space="0"/>
            </w:tcBorders>
            <w:shd w:val="clear" w:color="000000" w:fill="E7E6E6"/>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序号</w:t>
            </w:r>
          </w:p>
        </w:tc>
        <w:tc>
          <w:tcPr>
            <w:tcW w:w="4168" w:type="dxa"/>
            <w:gridSpan w:val="2"/>
            <w:tcBorders>
              <w:top w:val="single" w:color="auto" w:sz="8" w:space="0"/>
              <w:left w:val="nil"/>
              <w:bottom w:val="single" w:color="auto" w:sz="4" w:space="0"/>
              <w:right w:val="single" w:color="auto" w:sz="4" w:space="0"/>
            </w:tcBorders>
            <w:shd w:val="clear" w:color="000000" w:fill="E7E6E6"/>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需求名称</w:t>
            </w:r>
          </w:p>
        </w:tc>
        <w:tc>
          <w:tcPr>
            <w:tcW w:w="1559" w:type="dxa"/>
            <w:tcBorders>
              <w:top w:val="single" w:color="auto" w:sz="8" w:space="0"/>
              <w:left w:val="nil"/>
              <w:bottom w:val="single" w:color="auto" w:sz="4" w:space="0"/>
              <w:right w:val="single" w:color="auto" w:sz="4" w:space="0"/>
            </w:tcBorders>
            <w:shd w:val="clear" w:color="000000" w:fill="E7E6E6"/>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金额（元）</w:t>
            </w:r>
          </w:p>
        </w:tc>
        <w:tc>
          <w:tcPr>
            <w:tcW w:w="2268" w:type="dxa"/>
            <w:tcBorders>
              <w:top w:val="single" w:color="auto" w:sz="8" w:space="0"/>
              <w:left w:val="nil"/>
              <w:bottom w:val="single" w:color="auto" w:sz="4" w:space="0"/>
              <w:right w:val="single" w:color="auto" w:sz="8" w:space="0"/>
            </w:tcBorders>
            <w:shd w:val="clear" w:color="000000" w:fill="E7E6E6"/>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说明</w:t>
            </w:r>
          </w:p>
        </w:tc>
      </w:tr>
      <w:tr>
        <w:tblPrEx>
          <w:tblCellMar>
            <w:top w:w="0" w:type="dxa"/>
            <w:left w:w="108" w:type="dxa"/>
            <w:bottom w:w="0" w:type="dxa"/>
            <w:right w:w="108" w:type="dxa"/>
          </w:tblCellMar>
        </w:tblPrEx>
        <w:trPr>
          <w:trHeight w:val="285" w:hRule="atLeast"/>
        </w:trPr>
        <w:tc>
          <w:tcPr>
            <w:tcW w:w="618"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一</w:t>
            </w:r>
          </w:p>
        </w:tc>
        <w:tc>
          <w:tcPr>
            <w:tcW w:w="416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w:t>
            </w:r>
            <w:r>
              <w:rPr>
                <w:rFonts w:ascii="宋体" w:hAnsi="宋体" w:cs="宋体"/>
                <w:kern w:val="0"/>
                <w:sz w:val="20"/>
                <w:szCs w:val="20"/>
              </w:rPr>
              <w:t>*****</w:t>
            </w:r>
          </w:p>
        </w:tc>
        <w:tc>
          <w:tcPr>
            <w:tcW w:w="1559" w:type="dxa"/>
            <w:tcBorders>
              <w:top w:val="single" w:color="auto" w:sz="4" w:space="0"/>
              <w:left w:val="nil"/>
              <w:bottom w:val="single" w:color="auto" w:sz="4" w:space="0"/>
              <w:right w:val="single" w:color="auto" w:sz="4" w:space="0"/>
            </w:tcBorders>
            <w:shd w:val="clear" w:color="000000" w:fill="FFFFFF"/>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268" w:type="dxa"/>
            <w:tcBorders>
              <w:top w:val="single" w:color="auto" w:sz="4" w:space="0"/>
              <w:left w:val="nil"/>
              <w:bottom w:val="single" w:color="auto" w:sz="4" w:space="0"/>
              <w:right w:val="single" w:color="auto" w:sz="8" w:space="0"/>
            </w:tcBorders>
            <w:shd w:val="clear" w:color="auto" w:fill="auto"/>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480" w:hRule="atLeast"/>
        </w:trPr>
        <w:tc>
          <w:tcPr>
            <w:tcW w:w="618" w:type="dxa"/>
            <w:vMerge w:val="restart"/>
            <w:tcBorders>
              <w:top w:val="nil"/>
              <w:left w:val="single" w:color="auto" w:sz="8"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二</w:t>
            </w:r>
          </w:p>
        </w:tc>
        <w:tc>
          <w:tcPr>
            <w:tcW w:w="101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w:t>
            </w:r>
            <w:r>
              <w:rPr>
                <w:rFonts w:ascii="宋体" w:hAnsi="宋体" w:cs="宋体"/>
                <w:kern w:val="0"/>
                <w:sz w:val="20"/>
                <w:szCs w:val="20"/>
              </w:rPr>
              <w:t>*</w:t>
            </w:r>
            <w:r>
              <w:rPr>
                <w:rFonts w:hint="eastAsia" w:ascii="宋体" w:hAnsi="宋体" w:cs="宋体"/>
                <w:kern w:val="0"/>
                <w:sz w:val="20"/>
                <w:szCs w:val="20"/>
              </w:rPr>
              <w:t>费用</w:t>
            </w:r>
          </w:p>
        </w:tc>
        <w:tc>
          <w:tcPr>
            <w:tcW w:w="31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268" w:type="dxa"/>
            <w:vMerge w:val="restart"/>
            <w:tcBorders>
              <w:top w:val="nil"/>
              <w:left w:val="nil"/>
              <w:right w:val="single" w:color="auto" w:sz="8"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right w:val="single" w:color="auto" w:sz="4" w:space="0"/>
            </w:tcBorders>
            <w:shd w:val="clear" w:color="auto" w:fill="auto"/>
            <w:vAlign w:val="center"/>
          </w:tcPr>
          <w:p>
            <w:pPr>
              <w:jc w:val="center"/>
              <w:rPr>
                <w:rFonts w:ascii="宋体" w:hAnsi="宋体" w:cs="宋体"/>
                <w:kern w:val="0"/>
                <w:sz w:val="20"/>
                <w:szCs w:val="20"/>
              </w:rPr>
            </w:pPr>
          </w:p>
        </w:tc>
        <w:tc>
          <w:tcPr>
            <w:tcW w:w="101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31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268" w:type="dxa"/>
            <w:vMerge w:val="continue"/>
            <w:tcBorders>
              <w:left w:val="nil"/>
              <w:right w:val="single" w:color="auto" w:sz="8" w:space="0"/>
            </w:tcBorders>
            <w:shd w:val="clear" w:color="auto" w:fill="auto"/>
            <w:vAlign w:val="center"/>
          </w:tcPr>
          <w:p>
            <w:pPr>
              <w:jc w:val="left"/>
              <w:rPr>
                <w:rFonts w:ascii="宋体" w:hAnsi="宋体" w:cs="宋体"/>
                <w:kern w:val="0"/>
                <w:sz w:val="20"/>
                <w:szCs w:val="20"/>
              </w:rPr>
            </w:pP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right w:val="single" w:color="auto" w:sz="4" w:space="0"/>
            </w:tcBorders>
            <w:shd w:val="clear" w:color="auto" w:fill="auto"/>
            <w:vAlign w:val="center"/>
          </w:tcPr>
          <w:p>
            <w:pPr>
              <w:jc w:val="center"/>
              <w:rPr>
                <w:rFonts w:ascii="宋体" w:hAnsi="宋体" w:cs="宋体"/>
                <w:kern w:val="0"/>
                <w:sz w:val="20"/>
                <w:szCs w:val="20"/>
              </w:rPr>
            </w:pPr>
          </w:p>
        </w:tc>
        <w:tc>
          <w:tcPr>
            <w:tcW w:w="101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31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268" w:type="dxa"/>
            <w:vMerge w:val="continue"/>
            <w:tcBorders>
              <w:left w:val="nil"/>
              <w:right w:val="single" w:color="auto" w:sz="8" w:space="0"/>
            </w:tcBorders>
            <w:shd w:val="clear" w:color="auto" w:fill="auto"/>
            <w:vAlign w:val="center"/>
          </w:tcPr>
          <w:p>
            <w:pPr>
              <w:jc w:val="left"/>
              <w:rPr>
                <w:rFonts w:ascii="宋体" w:hAnsi="宋体" w:cs="宋体"/>
                <w:kern w:val="0"/>
                <w:sz w:val="20"/>
                <w:szCs w:val="20"/>
              </w:rPr>
            </w:pP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right w:val="single" w:color="auto" w:sz="4" w:space="0"/>
            </w:tcBorders>
            <w:shd w:val="clear" w:color="auto" w:fill="auto"/>
            <w:vAlign w:val="center"/>
          </w:tcPr>
          <w:p>
            <w:pPr>
              <w:jc w:val="center"/>
              <w:rPr>
                <w:rFonts w:ascii="宋体" w:hAnsi="宋体" w:cs="宋体"/>
                <w:kern w:val="0"/>
                <w:sz w:val="20"/>
                <w:szCs w:val="20"/>
              </w:rPr>
            </w:pPr>
          </w:p>
        </w:tc>
        <w:tc>
          <w:tcPr>
            <w:tcW w:w="101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31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268" w:type="dxa"/>
            <w:vMerge w:val="continue"/>
            <w:tcBorders>
              <w:left w:val="nil"/>
              <w:right w:val="single" w:color="auto" w:sz="8" w:space="0"/>
            </w:tcBorders>
            <w:shd w:val="clear" w:color="auto" w:fill="auto"/>
            <w:vAlign w:val="center"/>
          </w:tcPr>
          <w:p>
            <w:pPr>
              <w:jc w:val="left"/>
              <w:rPr>
                <w:rFonts w:ascii="宋体" w:hAnsi="宋体" w:cs="宋体"/>
                <w:kern w:val="0"/>
                <w:sz w:val="20"/>
                <w:szCs w:val="20"/>
              </w:rPr>
            </w:pP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right w:val="single" w:color="auto" w:sz="4" w:space="0"/>
            </w:tcBorders>
            <w:shd w:val="clear" w:color="auto" w:fill="auto"/>
            <w:vAlign w:val="center"/>
          </w:tcPr>
          <w:p>
            <w:pPr>
              <w:jc w:val="center"/>
              <w:rPr>
                <w:rFonts w:ascii="宋体" w:hAnsi="宋体" w:cs="宋体"/>
                <w:kern w:val="0"/>
                <w:sz w:val="20"/>
                <w:szCs w:val="20"/>
              </w:rPr>
            </w:pPr>
          </w:p>
        </w:tc>
        <w:tc>
          <w:tcPr>
            <w:tcW w:w="101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31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268" w:type="dxa"/>
            <w:vMerge w:val="continue"/>
            <w:tcBorders>
              <w:left w:val="nil"/>
              <w:right w:val="single" w:color="auto" w:sz="8" w:space="0"/>
            </w:tcBorders>
            <w:shd w:val="clear" w:color="auto" w:fill="auto"/>
            <w:vAlign w:val="center"/>
          </w:tcPr>
          <w:p>
            <w:pPr>
              <w:jc w:val="left"/>
              <w:rPr>
                <w:rFonts w:ascii="宋体" w:hAnsi="宋体" w:cs="宋体"/>
                <w:kern w:val="0"/>
                <w:sz w:val="20"/>
                <w:szCs w:val="20"/>
              </w:rPr>
            </w:pP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right w:val="single" w:color="auto" w:sz="4" w:space="0"/>
            </w:tcBorders>
            <w:shd w:val="clear" w:color="auto" w:fill="auto"/>
            <w:vAlign w:val="center"/>
          </w:tcPr>
          <w:p>
            <w:pPr>
              <w:jc w:val="center"/>
              <w:rPr>
                <w:rFonts w:ascii="宋体" w:hAnsi="宋体" w:cs="宋体"/>
                <w:kern w:val="0"/>
                <w:sz w:val="20"/>
                <w:szCs w:val="20"/>
              </w:rPr>
            </w:pPr>
          </w:p>
        </w:tc>
        <w:tc>
          <w:tcPr>
            <w:tcW w:w="101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31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268" w:type="dxa"/>
            <w:vMerge w:val="continue"/>
            <w:tcBorders>
              <w:left w:val="nil"/>
              <w:bottom w:val="single" w:color="auto" w:sz="4" w:space="0"/>
              <w:right w:val="single" w:color="auto" w:sz="8" w:space="0"/>
            </w:tcBorders>
            <w:shd w:val="clear" w:color="auto" w:fill="auto"/>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p>
        </w:tc>
        <w:tc>
          <w:tcPr>
            <w:tcW w:w="4168" w:type="dxa"/>
            <w:gridSpan w:val="2"/>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w:t>
            </w:r>
            <w:r>
              <w:rPr>
                <w:rFonts w:ascii="宋体" w:hAnsi="宋体" w:cs="宋体"/>
                <w:kern w:val="0"/>
                <w:sz w:val="20"/>
                <w:szCs w:val="20"/>
              </w:rPr>
              <w:t>*</w:t>
            </w:r>
            <w:r>
              <w:rPr>
                <w:rFonts w:hint="eastAsia" w:ascii="宋体" w:hAnsi="宋体" w:cs="宋体"/>
                <w:kern w:val="0"/>
                <w:sz w:val="20"/>
                <w:szCs w:val="20"/>
              </w:rPr>
              <w:t>费用小计</w:t>
            </w:r>
          </w:p>
        </w:tc>
        <w:tc>
          <w:tcPr>
            <w:tcW w:w="1559" w:type="dxa"/>
            <w:tcBorders>
              <w:top w:val="nil"/>
              <w:left w:val="nil"/>
              <w:bottom w:val="single" w:color="auto" w:sz="4" w:space="0"/>
              <w:right w:val="single" w:color="auto" w:sz="4" w:space="0"/>
            </w:tcBorders>
            <w:shd w:val="clear" w:color="000000" w:fill="FFFFFF"/>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8"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285" w:hRule="atLeast"/>
        </w:trPr>
        <w:tc>
          <w:tcPr>
            <w:tcW w:w="618" w:type="dxa"/>
            <w:vMerge w:val="restart"/>
            <w:tcBorders>
              <w:top w:val="nil"/>
              <w:left w:val="single" w:color="auto" w:sz="8"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三</w:t>
            </w:r>
          </w:p>
        </w:tc>
        <w:tc>
          <w:tcPr>
            <w:tcW w:w="1016"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其他费用</w:t>
            </w:r>
          </w:p>
        </w:tc>
        <w:tc>
          <w:tcPr>
            <w:tcW w:w="3152"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w:t>
            </w:r>
            <w:r>
              <w:rPr>
                <w:rFonts w:ascii="宋体" w:hAnsi="宋体" w:cs="宋体"/>
                <w:kern w:val="0"/>
                <w:sz w:val="20"/>
                <w:szCs w:val="20"/>
              </w:rPr>
              <w:t>*</w:t>
            </w:r>
          </w:p>
        </w:tc>
        <w:tc>
          <w:tcPr>
            <w:tcW w:w="1559" w:type="dxa"/>
            <w:tcBorders>
              <w:top w:val="nil"/>
              <w:left w:val="nil"/>
              <w:bottom w:val="single" w:color="auto" w:sz="4" w:space="0"/>
              <w:right w:val="single" w:color="auto" w:sz="4" w:space="0"/>
            </w:tcBorders>
            <w:shd w:val="clear" w:color="000000" w:fill="FFFFFF"/>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8" w:space="0"/>
            </w:tcBorders>
            <w:shd w:val="clear" w:color="000000" w:fill="FFFFFF"/>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right w:val="single" w:color="auto" w:sz="4" w:space="0"/>
            </w:tcBorders>
            <w:shd w:val="clear" w:color="000000" w:fill="FFFFFF"/>
            <w:vAlign w:val="center"/>
          </w:tcPr>
          <w:p>
            <w:pPr>
              <w:jc w:val="center"/>
              <w:rPr>
                <w:rFonts w:ascii="宋体" w:hAnsi="宋体" w:cs="宋体"/>
                <w:kern w:val="0"/>
                <w:sz w:val="20"/>
                <w:szCs w:val="20"/>
              </w:rPr>
            </w:pPr>
          </w:p>
        </w:tc>
        <w:tc>
          <w:tcPr>
            <w:tcW w:w="101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3152"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p>
        </w:tc>
        <w:tc>
          <w:tcPr>
            <w:tcW w:w="1559" w:type="dxa"/>
            <w:tcBorders>
              <w:top w:val="nil"/>
              <w:left w:val="nil"/>
              <w:bottom w:val="single" w:color="auto" w:sz="4" w:space="0"/>
              <w:right w:val="single" w:color="auto" w:sz="4" w:space="0"/>
            </w:tcBorders>
            <w:shd w:val="clear" w:color="000000" w:fill="FFFFFF"/>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8" w:space="0"/>
            </w:tcBorders>
            <w:shd w:val="clear" w:color="000000" w:fill="FFFFFF"/>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285" w:hRule="atLeast"/>
        </w:trPr>
        <w:tc>
          <w:tcPr>
            <w:tcW w:w="618" w:type="dxa"/>
            <w:vMerge w:val="continue"/>
            <w:tcBorders>
              <w:left w:val="single" w:color="auto" w:sz="8" w:space="0"/>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p>
        </w:tc>
        <w:tc>
          <w:tcPr>
            <w:tcW w:w="4168" w:type="dxa"/>
            <w:gridSpan w:val="2"/>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其他费用小计</w:t>
            </w:r>
          </w:p>
        </w:tc>
        <w:tc>
          <w:tcPr>
            <w:tcW w:w="1559" w:type="dxa"/>
            <w:tcBorders>
              <w:top w:val="nil"/>
              <w:left w:val="nil"/>
              <w:bottom w:val="single" w:color="auto" w:sz="4" w:space="0"/>
              <w:right w:val="single" w:color="auto" w:sz="4" w:space="0"/>
            </w:tcBorders>
            <w:shd w:val="clear" w:color="000000" w:fill="FFFFFF"/>
            <w:vAlign w:val="center"/>
          </w:tcPr>
          <w:p>
            <w:pPr>
              <w:widowControl/>
              <w:jc w:val="right"/>
              <w:rPr>
                <w:rFonts w:ascii="宋体" w:hAnsi="宋体" w:cs="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8"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285" w:hRule="atLeast"/>
        </w:trPr>
        <w:tc>
          <w:tcPr>
            <w:tcW w:w="618" w:type="dxa"/>
            <w:tcBorders>
              <w:top w:val="nil"/>
              <w:left w:val="single" w:color="auto" w:sz="8" w:space="0"/>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四</w:t>
            </w:r>
          </w:p>
        </w:tc>
        <w:tc>
          <w:tcPr>
            <w:tcW w:w="4168" w:type="dxa"/>
            <w:gridSpan w:val="2"/>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税金</w:t>
            </w:r>
          </w:p>
        </w:tc>
        <w:tc>
          <w:tcPr>
            <w:tcW w:w="1559"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268" w:type="dxa"/>
            <w:tcBorders>
              <w:top w:val="nil"/>
              <w:left w:val="nil"/>
              <w:bottom w:val="single" w:color="auto" w:sz="4" w:space="0"/>
              <w:right w:val="single" w:color="auto" w:sz="8"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285" w:hRule="atLeast"/>
        </w:trPr>
        <w:tc>
          <w:tcPr>
            <w:tcW w:w="618" w:type="dxa"/>
            <w:tcBorders>
              <w:top w:val="nil"/>
              <w:left w:val="single" w:color="auto" w:sz="8" w:space="0"/>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p>
        </w:tc>
        <w:tc>
          <w:tcPr>
            <w:tcW w:w="4168" w:type="dxa"/>
            <w:gridSpan w:val="2"/>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b/>
                <w:bCs/>
                <w:kern w:val="0"/>
                <w:sz w:val="20"/>
                <w:szCs w:val="20"/>
              </w:rPr>
              <w:t>……</w:t>
            </w:r>
          </w:p>
        </w:tc>
        <w:tc>
          <w:tcPr>
            <w:tcW w:w="1559"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p>
        </w:tc>
        <w:tc>
          <w:tcPr>
            <w:tcW w:w="2268" w:type="dxa"/>
            <w:tcBorders>
              <w:top w:val="nil"/>
              <w:left w:val="nil"/>
              <w:bottom w:val="single" w:color="auto" w:sz="4" w:space="0"/>
              <w:right w:val="single" w:color="auto" w:sz="8" w:space="0"/>
            </w:tcBorders>
            <w:shd w:val="clear" w:color="000000" w:fill="FFFFFF"/>
            <w:vAlign w:val="center"/>
          </w:tcPr>
          <w:p>
            <w:pPr>
              <w:widowControl/>
              <w:jc w:val="left"/>
              <w:rPr>
                <w:rFonts w:ascii="宋体" w:hAnsi="宋体" w:cs="宋体"/>
                <w:kern w:val="0"/>
                <w:sz w:val="20"/>
                <w:szCs w:val="20"/>
              </w:rPr>
            </w:pPr>
          </w:p>
        </w:tc>
      </w:tr>
      <w:tr>
        <w:tblPrEx>
          <w:tblCellMar>
            <w:top w:w="0" w:type="dxa"/>
            <w:left w:w="108" w:type="dxa"/>
            <w:bottom w:w="0" w:type="dxa"/>
            <w:right w:w="108" w:type="dxa"/>
          </w:tblCellMar>
        </w:tblPrEx>
        <w:trPr>
          <w:trHeight w:val="285" w:hRule="atLeast"/>
        </w:trPr>
        <w:tc>
          <w:tcPr>
            <w:tcW w:w="618" w:type="dxa"/>
            <w:tcBorders>
              <w:top w:val="nil"/>
              <w:left w:val="single" w:color="auto" w:sz="8" w:space="0"/>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p>
        </w:tc>
        <w:tc>
          <w:tcPr>
            <w:tcW w:w="4168" w:type="dxa"/>
            <w:gridSpan w:val="2"/>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合计(元)</w:t>
            </w:r>
          </w:p>
        </w:tc>
        <w:tc>
          <w:tcPr>
            <w:tcW w:w="1559" w:type="dxa"/>
            <w:tcBorders>
              <w:top w:val="nil"/>
              <w:left w:val="nil"/>
              <w:bottom w:val="single" w:color="auto" w:sz="4" w:space="0"/>
              <w:right w:val="single" w:color="auto" w:sz="4" w:space="0"/>
            </w:tcBorders>
            <w:shd w:val="clear" w:color="000000" w:fill="FFFFFF"/>
            <w:vAlign w:val="center"/>
          </w:tcPr>
          <w:p>
            <w:pPr>
              <w:widowControl/>
              <w:jc w:val="right"/>
              <w:rPr>
                <w:rFonts w:ascii="宋体" w:hAnsi="宋体" w:cs="宋体"/>
                <w:b/>
                <w:bCs/>
                <w:kern w:val="0"/>
                <w:sz w:val="20"/>
                <w:szCs w:val="20"/>
              </w:rPr>
            </w:pPr>
            <w:r>
              <w:rPr>
                <w:rFonts w:hint="eastAsia" w:ascii="宋体" w:hAnsi="宋体" w:cs="宋体"/>
                <w:b/>
                <w:bCs/>
                <w:kern w:val="0"/>
                <w:sz w:val="20"/>
                <w:szCs w:val="20"/>
              </w:rPr>
              <w:t>　</w:t>
            </w:r>
          </w:p>
        </w:tc>
        <w:tc>
          <w:tcPr>
            <w:tcW w:w="2268" w:type="dxa"/>
            <w:tcBorders>
              <w:top w:val="nil"/>
              <w:left w:val="nil"/>
              <w:bottom w:val="single" w:color="auto" w:sz="4" w:space="0"/>
              <w:right w:val="single" w:color="auto" w:sz="8"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　以上各项之和</w:t>
            </w:r>
          </w:p>
        </w:tc>
      </w:tr>
    </w:tbl>
    <w:p>
      <w:pPr>
        <w:ind w:firstLine="420" w:firstLineChars="200"/>
        <w:rPr>
          <w:rFonts w:ascii="宋体" w:hAnsi="宋体"/>
        </w:rPr>
      </w:pPr>
      <w:r>
        <w:rPr>
          <w:rFonts w:hint="eastAsia" w:ascii="宋体" w:hAnsi="宋体"/>
        </w:rPr>
        <w:t>注：1、所有价格应按“招标文件”中规定的货币单位填写；</w:t>
      </w:r>
    </w:p>
    <w:p>
      <w:pPr>
        <w:numPr>
          <w:ilvl w:val="0"/>
          <w:numId w:val="9"/>
        </w:numPr>
        <w:ind w:firstLine="840" w:firstLineChars="400"/>
        <w:rPr>
          <w:rFonts w:ascii="宋体" w:hAnsi="宋体"/>
        </w:rPr>
      </w:pPr>
      <w:r>
        <w:rPr>
          <w:rFonts w:hint="eastAsia" w:ascii="宋体" w:hAnsi="宋体"/>
        </w:rPr>
        <w:t>本表格仅为指导性范本，供应商可根据项目具体情况对各分项内容进行调整提供详细分项报价。</w:t>
      </w:r>
    </w:p>
    <w:p>
      <w:pPr>
        <w:pStyle w:val="2"/>
      </w:pPr>
    </w:p>
    <w:p>
      <w:pPr>
        <w:pStyle w:val="35"/>
      </w:pPr>
    </w:p>
    <w:p>
      <w:pPr>
        <w:tabs>
          <w:tab w:val="left" w:pos="720"/>
        </w:tabs>
        <w:jc w:val="center"/>
        <w:rPr>
          <w:b/>
          <w:sz w:val="24"/>
        </w:rPr>
      </w:pPr>
      <w:r>
        <w:rPr>
          <w:rFonts w:hint="eastAsia"/>
          <w:b/>
          <w:sz w:val="24"/>
        </w:rPr>
        <w:t>（二）投标人认为需要涉及的其他内容报价清单</w:t>
      </w:r>
    </w:p>
    <w:p>
      <w:pPr>
        <w:rPr>
          <w:b/>
          <w:bCs/>
        </w:rPr>
      </w:pPr>
    </w:p>
    <w:p/>
    <w:p>
      <w:pPr>
        <w:pStyle w:val="2"/>
      </w:pPr>
    </w:p>
    <w:p>
      <w:pPr>
        <w:pStyle w:val="35"/>
      </w:pPr>
    </w:p>
    <w:p>
      <w:pPr>
        <w:pStyle w:val="35"/>
      </w:pPr>
    </w:p>
    <w:p>
      <w:pPr>
        <w:pStyle w:val="4"/>
        <w:jc w:val="center"/>
        <w:rPr>
          <w:rFonts w:ascii="黑体" w:eastAsia="黑体"/>
          <w:b w:val="0"/>
          <w:kern w:val="0"/>
          <w:sz w:val="24"/>
          <w:szCs w:val="24"/>
        </w:rPr>
      </w:pPr>
      <w:r>
        <w:rPr>
          <w:rFonts w:hint="eastAsia" w:ascii="黑体" w:eastAsia="黑体"/>
          <w:b w:val="0"/>
          <w:kern w:val="0"/>
          <w:sz w:val="24"/>
          <w:szCs w:val="24"/>
        </w:rPr>
        <w:t>五、</w:t>
      </w:r>
      <w:bookmarkStart w:id="49" w:name="_Hlk72092634"/>
      <w:r>
        <w:rPr>
          <w:rFonts w:hint="eastAsia" w:ascii="黑体" w:eastAsia="黑体"/>
          <w:b w:val="0"/>
          <w:kern w:val="0"/>
          <w:sz w:val="24"/>
          <w:szCs w:val="24"/>
        </w:rPr>
        <w:t>实质性条款响应情况表</w:t>
      </w:r>
      <w:bookmarkEnd w:id="49"/>
    </w:p>
    <w:tbl>
      <w:tblPr>
        <w:tblStyle w:val="43"/>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664"/>
        <w:gridCol w:w="1588"/>
        <w:gridCol w:w="1842"/>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pPr>
              <w:adjustRightInd w:val="0"/>
              <w:snapToGrid w:val="0"/>
              <w:spacing w:line="360" w:lineRule="auto"/>
              <w:jc w:val="center"/>
              <w:rPr>
                <w:rFonts w:ascii="宋体" w:hAnsi="宋体"/>
                <w:kern w:val="0"/>
                <w:szCs w:val="21"/>
              </w:rPr>
            </w:pPr>
            <w:bookmarkStart w:id="50" w:name="_Hlk72092651"/>
            <w:r>
              <w:rPr>
                <w:rFonts w:hint="eastAsia" w:ascii="宋体" w:hAnsi="宋体"/>
                <w:kern w:val="0"/>
                <w:szCs w:val="21"/>
              </w:rPr>
              <w:t>序号</w:t>
            </w:r>
          </w:p>
        </w:tc>
        <w:tc>
          <w:tcPr>
            <w:tcW w:w="2664" w:type="dxa"/>
            <w:vAlign w:val="center"/>
          </w:tcPr>
          <w:p>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c>
          <w:tcPr>
            <w:tcW w:w="1588" w:type="dxa"/>
            <w:vAlign w:val="center"/>
          </w:tcPr>
          <w:p>
            <w:pPr>
              <w:adjustRightInd w:val="0"/>
              <w:snapToGrid w:val="0"/>
              <w:spacing w:line="360" w:lineRule="auto"/>
              <w:jc w:val="center"/>
              <w:rPr>
                <w:rFonts w:ascii="宋体" w:hAnsi="宋体"/>
                <w:kern w:val="0"/>
                <w:szCs w:val="21"/>
              </w:rPr>
            </w:pPr>
            <w:r>
              <w:rPr>
                <w:rFonts w:hint="eastAsia"/>
              </w:rPr>
              <w:t>投标响应</w:t>
            </w:r>
          </w:p>
        </w:tc>
        <w:tc>
          <w:tcPr>
            <w:tcW w:w="1842" w:type="dxa"/>
            <w:vAlign w:val="center"/>
          </w:tcPr>
          <w:p>
            <w:pPr>
              <w:adjustRightInd w:val="0"/>
              <w:snapToGrid w:val="0"/>
              <w:spacing w:line="360" w:lineRule="auto"/>
              <w:jc w:val="center"/>
              <w:rPr>
                <w:rFonts w:ascii="宋体" w:hAnsi="宋体"/>
                <w:kern w:val="0"/>
                <w:szCs w:val="21"/>
              </w:rPr>
            </w:pPr>
            <w:r>
              <w:rPr>
                <w:rFonts w:hint="eastAsia"/>
              </w:rPr>
              <w:t>偏离情况</w:t>
            </w:r>
          </w:p>
        </w:tc>
        <w:tc>
          <w:tcPr>
            <w:tcW w:w="1418" w:type="dxa"/>
            <w:vAlign w:val="center"/>
          </w:tcPr>
          <w:p>
            <w:pPr>
              <w:adjustRightInd w:val="0"/>
              <w:snapToGrid w:val="0"/>
              <w:spacing w:line="360" w:lineRule="auto"/>
              <w:jc w:val="center"/>
              <w:rPr>
                <w:rFonts w:ascii="宋体" w:hAnsi="宋体"/>
                <w:kern w:val="0"/>
                <w:szCs w:val="21"/>
              </w:rPr>
            </w:pPr>
            <w:r>
              <w:rPr>
                <w:rFonts w:hint="eastAsia"/>
              </w:rPr>
              <w:t>说明</w:t>
            </w:r>
          </w:p>
        </w:tc>
      </w:tr>
      <w:bookmarkEnd w:id="5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adjustRightInd w:val="0"/>
              <w:snapToGrid w:val="0"/>
              <w:spacing w:line="360" w:lineRule="auto"/>
              <w:jc w:val="left"/>
              <w:rPr>
                <w:rFonts w:ascii="宋体" w:hAnsi="宋体"/>
                <w:kern w:val="0"/>
                <w:szCs w:val="21"/>
              </w:rPr>
            </w:pPr>
            <w:r>
              <w:rPr>
                <w:rFonts w:hint="eastAsia" w:ascii="宋体" w:hAnsi="宋体"/>
                <w:kern w:val="0"/>
                <w:szCs w:val="21"/>
              </w:rPr>
              <w:t>1</w:t>
            </w:r>
          </w:p>
        </w:tc>
        <w:tc>
          <w:tcPr>
            <w:tcW w:w="2664" w:type="dxa"/>
          </w:tcPr>
          <w:p>
            <w:pPr>
              <w:adjustRightInd w:val="0"/>
              <w:snapToGrid w:val="0"/>
              <w:spacing w:line="360" w:lineRule="auto"/>
              <w:jc w:val="left"/>
              <w:rPr>
                <w:rFonts w:hAnsi="宋体"/>
                <w:kern w:val="0"/>
                <w:szCs w:val="21"/>
              </w:rPr>
            </w:pPr>
            <w:r>
              <w:rPr>
                <w:rFonts w:hint="eastAsia"/>
                <w:color w:val="FF0000"/>
                <w:szCs w:val="21"/>
              </w:rPr>
              <w:t>★</w:t>
            </w:r>
            <w:r>
              <w:rPr>
                <w:rFonts w:hint="eastAsia"/>
                <w:color w:val="FF0000"/>
              </w:rPr>
              <w:t>完全满足本项目服务期限的要求。</w:t>
            </w:r>
          </w:p>
        </w:tc>
        <w:tc>
          <w:tcPr>
            <w:tcW w:w="1588" w:type="dxa"/>
          </w:tcPr>
          <w:p>
            <w:pPr>
              <w:adjustRightInd w:val="0"/>
              <w:snapToGrid w:val="0"/>
              <w:spacing w:line="360" w:lineRule="auto"/>
              <w:rPr>
                <w:rFonts w:ascii="宋体" w:hAnsi="宋体"/>
                <w:kern w:val="0"/>
                <w:szCs w:val="21"/>
              </w:rPr>
            </w:pPr>
          </w:p>
        </w:tc>
        <w:tc>
          <w:tcPr>
            <w:tcW w:w="1842" w:type="dxa"/>
          </w:tcPr>
          <w:p>
            <w:pPr>
              <w:adjustRightInd w:val="0"/>
              <w:snapToGrid w:val="0"/>
              <w:spacing w:line="360" w:lineRule="auto"/>
              <w:rPr>
                <w:rFonts w:ascii="宋体" w:hAnsi="宋体"/>
                <w:kern w:val="0"/>
                <w:szCs w:val="21"/>
              </w:rPr>
            </w:pPr>
          </w:p>
        </w:tc>
        <w:tc>
          <w:tcPr>
            <w:tcW w:w="1418" w:type="dxa"/>
          </w:tcPr>
          <w:p>
            <w:pPr>
              <w:adjustRightInd w:val="0"/>
              <w:snapToGrid w:val="0"/>
              <w:spacing w:line="360" w:lineRule="auto"/>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adjustRightInd w:val="0"/>
              <w:snapToGrid w:val="0"/>
              <w:spacing w:line="360" w:lineRule="auto"/>
              <w:jc w:val="left"/>
              <w:rPr>
                <w:rFonts w:ascii="宋体" w:hAnsi="宋体"/>
                <w:kern w:val="0"/>
                <w:szCs w:val="21"/>
              </w:rPr>
            </w:pPr>
            <w:r>
              <w:rPr>
                <w:rFonts w:hint="eastAsia" w:ascii="宋体" w:hAnsi="宋体"/>
                <w:kern w:val="0"/>
                <w:szCs w:val="21"/>
              </w:rPr>
              <w:t>2</w:t>
            </w:r>
          </w:p>
        </w:tc>
        <w:tc>
          <w:tcPr>
            <w:tcW w:w="2664" w:type="dxa"/>
            <w:vAlign w:val="center"/>
          </w:tcPr>
          <w:p>
            <w:pPr>
              <w:adjustRightInd w:val="0"/>
              <w:snapToGrid w:val="0"/>
              <w:spacing w:line="360" w:lineRule="auto"/>
              <w:jc w:val="left"/>
              <w:rPr>
                <w:rFonts w:hAnsi="宋体"/>
                <w:kern w:val="0"/>
                <w:szCs w:val="21"/>
              </w:rPr>
            </w:pPr>
            <w:r>
              <w:rPr>
                <w:rFonts w:hint="eastAsia"/>
                <w:color w:val="FF0000"/>
                <w:szCs w:val="21"/>
              </w:rPr>
              <w:t>★</w:t>
            </w:r>
            <w:r>
              <w:rPr>
                <w:rFonts w:hint="eastAsia" w:ascii="宋体" w:hAnsi="宋体"/>
                <w:color w:val="FF0000"/>
              </w:rPr>
              <w:t>完全满足本项目其他★标记条款的要求。</w:t>
            </w:r>
          </w:p>
        </w:tc>
        <w:tc>
          <w:tcPr>
            <w:tcW w:w="1588" w:type="dxa"/>
          </w:tcPr>
          <w:p>
            <w:pPr>
              <w:adjustRightInd w:val="0"/>
              <w:snapToGrid w:val="0"/>
              <w:spacing w:line="360" w:lineRule="auto"/>
              <w:rPr>
                <w:rFonts w:ascii="宋体" w:hAnsi="宋体"/>
                <w:kern w:val="0"/>
                <w:szCs w:val="21"/>
              </w:rPr>
            </w:pPr>
          </w:p>
        </w:tc>
        <w:tc>
          <w:tcPr>
            <w:tcW w:w="1842" w:type="dxa"/>
          </w:tcPr>
          <w:p>
            <w:pPr>
              <w:adjustRightInd w:val="0"/>
              <w:snapToGrid w:val="0"/>
              <w:spacing w:line="360" w:lineRule="auto"/>
              <w:rPr>
                <w:rFonts w:ascii="宋体" w:hAnsi="宋体"/>
                <w:kern w:val="0"/>
                <w:szCs w:val="21"/>
              </w:rPr>
            </w:pPr>
          </w:p>
        </w:tc>
        <w:tc>
          <w:tcPr>
            <w:tcW w:w="1418" w:type="dxa"/>
          </w:tcPr>
          <w:p>
            <w:pPr>
              <w:adjustRightInd w:val="0"/>
              <w:snapToGrid w:val="0"/>
              <w:spacing w:line="360" w:lineRule="auto"/>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adjustRightInd w:val="0"/>
              <w:snapToGrid w:val="0"/>
              <w:spacing w:line="360" w:lineRule="auto"/>
              <w:jc w:val="left"/>
              <w:rPr>
                <w:rFonts w:ascii="宋体" w:hAnsi="宋体"/>
                <w:kern w:val="0"/>
                <w:szCs w:val="21"/>
              </w:rPr>
            </w:pPr>
            <w:r>
              <w:rPr>
                <w:rFonts w:hint="eastAsia" w:ascii="宋体" w:hAnsi="宋体"/>
                <w:kern w:val="0"/>
                <w:szCs w:val="21"/>
              </w:rPr>
              <w:t>3</w:t>
            </w:r>
          </w:p>
        </w:tc>
        <w:tc>
          <w:tcPr>
            <w:tcW w:w="2664" w:type="dxa"/>
            <w:vAlign w:val="center"/>
          </w:tcPr>
          <w:p>
            <w:pPr>
              <w:adjustRightInd w:val="0"/>
              <w:snapToGrid w:val="0"/>
              <w:spacing w:line="360" w:lineRule="auto"/>
              <w:jc w:val="left"/>
              <w:rPr>
                <w:rFonts w:ascii="宋体" w:hAnsi="宋体"/>
                <w:kern w:val="0"/>
                <w:szCs w:val="21"/>
              </w:rPr>
            </w:pPr>
            <w:r>
              <w:rPr>
                <w:rFonts w:hint="eastAsia" w:ascii="宋体" w:hAnsi="宋体"/>
                <w:kern w:val="0"/>
                <w:szCs w:val="21"/>
              </w:rPr>
              <w:t>…………</w:t>
            </w:r>
          </w:p>
        </w:tc>
        <w:tc>
          <w:tcPr>
            <w:tcW w:w="1588" w:type="dxa"/>
          </w:tcPr>
          <w:p>
            <w:pPr>
              <w:adjustRightInd w:val="0"/>
              <w:snapToGrid w:val="0"/>
              <w:spacing w:line="360" w:lineRule="auto"/>
              <w:rPr>
                <w:rFonts w:ascii="宋体" w:hAnsi="宋体"/>
                <w:kern w:val="0"/>
                <w:szCs w:val="21"/>
              </w:rPr>
            </w:pPr>
          </w:p>
        </w:tc>
        <w:tc>
          <w:tcPr>
            <w:tcW w:w="1842" w:type="dxa"/>
          </w:tcPr>
          <w:p>
            <w:pPr>
              <w:adjustRightInd w:val="0"/>
              <w:snapToGrid w:val="0"/>
              <w:spacing w:line="360" w:lineRule="auto"/>
              <w:rPr>
                <w:rFonts w:ascii="宋体" w:hAnsi="宋体"/>
                <w:kern w:val="0"/>
                <w:szCs w:val="21"/>
              </w:rPr>
            </w:pPr>
          </w:p>
        </w:tc>
        <w:tc>
          <w:tcPr>
            <w:tcW w:w="1418" w:type="dxa"/>
          </w:tcPr>
          <w:p>
            <w:pPr>
              <w:adjustRightInd w:val="0"/>
              <w:snapToGrid w:val="0"/>
              <w:spacing w:line="360" w:lineRule="auto"/>
              <w:rPr>
                <w:rFonts w:ascii="宋体" w:hAnsi="宋体"/>
                <w:kern w:val="0"/>
                <w:szCs w:val="21"/>
              </w:rPr>
            </w:pPr>
          </w:p>
        </w:tc>
      </w:tr>
    </w:tbl>
    <w:p>
      <w:pPr>
        <w:ind w:firstLine="481" w:firstLineChars="200"/>
        <w:rPr>
          <w:b/>
          <w:sz w:val="24"/>
          <w:szCs w:val="22"/>
        </w:rPr>
      </w:pPr>
      <w:r>
        <w:rPr>
          <w:rFonts w:hint="eastAsia"/>
          <w:b/>
          <w:sz w:val="24"/>
          <w:szCs w:val="22"/>
        </w:rPr>
        <w:t>注：1.上表所列各项均为不可负偏离条款。</w:t>
      </w:r>
    </w:p>
    <w:p>
      <w:pPr>
        <w:ind w:firstLine="481" w:firstLineChars="200"/>
        <w:rPr>
          <w:b/>
          <w:sz w:val="24"/>
          <w:szCs w:val="22"/>
        </w:rPr>
      </w:pPr>
      <w:r>
        <w:rPr>
          <w:rFonts w:hint="eastAsia"/>
          <w:b/>
          <w:sz w:val="24"/>
          <w:szCs w:val="22"/>
        </w:rPr>
        <w:t>2.“投标响应”一栏应当详细填写投标人自身响应情况，而不能不合理照搬照抄实质性条款具体内容。</w:t>
      </w:r>
    </w:p>
    <w:p>
      <w:pPr>
        <w:ind w:firstLine="481" w:firstLineChars="200"/>
        <w:rPr>
          <w:b/>
          <w:sz w:val="24"/>
          <w:szCs w:val="22"/>
        </w:rPr>
      </w:pPr>
      <w:r>
        <w:rPr>
          <w:rFonts w:hint="eastAsia"/>
          <w:b/>
          <w:sz w:val="24"/>
          <w:szCs w:val="22"/>
        </w:rPr>
        <w:t>3</w:t>
      </w:r>
      <w:r>
        <w:rPr>
          <w:b/>
          <w:sz w:val="24"/>
          <w:szCs w:val="22"/>
        </w:rPr>
        <w:t>.</w:t>
      </w:r>
      <w:r>
        <w:rPr>
          <w:rFonts w:hint="eastAsia"/>
          <w:b/>
          <w:sz w:val="24"/>
          <w:szCs w:val="22"/>
        </w:rPr>
        <w:t>“偏离情况”一栏应填写“正偏离”“负偏离”或“无偏离”，</w:t>
      </w:r>
      <w:r>
        <w:rPr>
          <w:rFonts w:hint="eastAsia"/>
          <w:b/>
          <w:sz w:val="24"/>
        </w:rPr>
        <w:t>“正偏离”表示“投标响应优于实质性条款具体内容要求”，“负偏离”表示“投标响应不满足实质性条款具体内容要求”，“无偏离”表示“投标响应与实质性条款具体内容要求一致”。</w:t>
      </w:r>
    </w:p>
    <w:p>
      <w:pPr>
        <w:ind w:firstLine="481" w:firstLineChars="200"/>
        <w:rPr>
          <w:b/>
          <w:sz w:val="24"/>
        </w:rPr>
      </w:pPr>
      <w:r>
        <w:rPr>
          <w:b/>
          <w:sz w:val="24"/>
        </w:rPr>
        <w:t>4.</w:t>
      </w:r>
      <w:r>
        <w:rPr>
          <w:rFonts w:hint="eastAsia"/>
          <w:b/>
          <w:sz w:val="24"/>
        </w:rPr>
        <w:t>评审委员会有权对投标响应情况作出判断（作出评审结论）。</w:t>
      </w:r>
    </w:p>
    <w:p>
      <w:pPr>
        <w:ind w:firstLine="481" w:firstLineChars="200"/>
        <w:rPr>
          <w:b/>
          <w:sz w:val="24"/>
          <w:szCs w:val="22"/>
        </w:rPr>
      </w:pPr>
      <w:r>
        <w:rPr>
          <w:b/>
          <w:sz w:val="24"/>
          <w:szCs w:val="22"/>
        </w:rPr>
        <w:t>5</w:t>
      </w:r>
      <w:r>
        <w:rPr>
          <w:rFonts w:hint="eastAsia"/>
          <w:b/>
          <w:sz w:val="24"/>
          <w:szCs w:val="22"/>
        </w:rPr>
        <w:t>.要求提供证明资料，在“说明”一栏中列明证明资料的位置，以便评审；未要求提供证明材料的，投标人可以不提供。</w:t>
      </w:r>
    </w:p>
    <w:p>
      <w:pPr>
        <w:ind w:firstLine="420" w:firstLineChars="200"/>
      </w:pPr>
    </w:p>
    <w:p>
      <w:pPr>
        <w:rPr>
          <w:b/>
          <w:bCs/>
          <w:sz w:val="24"/>
        </w:rPr>
      </w:pPr>
    </w:p>
    <w:p>
      <w:pPr>
        <w:pStyle w:val="4"/>
        <w:jc w:val="center"/>
      </w:pPr>
      <w:r>
        <w:rPr>
          <w:rFonts w:hint="eastAsia" w:ascii="黑体" w:eastAsia="黑体"/>
          <w:b w:val="0"/>
          <w:bCs w:val="0"/>
          <w:sz w:val="24"/>
          <w:szCs w:val="20"/>
        </w:rPr>
        <w:t>【如有】六、投标人综合实力部分的部分证明材料（包括业绩合同等证明材料，不包括认证证书、获奖证书、知识产权证书）</w:t>
      </w:r>
    </w:p>
    <w:p/>
    <w:p>
      <w:pPr>
        <w:pStyle w:val="2"/>
      </w:pPr>
    </w:p>
    <w:p>
      <w:pPr>
        <w:pStyle w:val="4"/>
        <w:jc w:val="center"/>
        <w:rPr>
          <w:rFonts w:ascii="黑体" w:eastAsia="黑体"/>
          <w:b w:val="0"/>
          <w:bCs w:val="0"/>
          <w:sz w:val="24"/>
          <w:szCs w:val="20"/>
        </w:rPr>
      </w:pPr>
      <w:r>
        <w:rPr>
          <w:rFonts w:hint="eastAsia" w:ascii="黑体" w:eastAsia="黑体"/>
          <w:b w:val="0"/>
          <w:bCs w:val="0"/>
          <w:sz w:val="24"/>
          <w:szCs w:val="20"/>
        </w:rPr>
        <w:t>七、</w:t>
      </w:r>
      <w:bookmarkStart w:id="51" w:name="_Hlk72062872"/>
      <w:r>
        <w:rPr>
          <w:rFonts w:hint="eastAsia" w:ascii="黑体" w:eastAsia="黑体"/>
          <w:b w:val="0"/>
          <w:bCs w:val="0"/>
          <w:sz w:val="24"/>
          <w:szCs w:val="20"/>
        </w:rPr>
        <w:t>投标人认为需要加以说明的其他内容</w:t>
      </w:r>
      <w:bookmarkEnd w:id="51"/>
    </w:p>
    <w:p>
      <w:pPr>
        <w:widowControl/>
        <w:jc w:val="center"/>
        <w:rPr>
          <w:rFonts w:ascii="黑体" w:hAnsi="宋体" w:eastAsia="黑体"/>
          <w:kern w:val="0"/>
          <w:sz w:val="24"/>
          <w:szCs w:val="20"/>
        </w:rPr>
      </w:pPr>
      <w:r>
        <w:rPr>
          <w:rFonts w:hint="eastAsia" w:ascii="黑体" w:hAnsi="宋体" w:eastAsia="黑体"/>
          <w:kern w:val="0"/>
          <w:sz w:val="24"/>
          <w:szCs w:val="20"/>
        </w:rPr>
        <w:t>（一）</w:t>
      </w:r>
      <w:r>
        <w:rPr>
          <w:rFonts w:hint="eastAsia" w:ascii="黑体" w:hAnsi="宋体" w:eastAsia="黑体"/>
          <w:kern w:val="0"/>
          <w:sz w:val="24"/>
          <w:szCs w:val="20"/>
          <w:highlight w:val="yellow"/>
        </w:rPr>
        <w:t>政府采购违法行为风险知悉确认书</w:t>
      </w:r>
    </w:p>
    <w:p>
      <w:pPr>
        <w:widowControl/>
        <w:jc w:val="center"/>
        <w:rPr>
          <w:rFonts w:ascii="黑体" w:hAnsi="宋体" w:eastAsia="黑体"/>
          <w:kern w:val="0"/>
          <w:sz w:val="24"/>
          <w:szCs w:val="20"/>
        </w:rPr>
      </w:pPr>
    </w:p>
    <w:p>
      <w:pPr>
        <w:spacing w:after="120" w:afterLines="50" w:line="360" w:lineRule="exact"/>
        <w:ind w:firstLine="421" w:firstLineChars="200"/>
        <w:rPr>
          <w:rFonts w:ascii="宋体" w:hAnsi="宋体" w:cs="宋体"/>
          <w:b/>
          <w:bCs/>
          <w:szCs w:val="21"/>
        </w:rPr>
      </w:pPr>
      <w:r>
        <w:rPr>
          <w:rFonts w:hint="eastAsia" w:ascii="宋体" w:hAnsi="宋体" w:cs="宋体"/>
          <w:b/>
          <w:bCs/>
          <w:szCs w:val="21"/>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tcPr>
          <w:p>
            <w:pPr>
              <w:spacing w:line="400" w:lineRule="exact"/>
              <w:jc w:val="center"/>
              <w:rPr>
                <w:rFonts w:ascii="宋体" w:hAnsi="宋体" w:cs="宋体"/>
                <w:szCs w:val="21"/>
              </w:rPr>
            </w:pPr>
            <w:r>
              <w:rPr>
                <w:rFonts w:hint="eastAsia" w:ascii="宋体" w:hAnsi="宋体" w:cs="宋体"/>
                <w:szCs w:val="21"/>
              </w:rPr>
              <w:t>序号</w:t>
            </w:r>
          </w:p>
        </w:tc>
        <w:tc>
          <w:tcPr>
            <w:tcW w:w="7811" w:type="dxa"/>
          </w:tcPr>
          <w:p>
            <w:pPr>
              <w:spacing w:line="400" w:lineRule="exact"/>
              <w:jc w:val="center"/>
              <w:rPr>
                <w:rFonts w:ascii="宋体" w:hAnsi="宋体" w:cs="宋体"/>
                <w:szCs w:val="21"/>
              </w:rPr>
            </w:pPr>
            <w:r>
              <w:rPr>
                <w:rFonts w:hint="eastAsia" w:ascii="宋体" w:hAnsi="宋体" w:cs="宋体"/>
                <w:b/>
                <w:bCs/>
                <w:szCs w:val="21"/>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pPr>
              <w:spacing w:line="400" w:lineRule="exact"/>
              <w:jc w:val="center"/>
              <w:rPr>
                <w:rFonts w:ascii="宋体" w:hAnsi="宋体" w:cs="宋体"/>
                <w:szCs w:val="21"/>
              </w:rPr>
            </w:pPr>
            <w:r>
              <w:rPr>
                <w:rFonts w:hint="eastAsia" w:ascii="宋体" w:hAnsi="宋体" w:cs="宋体"/>
                <w:szCs w:val="21"/>
              </w:rPr>
              <w:t>1</w:t>
            </w:r>
          </w:p>
        </w:tc>
        <w:tc>
          <w:tcPr>
            <w:tcW w:w="7811" w:type="dxa"/>
            <w:vAlign w:val="center"/>
          </w:tcPr>
          <w:p>
            <w:pPr>
              <w:spacing w:line="400" w:lineRule="exact"/>
              <w:jc w:val="left"/>
              <w:rPr>
                <w:rFonts w:ascii="宋体" w:hAnsi="宋体" w:cs="宋体"/>
                <w:szCs w:val="21"/>
              </w:rPr>
            </w:pPr>
            <w:r>
              <w:rPr>
                <w:rFonts w:hint="eastAsia" w:ascii="宋体" w:hAnsi="宋体" w:cs="宋体"/>
                <w:szCs w:val="21"/>
              </w:rPr>
              <w:t>与其他投标供应商的法定代表人、主要经营负责人、投标授权代表人、项目负责人、主要技术人员为</w:t>
            </w:r>
            <w:r>
              <w:rPr>
                <w:rFonts w:hint="eastAsia" w:ascii="宋体" w:hAnsi="宋体" w:cs="宋体"/>
                <w:b/>
                <w:bCs/>
                <w:szCs w:val="21"/>
              </w:rPr>
              <w:t>同一人、属同一单位或者在同一单位缴纳社会保险</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pPr>
              <w:spacing w:line="400" w:lineRule="exact"/>
              <w:jc w:val="center"/>
              <w:rPr>
                <w:rFonts w:ascii="宋体" w:hAnsi="宋体" w:cs="宋体"/>
                <w:szCs w:val="21"/>
              </w:rPr>
            </w:pPr>
            <w:r>
              <w:rPr>
                <w:rFonts w:hint="eastAsia" w:ascii="宋体" w:hAnsi="宋体" w:cs="宋体"/>
                <w:szCs w:val="21"/>
              </w:rPr>
              <w:t>2</w:t>
            </w:r>
          </w:p>
        </w:tc>
        <w:tc>
          <w:tcPr>
            <w:tcW w:w="7811" w:type="dxa"/>
            <w:vAlign w:val="center"/>
          </w:tcPr>
          <w:p>
            <w:pPr>
              <w:spacing w:line="400" w:lineRule="exact"/>
              <w:jc w:val="left"/>
              <w:rPr>
                <w:rFonts w:ascii="宋体" w:hAnsi="宋体" w:cs="宋体"/>
                <w:szCs w:val="21"/>
              </w:rPr>
            </w:pPr>
            <w:r>
              <w:rPr>
                <w:rFonts w:hint="eastAsia" w:ascii="宋体" w:hAnsi="宋体" w:cs="宋体"/>
                <w:szCs w:val="21"/>
              </w:rPr>
              <w:t>参与本项目政府采购活动时，与其他投标供应商存在单位负责人为</w:t>
            </w:r>
            <w:r>
              <w:rPr>
                <w:rFonts w:hint="eastAsia" w:ascii="宋体" w:hAnsi="宋体" w:cs="宋体"/>
                <w:b/>
                <w:bCs/>
                <w:szCs w:val="21"/>
              </w:rPr>
              <w:t>同一人或直接控股、管理关系</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1" w:type="dxa"/>
          </w:tcPr>
          <w:p>
            <w:pPr>
              <w:spacing w:line="400" w:lineRule="exact"/>
              <w:jc w:val="center"/>
              <w:rPr>
                <w:rFonts w:ascii="宋体" w:hAnsi="宋体" w:cs="宋体"/>
                <w:szCs w:val="21"/>
              </w:rPr>
            </w:pPr>
            <w:r>
              <w:rPr>
                <w:rFonts w:hint="eastAsia" w:ascii="宋体" w:hAnsi="宋体" w:cs="宋体"/>
                <w:szCs w:val="21"/>
              </w:rPr>
              <w:t>3</w:t>
            </w:r>
          </w:p>
        </w:tc>
        <w:tc>
          <w:tcPr>
            <w:tcW w:w="7811" w:type="dxa"/>
            <w:vAlign w:val="center"/>
          </w:tcPr>
          <w:p>
            <w:pPr>
              <w:spacing w:line="400" w:lineRule="exact"/>
              <w:jc w:val="left"/>
              <w:rPr>
                <w:rFonts w:ascii="宋体" w:hAnsi="宋体" w:cs="宋体"/>
                <w:szCs w:val="21"/>
              </w:rPr>
            </w:pPr>
            <w:r>
              <w:rPr>
                <w:rFonts w:hint="eastAsia" w:ascii="宋体" w:hAnsi="宋体" w:cs="宋体"/>
                <w:szCs w:val="21"/>
              </w:rPr>
              <w:t>与其他投标供应商的投标文件或部分投标文件</w:t>
            </w:r>
            <w:r>
              <w:rPr>
                <w:rFonts w:hint="eastAsia" w:ascii="宋体" w:hAnsi="宋体" w:cs="宋体"/>
                <w:b/>
                <w:bCs/>
                <w:szCs w:val="21"/>
              </w:rPr>
              <w:t>相互混装或存在非正常一致</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pPr>
              <w:spacing w:line="400" w:lineRule="exact"/>
              <w:jc w:val="center"/>
              <w:rPr>
                <w:rFonts w:ascii="宋体" w:hAnsi="宋体" w:cs="宋体"/>
                <w:szCs w:val="21"/>
              </w:rPr>
            </w:pPr>
            <w:r>
              <w:rPr>
                <w:rFonts w:hint="eastAsia" w:ascii="宋体" w:hAnsi="宋体" w:cs="宋体"/>
                <w:szCs w:val="21"/>
              </w:rPr>
              <w:t>4</w:t>
            </w:r>
          </w:p>
        </w:tc>
        <w:tc>
          <w:tcPr>
            <w:tcW w:w="7811" w:type="dxa"/>
            <w:vAlign w:val="center"/>
          </w:tcPr>
          <w:p>
            <w:pPr>
              <w:spacing w:line="400" w:lineRule="exact"/>
              <w:jc w:val="left"/>
              <w:rPr>
                <w:rFonts w:ascii="宋体" w:hAnsi="宋体" w:cs="宋体"/>
                <w:szCs w:val="21"/>
              </w:rPr>
            </w:pPr>
            <w:r>
              <w:rPr>
                <w:rFonts w:hint="eastAsia" w:ascii="宋体" w:hAnsi="宋体" w:cs="宋体"/>
                <w:szCs w:val="21"/>
              </w:rPr>
              <w:t>与其他投标供应商的投标文件由</w:t>
            </w:r>
            <w:r>
              <w:rPr>
                <w:rFonts w:hint="eastAsia" w:ascii="宋体" w:hAnsi="宋体" w:cs="宋体"/>
                <w:b/>
                <w:bCs/>
                <w:szCs w:val="21"/>
              </w:rPr>
              <w:t>同一单位或者同一人编制</w:t>
            </w:r>
            <w:r>
              <w:rPr>
                <w:rFonts w:hint="eastAsia" w:ascii="宋体" w:hAnsi="宋体" w:cs="宋体"/>
                <w:szCs w:val="21"/>
              </w:rPr>
              <w:t>，或者使用</w:t>
            </w:r>
            <w:r>
              <w:rPr>
                <w:rFonts w:hint="eastAsia" w:ascii="宋体" w:hAnsi="宋体" w:cs="宋体"/>
                <w:b/>
                <w:bCs/>
                <w:szCs w:val="21"/>
              </w:rPr>
              <w:t>同一设备编制</w:t>
            </w:r>
            <w:r>
              <w:rPr>
                <w:rFonts w:hint="eastAsia" w:ascii="宋体" w:hAnsi="宋体" w:cs="宋体"/>
                <w:szCs w:val="21"/>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pPr>
              <w:spacing w:line="400" w:lineRule="exact"/>
              <w:jc w:val="center"/>
              <w:rPr>
                <w:rFonts w:ascii="宋体" w:hAnsi="宋体" w:cs="宋体"/>
                <w:szCs w:val="21"/>
              </w:rPr>
            </w:pPr>
            <w:r>
              <w:rPr>
                <w:rFonts w:hint="eastAsia" w:ascii="宋体" w:hAnsi="宋体" w:cs="宋体"/>
                <w:szCs w:val="21"/>
              </w:rPr>
              <w:t>5</w:t>
            </w:r>
          </w:p>
        </w:tc>
        <w:tc>
          <w:tcPr>
            <w:tcW w:w="7811" w:type="dxa"/>
            <w:vAlign w:val="center"/>
          </w:tcPr>
          <w:p>
            <w:pPr>
              <w:spacing w:line="400" w:lineRule="exact"/>
              <w:jc w:val="left"/>
              <w:rPr>
                <w:rFonts w:ascii="宋体" w:hAnsi="宋体" w:cs="宋体"/>
                <w:szCs w:val="21"/>
              </w:rPr>
            </w:pPr>
            <w:r>
              <w:rPr>
                <w:rFonts w:hint="eastAsia" w:ascii="宋体" w:hAnsi="宋体" w:cs="宋体"/>
                <w:szCs w:val="21"/>
              </w:rPr>
              <w:t>提供</w:t>
            </w:r>
            <w:r>
              <w:rPr>
                <w:rFonts w:hint="eastAsia" w:ascii="宋体" w:hAnsi="宋体" w:cs="宋体"/>
                <w:b/>
                <w:bCs/>
                <w:szCs w:val="21"/>
              </w:rPr>
              <w:t>未经出具机构核实</w:t>
            </w:r>
            <w:r>
              <w:rPr>
                <w:rFonts w:hint="eastAsia" w:ascii="宋体" w:hAnsi="宋体" w:cs="宋体"/>
                <w:szCs w:val="21"/>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pPr>
              <w:spacing w:line="400" w:lineRule="exact"/>
              <w:jc w:val="center"/>
              <w:rPr>
                <w:rFonts w:ascii="宋体" w:hAnsi="宋体" w:cs="宋体"/>
                <w:szCs w:val="21"/>
              </w:rPr>
            </w:pPr>
            <w:r>
              <w:rPr>
                <w:rFonts w:hint="eastAsia" w:ascii="宋体" w:hAnsi="宋体" w:cs="宋体"/>
                <w:szCs w:val="21"/>
              </w:rPr>
              <w:t>6</w:t>
            </w:r>
          </w:p>
        </w:tc>
        <w:tc>
          <w:tcPr>
            <w:tcW w:w="7811" w:type="dxa"/>
            <w:vAlign w:val="center"/>
          </w:tcPr>
          <w:p>
            <w:pPr>
              <w:spacing w:line="400" w:lineRule="exact"/>
              <w:jc w:val="left"/>
              <w:rPr>
                <w:rFonts w:ascii="宋体" w:hAnsi="宋体" w:cs="宋体"/>
                <w:szCs w:val="21"/>
              </w:rPr>
            </w:pPr>
            <w:r>
              <w:rPr>
                <w:rFonts w:hint="eastAsia" w:ascii="宋体" w:hAnsi="宋体" w:cs="宋体"/>
                <w:szCs w:val="21"/>
              </w:rPr>
              <w:t>擅自将投标密钥或电子营业执照出借他人使用或未妥善保管。</w:t>
            </w:r>
          </w:p>
        </w:tc>
      </w:tr>
    </w:tbl>
    <w:p>
      <w:pPr>
        <w:spacing w:before="120" w:beforeLines="50" w:line="380" w:lineRule="exact"/>
        <w:ind w:firstLine="421" w:firstLineChars="200"/>
        <w:rPr>
          <w:rFonts w:ascii="宋体" w:hAnsi="宋体" w:cs="宋体"/>
          <w:b/>
          <w:szCs w:val="21"/>
        </w:rPr>
      </w:pPr>
      <w:r>
        <w:rPr>
          <w:rFonts w:hint="eastAsia" w:ascii="宋体" w:hAnsi="宋体" w:cs="宋体"/>
          <w:b/>
          <w:szCs w:val="21"/>
        </w:rPr>
        <w:t>一、我单位已充分知悉“隐瞒真实情况，提供虚假资料”的法定情形，包括但不限于：</w:t>
      </w:r>
    </w:p>
    <w:p>
      <w:pPr>
        <w:spacing w:line="380" w:lineRule="exact"/>
        <w:ind w:firstLine="420" w:firstLineChars="200"/>
        <w:rPr>
          <w:rFonts w:ascii="宋体" w:hAnsi="宋体" w:cs="宋体"/>
          <w:szCs w:val="21"/>
        </w:rPr>
      </w:pPr>
      <w:r>
        <w:rPr>
          <w:rFonts w:hint="eastAsia" w:ascii="宋体" w:hAnsi="宋体" w:cs="宋体"/>
          <w:szCs w:val="21"/>
        </w:rPr>
        <w:t>（一）通过转让或者租借等方式从其他单位获取资格或者资质证书投标的。</w:t>
      </w:r>
    </w:p>
    <w:p>
      <w:pPr>
        <w:spacing w:line="380" w:lineRule="exact"/>
        <w:ind w:firstLine="420" w:firstLineChars="200"/>
        <w:rPr>
          <w:rFonts w:ascii="宋体" w:hAnsi="宋体" w:cs="宋体"/>
          <w:szCs w:val="21"/>
        </w:rPr>
      </w:pPr>
      <w:r>
        <w:rPr>
          <w:rFonts w:hint="eastAsia" w:ascii="宋体" w:hAnsi="宋体" w:cs="宋体"/>
          <w:szCs w:val="21"/>
        </w:rPr>
        <w:t>（二）由其他单位或者其他单位负责人在投标供应商编制的投标文件上加盖印章或者签字的。</w:t>
      </w:r>
    </w:p>
    <w:p>
      <w:pPr>
        <w:spacing w:line="380" w:lineRule="exact"/>
        <w:ind w:firstLine="420" w:firstLineChars="200"/>
        <w:rPr>
          <w:rFonts w:ascii="宋体" w:hAnsi="宋体" w:cs="宋体"/>
          <w:szCs w:val="21"/>
        </w:rPr>
      </w:pPr>
      <w:r>
        <w:rPr>
          <w:rFonts w:hint="eastAsia" w:ascii="宋体" w:hAnsi="宋体" w:cs="宋体"/>
          <w:szCs w:val="21"/>
        </w:rPr>
        <w:t>（三）项目负责人或者主要技术人员不是本单位人员的。</w:t>
      </w:r>
    </w:p>
    <w:p>
      <w:pPr>
        <w:spacing w:line="380" w:lineRule="exact"/>
        <w:ind w:firstLine="420" w:firstLineChars="200"/>
        <w:rPr>
          <w:rFonts w:ascii="宋体" w:hAnsi="宋体" w:cs="宋体"/>
          <w:szCs w:val="21"/>
        </w:rPr>
      </w:pPr>
      <w:r>
        <w:rPr>
          <w:rFonts w:hint="eastAsia" w:ascii="宋体" w:hAnsi="宋体" w:cs="宋体"/>
          <w:szCs w:val="21"/>
        </w:rPr>
        <w:t>（四）投标保证金不是从投标供应商基本账户转出的。</w:t>
      </w:r>
    </w:p>
    <w:p>
      <w:pPr>
        <w:spacing w:line="380" w:lineRule="exact"/>
        <w:ind w:firstLine="420" w:firstLineChars="200"/>
        <w:rPr>
          <w:rFonts w:ascii="宋体" w:hAnsi="宋体" w:cs="宋体"/>
          <w:szCs w:val="21"/>
        </w:rPr>
      </w:pPr>
      <w:r>
        <w:rPr>
          <w:rFonts w:hint="eastAsia" w:ascii="宋体" w:hAnsi="宋体" w:cs="宋体"/>
          <w:szCs w:val="21"/>
        </w:rPr>
        <w:t>（五）其他隐瞒真实情况、提供虚假资料的行为。</w:t>
      </w:r>
    </w:p>
    <w:p>
      <w:pPr>
        <w:spacing w:line="380" w:lineRule="exact"/>
        <w:ind w:firstLine="421" w:firstLineChars="200"/>
        <w:rPr>
          <w:rFonts w:ascii="宋体" w:hAnsi="宋体" w:cs="宋体"/>
          <w:b/>
          <w:szCs w:val="21"/>
        </w:rPr>
      </w:pPr>
      <w:r>
        <w:rPr>
          <w:rFonts w:hint="eastAsia" w:ascii="宋体" w:hAnsi="宋体" w:cs="宋体"/>
          <w:b/>
          <w:szCs w:val="21"/>
        </w:rPr>
        <w:t>二、我单位已充分知悉“与其他采购参加人串通投标”的法定情形，包括但不限于：</w:t>
      </w:r>
    </w:p>
    <w:p>
      <w:pPr>
        <w:spacing w:line="380" w:lineRule="exact"/>
        <w:ind w:firstLine="420" w:firstLineChars="200"/>
        <w:rPr>
          <w:rFonts w:ascii="宋体" w:hAnsi="宋体" w:cs="宋体"/>
          <w:szCs w:val="21"/>
        </w:rPr>
      </w:pPr>
      <w:r>
        <w:rPr>
          <w:rFonts w:hint="eastAsia" w:ascii="宋体" w:hAnsi="宋体" w:cs="宋体"/>
          <w:szCs w:val="21"/>
        </w:rPr>
        <w:t>（一）投标供应商之间相互约定给予未中标的供应商利益补偿。</w:t>
      </w:r>
    </w:p>
    <w:p>
      <w:pPr>
        <w:spacing w:line="380" w:lineRule="exact"/>
        <w:ind w:firstLine="420" w:firstLineChars="200"/>
        <w:rPr>
          <w:rFonts w:ascii="宋体" w:hAnsi="宋体" w:cs="宋体"/>
          <w:szCs w:val="21"/>
        </w:rPr>
      </w:pPr>
      <w:r>
        <w:rPr>
          <w:rFonts w:hint="eastAsia" w:ascii="宋体" w:hAnsi="宋体" w:cs="宋体"/>
          <w:szCs w:val="21"/>
        </w:rPr>
        <w:t>（二）不同投标供应商的法定代表人、主要经营负责人、项目投标授权代表人、项目负责人、主要技术人员为同一人、属同一单位或者在同一单位缴纳社会保险。</w:t>
      </w:r>
    </w:p>
    <w:p>
      <w:pPr>
        <w:spacing w:line="340" w:lineRule="exact"/>
        <w:ind w:firstLine="420" w:firstLineChars="200"/>
        <w:rPr>
          <w:rFonts w:ascii="宋体" w:hAnsi="宋体" w:cs="宋体"/>
          <w:szCs w:val="21"/>
        </w:rPr>
      </w:pPr>
      <w:r>
        <w:rPr>
          <w:rFonts w:hint="eastAsia" w:ascii="宋体" w:hAnsi="宋体" w:cs="宋体"/>
          <w:szCs w:val="21"/>
        </w:rPr>
        <w:t>（三）不同投标供应商的投标文件由同一单位或者同一人编制，或者由同一人分阶段参与编制的。</w:t>
      </w:r>
    </w:p>
    <w:p>
      <w:pPr>
        <w:spacing w:line="340" w:lineRule="exact"/>
        <w:ind w:firstLine="420" w:firstLineChars="200"/>
        <w:rPr>
          <w:rFonts w:ascii="宋体" w:hAnsi="宋体" w:cs="宋体"/>
          <w:szCs w:val="21"/>
        </w:rPr>
      </w:pPr>
      <w:r>
        <w:rPr>
          <w:rFonts w:hint="eastAsia" w:ascii="宋体" w:hAnsi="宋体" w:cs="宋体"/>
          <w:szCs w:val="21"/>
        </w:rPr>
        <w:t>（四）不同投标供应商的投标文件或部分投标文件相互混装。</w:t>
      </w:r>
    </w:p>
    <w:p>
      <w:pPr>
        <w:spacing w:line="340" w:lineRule="exact"/>
        <w:ind w:firstLine="420" w:firstLineChars="200"/>
        <w:rPr>
          <w:rFonts w:ascii="宋体" w:hAnsi="宋体" w:cs="宋体"/>
          <w:szCs w:val="21"/>
        </w:rPr>
      </w:pPr>
      <w:r>
        <w:rPr>
          <w:rFonts w:hint="eastAsia" w:ascii="宋体" w:hAnsi="宋体" w:cs="宋体"/>
          <w:szCs w:val="21"/>
        </w:rPr>
        <w:t>（五）不同投标供应商的投标文件内容存在非正常一致。</w:t>
      </w:r>
    </w:p>
    <w:p>
      <w:pPr>
        <w:spacing w:line="340" w:lineRule="exact"/>
        <w:ind w:firstLine="420" w:firstLineChars="200"/>
        <w:rPr>
          <w:rFonts w:ascii="宋体" w:hAnsi="宋体" w:cs="宋体"/>
          <w:szCs w:val="21"/>
        </w:rPr>
      </w:pPr>
      <w:r>
        <w:rPr>
          <w:rFonts w:hint="eastAsia" w:ascii="宋体" w:hAnsi="宋体" w:cs="宋体"/>
          <w:szCs w:val="21"/>
        </w:rPr>
        <w:t>（六）由同一单位工作人员为两家以上（含两家）供应商进行同一项投标活动的。</w:t>
      </w:r>
    </w:p>
    <w:p>
      <w:pPr>
        <w:spacing w:line="340" w:lineRule="exact"/>
        <w:ind w:firstLine="420" w:firstLineChars="200"/>
        <w:rPr>
          <w:rFonts w:ascii="宋体" w:hAnsi="宋体" w:cs="宋体"/>
          <w:szCs w:val="21"/>
        </w:rPr>
      </w:pPr>
      <w:r>
        <w:rPr>
          <w:rFonts w:hint="eastAsia" w:ascii="宋体" w:hAnsi="宋体" w:cs="宋体"/>
          <w:szCs w:val="21"/>
        </w:rPr>
        <w:t>（七）不同投标人的投标报价呈规律性差异。</w:t>
      </w:r>
    </w:p>
    <w:p>
      <w:pPr>
        <w:spacing w:line="340" w:lineRule="exact"/>
        <w:ind w:firstLine="420" w:firstLineChars="200"/>
        <w:rPr>
          <w:rFonts w:ascii="宋体" w:hAnsi="宋体" w:cs="宋体"/>
          <w:szCs w:val="21"/>
        </w:rPr>
      </w:pPr>
      <w:r>
        <w:rPr>
          <w:rFonts w:hint="eastAsia" w:ascii="宋体" w:hAnsi="宋体" w:cs="宋体"/>
          <w:szCs w:val="21"/>
        </w:rPr>
        <w:t>（八）不同投标人的投标保证金从同一单位或者个人的账户转出。</w:t>
      </w:r>
    </w:p>
    <w:p>
      <w:pPr>
        <w:spacing w:line="340" w:lineRule="exact"/>
        <w:ind w:firstLine="420" w:firstLineChars="200"/>
        <w:rPr>
          <w:rFonts w:ascii="宋体" w:hAnsi="宋体" w:cs="宋体"/>
          <w:szCs w:val="21"/>
        </w:rPr>
      </w:pPr>
      <w:r>
        <w:rPr>
          <w:rFonts w:hint="eastAsia" w:ascii="宋体" w:hAnsi="宋体" w:cs="宋体"/>
          <w:szCs w:val="21"/>
        </w:rPr>
        <w:t>（九）主管部门依照法律、法规认定的其他情形。</w:t>
      </w:r>
    </w:p>
    <w:p>
      <w:pPr>
        <w:spacing w:line="340" w:lineRule="exact"/>
        <w:ind w:firstLine="421" w:firstLineChars="200"/>
        <w:rPr>
          <w:rFonts w:ascii="宋体" w:hAnsi="宋体" w:cs="宋体"/>
          <w:b/>
          <w:szCs w:val="21"/>
        </w:rPr>
      </w:pPr>
      <w:r>
        <w:rPr>
          <w:rFonts w:hint="eastAsia" w:ascii="宋体" w:hAnsi="宋体" w:cs="宋体"/>
          <w:b/>
          <w:szCs w:val="21"/>
        </w:rPr>
        <w:t>三、我单位已充分知悉下列情形存在法律风险，在投标前已对相关风险事项进行排查。</w:t>
      </w:r>
    </w:p>
    <w:p>
      <w:pPr>
        <w:spacing w:line="340" w:lineRule="exact"/>
        <w:ind w:firstLine="420" w:firstLineChars="200"/>
        <w:rPr>
          <w:rFonts w:ascii="宋体" w:hAnsi="宋体" w:cs="宋体"/>
          <w:b/>
          <w:szCs w:val="21"/>
        </w:rPr>
      </w:pPr>
      <w:r>
        <w:rPr>
          <w:rFonts w:hint="eastAsia" w:ascii="宋体" w:hAnsi="宋体" w:cs="宋体"/>
          <w:szCs w:val="21"/>
        </w:rPr>
        <w:t>（一）对于从其他主体获取的投标资料，我单位应审慎核查，确保其真实性。</w:t>
      </w:r>
      <w:r>
        <w:rPr>
          <w:rFonts w:hint="eastAsia" w:ascii="宋体" w:hAnsi="宋体" w:cs="宋体"/>
          <w:b/>
          <w:szCs w:val="21"/>
        </w:rPr>
        <w:t>如主管部门查实投标文件中存在虚假资料的，无论相关资料是否由第三方或本公司员工提供，均不影响主管部门对供应商存在“隐瞒真实情况，提供虚假资料”违法行为的认定。</w:t>
      </w:r>
    </w:p>
    <w:p>
      <w:pPr>
        <w:spacing w:line="340" w:lineRule="exact"/>
        <w:ind w:firstLine="420" w:firstLineChars="200"/>
        <w:rPr>
          <w:rFonts w:ascii="宋体" w:hAnsi="宋体" w:cs="宋体"/>
          <w:szCs w:val="21"/>
        </w:rPr>
      </w:pPr>
      <w:r>
        <w:rPr>
          <w:rFonts w:hint="eastAsia" w:ascii="宋体" w:hAnsi="宋体" w:cs="宋体"/>
          <w:szCs w:val="21"/>
        </w:rPr>
        <w:t>（二）对于涉及国家机关出具的公文、证件、证明材料等文件，一旦涉嫌虚假，经查实，主管部门将依法从严处理，并移送有关部门追究法律责任；涉嫌犯罪的，移送司法机关处理。</w:t>
      </w:r>
    </w:p>
    <w:p>
      <w:pPr>
        <w:spacing w:line="340" w:lineRule="exact"/>
        <w:ind w:firstLine="420" w:firstLineChars="200"/>
        <w:rPr>
          <w:rFonts w:ascii="宋体" w:hAnsi="宋体" w:cs="宋体"/>
          <w:szCs w:val="21"/>
        </w:rPr>
      </w:pPr>
      <w:r>
        <w:rPr>
          <w:rFonts w:hint="eastAsia" w:ascii="宋体" w:hAnsi="宋体" w:cs="宋体"/>
          <w:szCs w:val="21"/>
        </w:rPr>
        <w:t>（三）我单位对投标电子密钥或电子营业执照负有妥善保管、及时变更和续期等主体责任；使用电子密钥或电子营业执照在深圳政府采购网站进行的活动，均具有法律效力，须承担相应的法律后果。若</w:t>
      </w:r>
      <w:r>
        <w:rPr>
          <w:rFonts w:hint="eastAsia" w:ascii="宋体" w:hAnsi="宋体" w:cs="宋体"/>
          <w:b/>
          <w:bCs/>
          <w:szCs w:val="21"/>
        </w:rPr>
        <w:t>擅自将投标密钥或电子营业执照出借他人使用所造成的法律后果，由我单位自行承担</w:t>
      </w:r>
      <w:r>
        <w:rPr>
          <w:rFonts w:hint="eastAsia" w:ascii="宋体" w:hAnsi="宋体" w:cs="宋体"/>
          <w:szCs w:val="21"/>
        </w:rPr>
        <w:t>。</w:t>
      </w:r>
    </w:p>
    <w:p>
      <w:pPr>
        <w:spacing w:line="340" w:lineRule="exact"/>
        <w:ind w:firstLine="421" w:firstLineChars="200"/>
        <w:rPr>
          <w:rFonts w:ascii="宋体" w:hAnsi="宋体" w:cs="宋体"/>
          <w:b/>
          <w:szCs w:val="21"/>
        </w:rPr>
      </w:pPr>
      <w:r>
        <w:rPr>
          <w:rFonts w:hint="eastAsia" w:ascii="宋体" w:hAnsi="宋体" w:cs="宋体"/>
          <w:b/>
          <w:szCs w:val="21"/>
        </w:rPr>
        <w:t>四、我单位已充分知悉政府采购违法、违规行为的法律后果。</w:t>
      </w:r>
    </w:p>
    <w:p>
      <w:pPr>
        <w:spacing w:line="340" w:lineRule="exact"/>
        <w:ind w:firstLine="420" w:firstLineChars="200"/>
        <w:rPr>
          <w:rFonts w:ascii="宋体" w:hAnsi="宋体" w:cs="宋体"/>
          <w:szCs w:val="21"/>
        </w:rPr>
      </w:pPr>
      <w:r>
        <w:rPr>
          <w:rFonts w:hint="eastAsia" w:ascii="宋体" w:hAnsi="宋体" w:cs="宋体"/>
          <w:szCs w:val="21"/>
        </w:rPr>
        <w:t>经查实，若我单位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pPr>
        <w:spacing w:line="340" w:lineRule="exact"/>
        <w:ind w:firstLine="420" w:firstLineChars="200"/>
        <w:rPr>
          <w:rFonts w:ascii="宋体" w:hAnsi="宋体" w:cs="宋体"/>
          <w:szCs w:val="21"/>
          <w:highlight w:val="yellow"/>
        </w:rPr>
      </w:pPr>
      <w:r>
        <w:rPr>
          <w:rFonts w:hint="eastAsia" w:ascii="宋体" w:hAnsi="宋体" w:cs="宋体"/>
          <w:szCs w:val="21"/>
          <w:highlight w:val="yellow"/>
        </w:rPr>
        <w:t>以下文字请投标供应商抄写并确认：“我单位已仔细阅读《政府采购违法行为风险知悉确认书》，充分知悉违法行为的法律后果，并承诺将严谨、诚信、依法依规参与政府采购活动”。</w:t>
      </w:r>
    </w:p>
    <w:tbl>
      <w:tblPr>
        <w:tblStyle w:val="191"/>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pPr>
              <w:autoSpaceDE w:val="0"/>
              <w:autoSpaceDN w:val="0"/>
              <w:spacing w:line="340" w:lineRule="exact"/>
              <w:ind w:firstLine="1866"/>
              <w:rPr>
                <w:rFonts w:ascii="宋体" w:hAnsi="宋体" w:cs="宋体" w:eastAsiaTheme="minorEastAsia"/>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autoSpaceDE w:val="0"/>
              <w:autoSpaceDN w:val="0"/>
              <w:spacing w:line="340" w:lineRule="exact"/>
              <w:ind w:firstLine="1866"/>
              <w:rPr>
                <w:rFonts w:ascii="宋体" w:hAnsi="宋体" w:cs="宋体" w:eastAsiaTheme="minorEastAsia"/>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autoSpaceDE w:val="0"/>
              <w:autoSpaceDN w:val="0"/>
              <w:spacing w:line="340" w:lineRule="exact"/>
              <w:ind w:firstLine="1866"/>
              <w:rPr>
                <w:rFonts w:ascii="宋体" w:hAnsi="宋体" w:cs="宋体" w:eastAsiaTheme="minorEastAsia"/>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pPr>
              <w:autoSpaceDE w:val="0"/>
              <w:autoSpaceDN w:val="0"/>
              <w:spacing w:line="340" w:lineRule="exact"/>
              <w:ind w:firstLine="1866"/>
              <w:rPr>
                <w:rFonts w:ascii="宋体" w:hAnsi="宋体" w:cs="宋体" w:eastAsiaTheme="minorEastAsia"/>
                <w:spacing w:val="-4"/>
                <w:kern w:val="0"/>
                <w:szCs w:val="21"/>
              </w:rPr>
            </w:pPr>
          </w:p>
        </w:tc>
      </w:tr>
    </w:tbl>
    <w:p>
      <w:pPr>
        <w:widowControl/>
        <w:wordWrap w:val="0"/>
        <w:autoSpaceDE w:val="0"/>
        <w:autoSpaceDN w:val="0"/>
        <w:spacing w:line="340" w:lineRule="exact"/>
        <w:ind w:right="808" w:firstLine="404" w:firstLineChars="200"/>
        <w:jc w:val="right"/>
        <w:rPr>
          <w:rFonts w:ascii="宋体" w:hAnsi="宋体" w:cs="宋体"/>
          <w:spacing w:val="-4"/>
          <w:kern w:val="0"/>
          <w:szCs w:val="21"/>
        </w:rPr>
      </w:pPr>
    </w:p>
    <w:p>
      <w:pPr>
        <w:widowControl/>
        <w:wordWrap w:val="0"/>
        <w:autoSpaceDE w:val="0"/>
        <w:autoSpaceDN w:val="0"/>
        <w:spacing w:line="340" w:lineRule="exact"/>
        <w:ind w:right="808" w:firstLine="404" w:firstLineChars="200"/>
        <w:jc w:val="right"/>
        <w:rPr>
          <w:rFonts w:ascii="宋体" w:hAnsi="宋体" w:cs="宋体"/>
          <w:spacing w:val="-4"/>
          <w:kern w:val="0"/>
          <w:szCs w:val="21"/>
          <w:u w:val="single"/>
        </w:rPr>
      </w:pPr>
      <w:r>
        <w:rPr>
          <w:rFonts w:hint="eastAsia" w:ascii="宋体" w:hAnsi="宋体" w:cs="宋体"/>
          <w:spacing w:val="-4"/>
          <w:kern w:val="0"/>
          <w:szCs w:val="21"/>
        </w:rPr>
        <w:t>单位负责人签名：</w:t>
      </w:r>
      <w:r>
        <w:rPr>
          <w:rFonts w:hint="eastAsia" w:ascii="宋体" w:hAnsi="宋体" w:cs="宋体"/>
          <w:spacing w:val="-4"/>
          <w:kern w:val="0"/>
          <w:szCs w:val="21"/>
          <w:u w:val="single"/>
        </w:rPr>
        <w:t xml:space="preserve">              </w:t>
      </w:r>
    </w:p>
    <w:p>
      <w:pPr>
        <w:widowControl/>
        <w:wordWrap w:val="0"/>
        <w:autoSpaceDE w:val="0"/>
        <w:autoSpaceDN w:val="0"/>
        <w:spacing w:line="340" w:lineRule="exact"/>
        <w:ind w:right="808" w:firstLine="404" w:firstLineChars="200"/>
        <w:jc w:val="center"/>
        <w:rPr>
          <w:rFonts w:ascii="宋体" w:hAnsi="宋体" w:cs="宋体"/>
          <w:spacing w:val="-4"/>
          <w:kern w:val="0"/>
          <w:szCs w:val="21"/>
          <w:u w:val="single"/>
        </w:rPr>
      </w:pPr>
      <w:r>
        <w:rPr>
          <w:rFonts w:hint="eastAsia" w:ascii="宋体" w:hAnsi="宋体" w:cs="宋体"/>
          <w:spacing w:val="-4"/>
          <w:kern w:val="0"/>
          <w:szCs w:val="21"/>
        </w:rPr>
        <w:t xml:space="preserve">                                 （加盖公章）</w:t>
      </w:r>
    </w:p>
    <w:p>
      <w:pPr>
        <w:widowControl/>
        <w:wordWrap w:val="0"/>
        <w:autoSpaceDE w:val="0"/>
        <w:autoSpaceDN w:val="0"/>
        <w:spacing w:line="340" w:lineRule="exact"/>
        <w:ind w:right="808" w:firstLine="404" w:firstLineChars="200"/>
        <w:jc w:val="right"/>
        <w:rPr>
          <w:rFonts w:ascii="宋体" w:hAnsi="宋体" w:cs="宋体"/>
          <w:spacing w:val="-4"/>
          <w:kern w:val="0"/>
          <w:szCs w:val="21"/>
          <w:u w:val="single"/>
        </w:rPr>
      </w:pPr>
      <w:r>
        <w:rPr>
          <w:rFonts w:hint="eastAsia" w:ascii="宋体" w:hAnsi="宋体" w:cs="宋体"/>
          <w:spacing w:val="-4"/>
          <w:kern w:val="0"/>
          <w:szCs w:val="21"/>
        </w:rPr>
        <w:t xml:space="preserve">     日期：</w:t>
      </w:r>
      <w:r>
        <w:rPr>
          <w:rFonts w:hint="eastAsia" w:ascii="宋体" w:hAnsi="宋体" w:cs="宋体"/>
          <w:spacing w:val="-4"/>
          <w:kern w:val="0"/>
          <w:szCs w:val="21"/>
          <w:u w:val="single"/>
        </w:rPr>
        <w:t xml:space="preserve">              </w:t>
      </w:r>
    </w:p>
    <w:p>
      <w:pPr>
        <w:widowControl/>
        <w:autoSpaceDE w:val="0"/>
        <w:autoSpaceDN w:val="0"/>
        <w:spacing w:line="340" w:lineRule="exact"/>
        <w:ind w:firstLine="405" w:firstLineChars="200"/>
        <w:jc w:val="left"/>
        <w:rPr>
          <w:rFonts w:ascii="宋体" w:hAnsi="宋体" w:cs="宋体"/>
          <w:b/>
          <w:bCs/>
          <w:spacing w:val="-4"/>
          <w:kern w:val="0"/>
          <w:szCs w:val="21"/>
        </w:rPr>
      </w:pPr>
    </w:p>
    <w:p>
      <w:pPr>
        <w:widowControl/>
        <w:autoSpaceDE w:val="0"/>
        <w:autoSpaceDN w:val="0"/>
        <w:spacing w:line="340" w:lineRule="exact"/>
        <w:ind w:firstLine="405" w:firstLineChars="200"/>
        <w:jc w:val="left"/>
        <w:rPr>
          <w:rFonts w:ascii="宋体" w:hAnsi="宋体" w:cs="宋体"/>
          <w:b/>
          <w:bCs/>
          <w:spacing w:val="-4"/>
          <w:kern w:val="0"/>
          <w:szCs w:val="21"/>
        </w:rPr>
      </w:pPr>
      <w:r>
        <w:rPr>
          <w:rFonts w:hint="eastAsia" w:ascii="宋体" w:hAnsi="宋体" w:cs="宋体"/>
          <w:b/>
          <w:bCs/>
          <w:spacing w:val="-4"/>
          <w:kern w:val="0"/>
          <w:szCs w:val="21"/>
        </w:rPr>
        <w:t>注：1.《政府采购违法行为风险知悉确认书》需由投标供应商负责人签字并加盖单位公章后，扫描上传至投标文件一并提交。</w:t>
      </w:r>
    </w:p>
    <w:p>
      <w:pPr>
        <w:pStyle w:val="193"/>
        <w:rPr>
          <w:lang w:bidi="ar"/>
        </w:rPr>
      </w:pPr>
      <w:r>
        <w:rPr>
          <w:rFonts w:hint="eastAsia" w:ascii="宋体" w:hAnsi="宋体" w:cs="宋体"/>
          <w:b/>
          <w:bCs/>
          <w:spacing w:val="-4"/>
          <w:kern w:val="0"/>
          <w:szCs w:val="21"/>
        </w:rPr>
        <w:t>2.根据《深圳市财政局关于在采购文件及深圳政府采购智慧平台增设供应商投标特别警示条款等事宜的通知》（深财购〔2025〕7号）的要求，《政府采购违法行为风险知悉确认书》用于对供应商违法行为的提醒，不作为供应商资格性审查及符合性审查条件。</w:t>
      </w:r>
    </w:p>
    <w:p>
      <w:pPr>
        <w:widowControl/>
        <w:autoSpaceDE w:val="0"/>
        <w:autoSpaceDN w:val="0"/>
        <w:spacing w:line="400" w:lineRule="exact"/>
        <w:ind w:firstLine="404" w:firstLineChars="200"/>
        <w:jc w:val="left"/>
        <w:rPr>
          <w:rFonts w:ascii="宋体" w:hAnsi="宋体" w:eastAsiaTheme="minorEastAsia"/>
          <w:color w:val="FF0000"/>
          <w:spacing w:val="-4"/>
          <w:kern w:val="0"/>
          <w:szCs w:val="21"/>
        </w:rPr>
      </w:pPr>
    </w:p>
    <w:p>
      <w:pPr>
        <w:widowControl/>
        <w:autoSpaceDE w:val="0"/>
        <w:autoSpaceDN w:val="0"/>
        <w:spacing w:line="400" w:lineRule="exact"/>
        <w:ind w:right="1414" w:firstLine="480" w:firstLineChars="200"/>
        <w:jc w:val="right"/>
        <w:rPr>
          <w:rFonts w:eastAsiaTheme="minorEastAsia"/>
          <w:kern w:val="0"/>
          <w:sz w:val="24"/>
        </w:rPr>
      </w:pPr>
    </w:p>
    <w:p>
      <w:pPr>
        <w:jc w:val="center"/>
        <w:rPr>
          <w:rFonts w:ascii="黑体" w:eastAsia="黑体"/>
          <w:sz w:val="24"/>
          <w:szCs w:val="20"/>
        </w:rPr>
      </w:pPr>
      <w:r>
        <w:rPr>
          <w:rFonts w:hint="eastAsia" w:ascii="黑体" w:eastAsia="黑体"/>
          <w:sz w:val="24"/>
          <w:szCs w:val="20"/>
        </w:rPr>
        <w:t>（二）订单融资情况</w:t>
      </w:r>
    </w:p>
    <w:p>
      <w:pPr>
        <w:ind w:firstLine="421" w:firstLineChars="200"/>
        <w:rPr>
          <w:rFonts w:ascii="宋体" w:hAnsi="宋体" w:cs="宋体"/>
          <w:b/>
          <w:bCs/>
        </w:rPr>
      </w:pPr>
      <w:r>
        <w:rPr>
          <w:rFonts w:hint="eastAsia" w:ascii="宋体" w:hAnsi="宋体" w:cs="宋体"/>
          <w:b/>
          <w:bCs/>
        </w:rPr>
        <w:t>1.关于政府采购订单融资政策</w:t>
      </w:r>
    </w:p>
    <w:p>
      <w:pPr>
        <w:pStyle w:val="2"/>
        <w:spacing w:line="240" w:lineRule="auto"/>
        <w:ind w:firstLine="420" w:firstLineChars="200"/>
        <w:rPr>
          <w:b w:val="0"/>
          <w:sz w:val="21"/>
          <w:szCs w:val="21"/>
        </w:rPr>
      </w:pPr>
      <w:r>
        <w:rPr>
          <w:rFonts w:hint="eastAsia"/>
          <w:b w:val="0"/>
          <w:sz w:val="21"/>
          <w:szCs w:val="21"/>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ind w:firstLine="421" w:firstLineChars="200"/>
        <w:rPr>
          <w:rFonts w:ascii="宋体" w:hAnsi="宋体" w:cs="宋体"/>
          <w:b/>
          <w:bCs/>
        </w:rPr>
      </w:pPr>
      <w:r>
        <w:rPr>
          <w:rFonts w:hint="eastAsia" w:ascii="宋体" w:hAnsi="宋体" w:cs="宋体"/>
          <w:b/>
          <w:bCs/>
        </w:rPr>
        <w:t>2.供应商账户信息</w:t>
      </w:r>
    </w:p>
    <w:p>
      <w:pPr>
        <w:ind w:left="420" w:leftChars="200" w:firstLine="210" w:firstLineChars="100"/>
        <w:rPr>
          <w:szCs w:val="21"/>
        </w:rPr>
      </w:pPr>
      <w:r>
        <w:rPr>
          <w:rFonts w:hint="eastAsia"/>
          <w:szCs w:val="21"/>
        </w:rPr>
        <w:t>投标人（单位全称）：</w:t>
      </w:r>
      <w:r>
        <w:rPr>
          <w:rFonts w:hint="eastAsia"/>
          <w:szCs w:val="21"/>
          <w:u w:val="thick"/>
        </w:rPr>
        <w:t xml:space="preserve">                           </w:t>
      </w:r>
      <w:r>
        <w:rPr>
          <w:rFonts w:hint="eastAsia"/>
          <w:szCs w:val="21"/>
        </w:rPr>
        <w:t xml:space="preserve">；  </w:t>
      </w:r>
    </w:p>
    <w:p>
      <w:pPr>
        <w:ind w:left="420" w:leftChars="200" w:firstLine="210" w:firstLineChars="100"/>
        <w:rPr>
          <w:szCs w:val="21"/>
        </w:rPr>
      </w:pPr>
      <w:r>
        <w:rPr>
          <w:rFonts w:hint="eastAsia"/>
          <w:szCs w:val="21"/>
        </w:rPr>
        <w:t>投标人单位地址：</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法定代表人（负责人）或其授权委托代理人：</w:t>
      </w:r>
      <w:r>
        <w:rPr>
          <w:rFonts w:hint="eastAsia"/>
          <w:szCs w:val="21"/>
          <w:u w:val="thick"/>
        </w:rPr>
        <w:t xml:space="preserve">                      </w:t>
      </w:r>
      <w:r>
        <w:rPr>
          <w:rFonts w:hint="eastAsia"/>
          <w:szCs w:val="21"/>
        </w:rPr>
        <w:t>；</w:t>
      </w:r>
    </w:p>
    <w:p>
      <w:pPr>
        <w:ind w:left="420" w:leftChars="200" w:firstLine="210" w:firstLineChars="100"/>
        <w:rPr>
          <w:szCs w:val="21"/>
          <w:u w:val="thick"/>
        </w:rPr>
      </w:pPr>
      <w:r>
        <w:rPr>
          <w:rFonts w:hint="eastAsia"/>
          <w:szCs w:val="21"/>
        </w:rPr>
        <w:t>联系电话：</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开户银行名称：</w:t>
      </w:r>
      <w:r>
        <w:rPr>
          <w:rFonts w:hint="eastAsia"/>
          <w:szCs w:val="21"/>
          <w:u w:val="thick"/>
        </w:rPr>
        <w:t xml:space="preserve">                                                 </w:t>
      </w:r>
      <w:r>
        <w:rPr>
          <w:rFonts w:hint="eastAsia"/>
          <w:szCs w:val="21"/>
        </w:rPr>
        <w:t>；</w:t>
      </w:r>
    </w:p>
    <w:p>
      <w:pPr>
        <w:ind w:left="420" w:leftChars="200" w:firstLine="210" w:firstLineChars="100"/>
        <w:rPr>
          <w:szCs w:val="21"/>
          <w:u w:val="thick"/>
        </w:rPr>
      </w:pPr>
      <w:r>
        <w:rPr>
          <w:rFonts w:hint="eastAsia"/>
          <w:szCs w:val="21"/>
        </w:rPr>
        <w:t>开户银行账号：</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开户银行地址：</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 xml:space="preserve"> </w:t>
      </w:r>
      <w:r>
        <w:rPr>
          <w:rFonts w:hint="eastAsia" w:ascii="宋体" w:hAnsi="宋体" w:eastAsiaTheme="minorEastAsia"/>
          <w:b/>
          <w:bCs/>
          <w:color w:val="FF0000"/>
          <w:spacing w:val="-4"/>
          <w:kern w:val="0"/>
          <w:szCs w:val="21"/>
        </w:rPr>
        <w:t>注：本项填写内容作为订单融资开展的参考信息，不作为供应商资格性审查及符合性审查条件。</w:t>
      </w:r>
    </w:p>
    <w:p>
      <w:pPr>
        <w:widowControl/>
        <w:autoSpaceDE w:val="0"/>
        <w:autoSpaceDN w:val="0"/>
        <w:spacing w:line="400" w:lineRule="exact"/>
        <w:ind w:right="1414" w:firstLine="480" w:firstLineChars="200"/>
        <w:jc w:val="right"/>
        <w:rPr>
          <w:rFonts w:eastAsiaTheme="minorEastAsia"/>
          <w:kern w:val="0"/>
          <w:sz w:val="24"/>
        </w:rPr>
      </w:pPr>
    </w:p>
    <w:p>
      <w:pPr>
        <w:widowControl/>
        <w:autoSpaceDE w:val="0"/>
        <w:autoSpaceDN w:val="0"/>
        <w:spacing w:line="400" w:lineRule="exact"/>
        <w:ind w:right="1414" w:firstLine="480" w:firstLineChars="200"/>
        <w:jc w:val="right"/>
        <w:rPr>
          <w:rFonts w:eastAsiaTheme="minorEastAsia"/>
          <w:kern w:val="0"/>
          <w:sz w:val="24"/>
        </w:rPr>
      </w:pPr>
    </w:p>
    <w:p>
      <w:pPr>
        <w:rPr>
          <w:sz w:val="24"/>
        </w:rPr>
      </w:pPr>
    </w:p>
    <w:p>
      <w:pPr>
        <w:widowControl/>
        <w:spacing w:line="360" w:lineRule="auto"/>
        <w:jc w:val="left"/>
        <w:rPr>
          <w:rFonts w:eastAsiaTheme="minorEastAsia"/>
          <w:b/>
          <w:bCs/>
          <w:kern w:val="0"/>
          <w:sz w:val="24"/>
        </w:rPr>
      </w:pPr>
    </w:p>
    <w:p>
      <w:pPr>
        <w:widowControl/>
        <w:jc w:val="center"/>
        <w:rPr>
          <w:rFonts w:ascii="黑体" w:hAnsi="宋体" w:eastAsia="黑体"/>
          <w:kern w:val="0"/>
          <w:sz w:val="24"/>
          <w:szCs w:val="20"/>
        </w:rPr>
      </w:pPr>
      <w:r>
        <w:rPr>
          <w:rFonts w:hint="eastAsia" w:ascii="黑体" w:hAnsi="宋体" w:eastAsia="黑体"/>
          <w:kern w:val="0"/>
          <w:sz w:val="24"/>
          <w:szCs w:val="20"/>
        </w:rPr>
        <w:t>（三）投标人认为需要加以说明的其他内容（格式自定）</w:t>
      </w:r>
    </w:p>
    <w:p/>
    <w:p>
      <w:pPr>
        <w:pStyle w:val="2"/>
        <w:sectPr>
          <w:pgSz w:w="11907" w:h="16840"/>
          <w:pgMar w:top="1440" w:right="1797" w:bottom="1440" w:left="1797" w:header="851" w:footer="992" w:gutter="0"/>
          <w:cols w:space="425" w:num="1"/>
          <w:titlePg/>
          <w:docGrid w:linePitch="462" w:charSpace="0"/>
        </w:sectPr>
      </w:pPr>
    </w:p>
    <w:p>
      <w:pPr>
        <w:pStyle w:val="2"/>
      </w:pPr>
    </w:p>
    <w:p>
      <w:pPr>
        <w:pStyle w:val="6"/>
      </w:pPr>
      <w:r>
        <w:rPr>
          <w:rFonts w:hint="eastAsia"/>
        </w:rPr>
        <w:t>第五章  合同条款及格式</w:t>
      </w:r>
    </w:p>
    <w:p>
      <w:pPr>
        <w:ind w:firstLine="411" w:firstLineChars="196"/>
      </w:pPr>
    </w:p>
    <w:p>
      <w:pPr>
        <w:jc w:val="center"/>
      </w:pPr>
      <w:r>
        <w:rPr>
          <w:rFonts w:hint="eastAsia"/>
          <w:b/>
          <w:sz w:val="24"/>
        </w:rPr>
        <w:t>（仅供参考，具体以项目需求及采购结果为准）</w:t>
      </w:r>
    </w:p>
    <w:p>
      <w:pPr>
        <w:rPr>
          <w:rFonts w:ascii="宋体" w:hAnsi="宋体"/>
          <w:b/>
          <w:bCs/>
          <w:szCs w:val="21"/>
        </w:rPr>
      </w:pPr>
      <w:r>
        <w:rPr>
          <w:rFonts w:hint="eastAsia" w:ascii="宋体" w:hAnsi="宋体"/>
          <w:b/>
          <w:bCs/>
          <w:szCs w:val="21"/>
        </w:rPr>
        <w:t>甲方：</w:t>
      </w:r>
    </w:p>
    <w:p>
      <w:pPr>
        <w:rPr>
          <w:rFonts w:ascii="宋体" w:hAnsi="宋体"/>
          <w:szCs w:val="21"/>
        </w:rPr>
      </w:pPr>
      <w:r>
        <w:rPr>
          <w:rFonts w:hint="eastAsia" w:ascii="宋体" w:hAnsi="宋体"/>
          <w:szCs w:val="21"/>
        </w:rPr>
        <w:t>地址：</w:t>
      </w:r>
    </w:p>
    <w:p>
      <w:pPr>
        <w:rPr>
          <w:rFonts w:ascii="宋体" w:hAnsi="宋体"/>
          <w:szCs w:val="21"/>
        </w:rPr>
      </w:pPr>
      <w:r>
        <w:rPr>
          <w:rFonts w:hint="eastAsia" w:ascii="宋体" w:hAnsi="宋体"/>
          <w:szCs w:val="21"/>
        </w:rPr>
        <w:t>联系人：</w:t>
      </w:r>
      <w:r>
        <w:rPr>
          <w:rFonts w:ascii="宋体" w:hAnsi="宋体"/>
          <w:szCs w:val="21"/>
        </w:rPr>
        <w:t xml:space="preserve">                          </w:t>
      </w:r>
    </w:p>
    <w:p>
      <w:pPr>
        <w:rPr>
          <w:rFonts w:ascii="宋体" w:hAnsi="宋体"/>
          <w:b/>
          <w:bCs/>
          <w:szCs w:val="21"/>
        </w:rPr>
      </w:pPr>
      <w:r>
        <w:rPr>
          <w:rFonts w:hint="eastAsia" w:ascii="宋体" w:hAnsi="宋体"/>
          <w:szCs w:val="21"/>
        </w:rPr>
        <w:t>联系电话：</w:t>
      </w:r>
    </w:p>
    <w:p>
      <w:pPr>
        <w:rPr>
          <w:rFonts w:ascii="宋体" w:hAnsi="宋体"/>
          <w:b/>
          <w:bCs/>
          <w:szCs w:val="21"/>
        </w:rPr>
      </w:pPr>
      <w:r>
        <w:rPr>
          <w:rFonts w:ascii="宋体" w:hAnsi="宋体"/>
          <w:b/>
          <w:bCs/>
          <w:szCs w:val="21"/>
        </w:rPr>
        <w:t xml:space="preserve"> </w:t>
      </w:r>
      <w:r>
        <w:rPr>
          <w:rFonts w:hint="eastAsia" w:ascii="宋体" w:hAnsi="宋体"/>
          <w:b/>
          <w:bCs/>
          <w:szCs w:val="21"/>
        </w:rPr>
        <w:t xml:space="preserve"> </w:t>
      </w:r>
      <w:r>
        <w:rPr>
          <w:rFonts w:ascii="宋体" w:hAnsi="宋体"/>
          <w:b/>
          <w:bCs/>
          <w:szCs w:val="21"/>
        </w:rPr>
        <w:t xml:space="preserve"> </w:t>
      </w:r>
    </w:p>
    <w:p>
      <w:pPr>
        <w:rPr>
          <w:rFonts w:ascii="宋体" w:hAnsi="宋体"/>
          <w:b/>
          <w:bCs/>
          <w:szCs w:val="21"/>
        </w:rPr>
      </w:pPr>
      <w:r>
        <w:rPr>
          <w:rFonts w:hint="eastAsia" w:ascii="宋体" w:hAnsi="宋体"/>
          <w:b/>
          <w:bCs/>
          <w:szCs w:val="21"/>
        </w:rPr>
        <w:t>乙方：</w:t>
      </w:r>
    </w:p>
    <w:p>
      <w:pPr>
        <w:rPr>
          <w:rFonts w:ascii="宋体" w:hAnsi="宋体"/>
          <w:szCs w:val="21"/>
        </w:rPr>
      </w:pPr>
      <w:r>
        <w:rPr>
          <w:rFonts w:hint="eastAsia" w:ascii="宋体" w:hAnsi="宋体"/>
          <w:szCs w:val="21"/>
        </w:rPr>
        <w:t>地址：</w:t>
      </w:r>
    </w:p>
    <w:p>
      <w:pPr>
        <w:rPr>
          <w:rFonts w:ascii="宋体" w:hAnsi="宋体"/>
          <w:szCs w:val="21"/>
        </w:rPr>
      </w:pPr>
      <w:r>
        <w:rPr>
          <w:rFonts w:hint="eastAsia" w:ascii="宋体" w:hAnsi="宋体"/>
          <w:szCs w:val="21"/>
        </w:rPr>
        <w:t>联系人：</w:t>
      </w:r>
      <w:r>
        <w:rPr>
          <w:rFonts w:ascii="宋体" w:hAnsi="宋体"/>
          <w:szCs w:val="21"/>
        </w:rPr>
        <w:t xml:space="preserve">                          </w:t>
      </w:r>
    </w:p>
    <w:p>
      <w:pPr>
        <w:rPr>
          <w:rFonts w:ascii="宋体" w:hAnsi="宋体"/>
          <w:b/>
          <w:bCs/>
          <w:szCs w:val="21"/>
        </w:rPr>
      </w:pPr>
      <w:r>
        <w:rPr>
          <w:rFonts w:hint="eastAsia" w:ascii="宋体" w:hAnsi="宋体"/>
          <w:szCs w:val="21"/>
        </w:rPr>
        <w:t>联系电话：</w:t>
      </w:r>
    </w:p>
    <w:p>
      <w:pPr>
        <w:rPr>
          <w:rFonts w:ascii="宋体" w:hAnsi="宋体"/>
          <w:szCs w:val="21"/>
        </w:rPr>
      </w:pPr>
      <w:r>
        <w:rPr>
          <w:rFonts w:ascii="宋体" w:hAnsi="宋体"/>
          <w:b/>
          <w:bCs/>
          <w:szCs w:val="21"/>
        </w:rPr>
        <w:t xml:space="preserve">            </w:t>
      </w:r>
      <w:r>
        <w:rPr>
          <w:rFonts w:hint="eastAsia" w:ascii="宋体" w:hAnsi="宋体"/>
          <w:b/>
          <w:bCs/>
          <w:szCs w:val="21"/>
        </w:rPr>
        <w:t xml:space="preserve">          </w:t>
      </w:r>
    </w:p>
    <w:p>
      <w:pPr>
        <w:rPr>
          <w:rFonts w:ascii="宋体" w:hAnsi="宋体"/>
          <w:szCs w:val="21"/>
        </w:rPr>
      </w:pPr>
    </w:p>
    <w:p>
      <w:pPr>
        <w:ind w:firstLine="420" w:firstLineChars="200"/>
        <w:rPr>
          <w:rFonts w:ascii="宋体" w:hAnsi="宋体"/>
          <w:szCs w:val="21"/>
        </w:rPr>
      </w:pPr>
      <w:r>
        <w:rPr>
          <w:rFonts w:hint="eastAsia" w:ascii="宋体" w:hAnsi="宋体"/>
          <w:szCs w:val="21"/>
        </w:rPr>
        <w:t>根据深圳公共资源交易中心（深圳交易集团有限公司*</w:t>
      </w:r>
      <w:r>
        <w:rPr>
          <w:rFonts w:ascii="宋体" w:hAnsi="宋体"/>
          <w:szCs w:val="21"/>
        </w:rPr>
        <w:t>**</w:t>
      </w:r>
      <w:r>
        <w:rPr>
          <w:rFonts w:hint="eastAsia" w:ascii="宋体" w:hAnsi="宋体"/>
          <w:szCs w:val="21"/>
        </w:rPr>
        <w:t>分公司）*</w:t>
      </w:r>
      <w:r>
        <w:rPr>
          <w:rFonts w:ascii="宋体" w:hAnsi="宋体"/>
          <w:szCs w:val="21"/>
        </w:rPr>
        <w:t>**</w:t>
      </w:r>
      <w:r>
        <w:rPr>
          <w:rFonts w:hint="eastAsia" w:ascii="宋体" w:hAnsi="宋体"/>
          <w:szCs w:val="21"/>
        </w:rPr>
        <w:t>号项目结果，*</w:t>
      </w:r>
      <w:r>
        <w:rPr>
          <w:rFonts w:ascii="宋体" w:hAnsi="宋体"/>
          <w:szCs w:val="21"/>
        </w:rPr>
        <w:t>**</w:t>
      </w:r>
      <w:r>
        <w:rPr>
          <w:rFonts w:hint="eastAsia" w:ascii="宋体" w:hAnsi="宋体"/>
          <w:szCs w:val="21"/>
        </w:rPr>
        <w:t>单位为中标人。按照《中华人民共和国民法典》（第三编 合同）和《深圳经济特区政府采购条例》，经深圳市（以下简称甲方）和单位（以下简称乙方）协商，就甲方委托乙方承担</w:t>
      </w:r>
      <w:r>
        <w:rPr>
          <w:rFonts w:hint="eastAsia" w:ascii="宋体" w:hAnsi="宋体"/>
          <w:b/>
          <w:bCs/>
          <w:snapToGrid w:val="0"/>
          <w:kern w:val="0"/>
          <w:szCs w:val="21"/>
          <w:u w:val="single"/>
          <w:lang w:val="zh-CN"/>
        </w:rPr>
        <w:t xml:space="preserve">                      服务项目</w:t>
      </w:r>
      <w:r>
        <w:rPr>
          <w:rFonts w:hint="eastAsia" w:ascii="宋体" w:hAnsi="宋体"/>
          <w:szCs w:val="21"/>
        </w:rPr>
        <w:t>，达成以下合同条款：</w:t>
      </w:r>
    </w:p>
    <w:p>
      <w:pPr>
        <w:ind w:firstLine="421" w:firstLineChars="200"/>
        <w:rPr>
          <w:rFonts w:ascii="宋体" w:hAnsi="宋体"/>
          <w:b/>
          <w:bCs/>
          <w:szCs w:val="21"/>
        </w:rPr>
      </w:pPr>
      <w:r>
        <w:rPr>
          <w:rFonts w:hint="eastAsia" w:ascii="宋体" w:hAnsi="宋体"/>
          <w:b/>
          <w:bCs/>
          <w:szCs w:val="21"/>
        </w:rPr>
        <w:t>第一条　项目概况</w:t>
      </w:r>
    </w:p>
    <w:p>
      <w:pPr>
        <w:ind w:firstLine="420" w:firstLineChars="200"/>
        <w:rPr>
          <w:rFonts w:ascii="宋体" w:hAnsi="宋体"/>
          <w:szCs w:val="21"/>
        </w:rPr>
      </w:pPr>
      <w:r>
        <w:rPr>
          <w:rFonts w:hint="eastAsia" w:ascii="宋体" w:hAnsi="宋体"/>
          <w:szCs w:val="21"/>
        </w:rPr>
        <w:t xml:space="preserve">项目名称： </w:t>
      </w:r>
    </w:p>
    <w:p>
      <w:pPr>
        <w:ind w:firstLine="420" w:firstLineChars="200"/>
        <w:rPr>
          <w:rFonts w:ascii="宋体" w:hAnsi="宋体"/>
          <w:szCs w:val="21"/>
        </w:rPr>
      </w:pPr>
      <w:r>
        <w:rPr>
          <w:rFonts w:hint="eastAsia" w:ascii="宋体" w:hAnsi="宋体"/>
          <w:szCs w:val="21"/>
        </w:rPr>
        <w:t xml:space="preserve">项目内容： </w:t>
      </w:r>
    </w:p>
    <w:p>
      <w:pPr>
        <w:ind w:firstLine="420" w:firstLineChars="200"/>
        <w:rPr>
          <w:rFonts w:ascii="宋体" w:hAnsi="宋体"/>
          <w:szCs w:val="21"/>
        </w:rPr>
      </w:pPr>
      <w:r>
        <w:rPr>
          <w:rFonts w:hint="eastAsia" w:ascii="宋体" w:hAnsi="宋体"/>
          <w:szCs w:val="21"/>
        </w:rPr>
        <w:t xml:space="preserve">服务时间： </w:t>
      </w:r>
    </w:p>
    <w:p>
      <w:pPr>
        <w:ind w:firstLine="420" w:firstLineChars="200"/>
        <w:rPr>
          <w:rFonts w:ascii="宋体" w:hAnsi="宋体"/>
          <w:szCs w:val="21"/>
        </w:rPr>
      </w:pPr>
      <w:r>
        <w:rPr>
          <w:rFonts w:hint="eastAsia" w:ascii="宋体" w:hAnsi="宋体"/>
          <w:szCs w:val="21"/>
        </w:rPr>
        <w:t>合同价款：合同总价为元，含一切税、费。</w:t>
      </w:r>
      <w:r>
        <w:t>本合同总价包括</w:t>
      </w:r>
      <w:r>
        <w:rPr>
          <w:rFonts w:hint="eastAsia" w:ascii="宋体" w:hAnsi="宋体"/>
          <w:szCs w:val="21"/>
        </w:rPr>
        <w:t>乙方为实施本项目*</w:t>
      </w:r>
      <w:r>
        <w:rPr>
          <w:rFonts w:ascii="宋体" w:hAnsi="宋体"/>
          <w:szCs w:val="21"/>
        </w:rPr>
        <w:t>**</w:t>
      </w:r>
      <w:r>
        <w:rPr>
          <w:rFonts w:hint="eastAsia" w:ascii="宋体" w:hAnsi="宋体"/>
          <w:szCs w:val="21"/>
        </w:rPr>
        <w:t>所需的设备仪器费、车辆租赁费、</w:t>
      </w:r>
      <w:r>
        <w:t>服务</w:t>
      </w:r>
      <w:r>
        <w:rPr>
          <w:rFonts w:hint="eastAsia"/>
        </w:rPr>
        <w:t>和</w:t>
      </w:r>
      <w:r>
        <w:t>技术费用</w:t>
      </w:r>
      <w:r>
        <w:rPr>
          <w:rFonts w:hint="eastAsia"/>
        </w:rPr>
        <w:t>等</w:t>
      </w:r>
      <w:r>
        <w:t>，为固定不变价格，且不随通货膨胀的影响而波动。合同总价包括</w:t>
      </w:r>
      <w:r>
        <w:rPr>
          <w:rFonts w:hint="eastAsia" w:ascii="宋体" w:hAnsi="宋体"/>
          <w:szCs w:val="21"/>
        </w:rPr>
        <w:t>乙方</w:t>
      </w:r>
      <w:r>
        <w:t>履行本合同义务所发生的一切费用和支出和以各种方式寄送技术资料到</w:t>
      </w:r>
      <w:r>
        <w:rPr>
          <w:rFonts w:hint="eastAsia"/>
        </w:rPr>
        <w:t>甲</w:t>
      </w:r>
      <w:r>
        <w:t>方办公室所发生的费用。</w:t>
      </w:r>
    </w:p>
    <w:p>
      <w:pPr>
        <w:pStyle w:val="8"/>
        <w:rPr>
          <w:rFonts w:ascii="宋体" w:hAnsi="宋体"/>
          <w:szCs w:val="21"/>
        </w:rPr>
      </w:pPr>
      <w:r>
        <w:rPr>
          <w:rFonts w:hint="eastAsia" w:ascii="宋体" w:hAnsi="宋体"/>
          <w:szCs w:val="21"/>
        </w:rPr>
        <w:t>支付方式：分期支付。</w:t>
      </w:r>
    </w:p>
    <w:p>
      <w:pPr>
        <w:ind w:firstLine="421" w:firstLineChars="200"/>
        <w:rPr>
          <w:rFonts w:ascii="宋体" w:hAnsi="宋体"/>
          <w:b/>
          <w:bCs/>
          <w:szCs w:val="21"/>
        </w:rPr>
      </w:pPr>
      <w:r>
        <w:rPr>
          <w:rFonts w:hint="eastAsia" w:ascii="宋体" w:hAnsi="宋体"/>
          <w:b/>
          <w:bCs/>
          <w:szCs w:val="21"/>
        </w:rPr>
        <w:t>第二条  服务范围</w:t>
      </w:r>
    </w:p>
    <w:p>
      <w:pPr>
        <w:ind w:firstLine="420" w:firstLineChars="200"/>
        <w:rPr>
          <w:rFonts w:ascii="宋体" w:hAnsi="宋体"/>
          <w:szCs w:val="21"/>
        </w:rPr>
      </w:pPr>
      <w:r>
        <w:rPr>
          <w:rFonts w:hint="eastAsia" w:ascii="宋体" w:hAnsi="宋体"/>
          <w:szCs w:val="21"/>
        </w:rPr>
        <w:t xml:space="preserve">1.  </w:t>
      </w:r>
    </w:p>
    <w:p>
      <w:pPr>
        <w:ind w:firstLine="420" w:firstLineChars="200"/>
        <w:rPr>
          <w:rFonts w:ascii="宋体" w:hAnsi="宋体"/>
          <w:szCs w:val="21"/>
        </w:rPr>
      </w:pPr>
      <w:r>
        <w:rPr>
          <w:rFonts w:hint="eastAsia" w:ascii="宋体" w:hAnsi="宋体"/>
          <w:szCs w:val="21"/>
        </w:rPr>
        <w:t xml:space="preserve">2.  </w:t>
      </w:r>
    </w:p>
    <w:p>
      <w:pPr>
        <w:ind w:firstLine="420" w:firstLineChars="200"/>
        <w:rPr>
          <w:rFonts w:ascii="宋体" w:hAnsi="宋体"/>
          <w:szCs w:val="21"/>
        </w:rPr>
      </w:pPr>
      <w:r>
        <w:rPr>
          <w:rFonts w:hint="eastAsia" w:ascii="宋体" w:hAnsi="宋体"/>
          <w:szCs w:val="21"/>
        </w:rPr>
        <w:t xml:space="preserve">3.  </w:t>
      </w:r>
    </w:p>
    <w:p>
      <w:pPr>
        <w:ind w:firstLine="420" w:firstLineChars="200"/>
        <w:rPr>
          <w:rFonts w:ascii="宋体" w:hAnsi="宋体"/>
          <w:szCs w:val="21"/>
        </w:rPr>
      </w:pPr>
      <w:r>
        <w:rPr>
          <w:rFonts w:hint="eastAsia" w:ascii="宋体" w:hAnsi="宋体"/>
          <w:szCs w:val="21"/>
        </w:rPr>
        <w:t>4. 其他合同未明示的相关工作。</w:t>
      </w:r>
    </w:p>
    <w:p>
      <w:pPr>
        <w:ind w:firstLine="421" w:firstLineChars="200"/>
        <w:rPr>
          <w:rFonts w:ascii="宋体" w:hAnsi="宋体"/>
          <w:b/>
          <w:bCs/>
          <w:szCs w:val="21"/>
        </w:rPr>
      </w:pPr>
      <w:r>
        <w:rPr>
          <w:rFonts w:hint="eastAsia" w:ascii="宋体" w:hAnsi="宋体"/>
          <w:b/>
          <w:bCs/>
          <w:szCs w:val="21"/>
        </w:rPr>
        <w:t>第三条  时间要求及阶段成果</w:t>
      </w:r>
    </w:p>
    <w:p>
      <w:pPr>
        <w:ind w:firstLine="420" w:firstLineChars="200"/>
        <w:rPr>
          <w:rFonts w:ascii="宋体" w:hAnsi="宋体"/>
          <w:szCs w:val="21"/>
        </w:rPr>
      </w:pPr>
      <w:r>
        <w:rPr>
          <w:rFonts w:hint="eastAsia" w:ascii="宋体" w:hAnsi="宋体"/>
          <w:szCs w:val="21"/>
        </w:rPr>
        <w:t>1.合同签订天内完成项目实施的准备工作，包括工作大纲和试验细则的编制；</w:t>
      </w:r>
    </w:p>
    <w:p>
      <w:pPr>
        <w:ind w:firstLine="420" w:firstLineChars="200"/>
        <w:rPr>
          <w:rFonts w:ascii="宋体" w:hAnsi="宋体"/>
          <w:szCs w:val="21"/>
        </w:rPr>
      </w:pPr>
      <w:r>
        <w:rPr>
          <w:rFonts w:hint="eastAsia" w:ascii="宋体" w:hAnsi="宋体"/>
          <w:szCs w:val="21"/>
        </w:rPr>
        <w:t xml:space="preserve">2. </w:t>
      </w:r>
    </w:p>
    <w:p>
      <w:pPr>
        <w:ind w:firstLine="420" w:firstLineChars="200"/>
        <w:rPr>
          <w:rFonts w:ascii="宋体" w:hAnsi="宋体"/>
          <w:szCs w:val="21"/>
        </w:rPr>
      </w:pPr>
      <w:r>
        <w:rPr>
          <w:rFonts w:hint="eastAsia" w:ascii="宋体" w:hAnsi="宋体"/>
          <w:szCs w:val="21"/>
        </w:rPr>
        <w:t>3.</w:t>
      </w:r>
    </w:p>
    <w:p>
      <w:pPr>
        <w:ind w:firstLine="420" w:firstLineChars="200"/>
        <w:rPr>
          <w:rFonts w:ascii="宋体" w:hAnsi="宋体"/>
          <w:szCs w:val="21"/>
        </w:rPr>
      </w:pPr>
      <w:r>
        <w:rPr>
          <w:rFonts w:hint="eastAsia" w:ascii="宋体" w:hAnsi="宋体"/>
          <w:szCs w:val="21"/>
        </w:rPr>
        <w:t>4.</w:t>
      </w:r>
    </w:p>
    <w:p>
      <w:pPr>
        <w:ind w:firstLine="421" w:firstLineChars="200"/>
        <w:rPr>
          <w:rFonts w:ascii="宋体" w:hAnsi="宋体"/>
          <w:b/>
          <w:bCs/>
          <w:szCs w:val="21"/>
        </w:rPr>
      </w:pPr>
      <w:r>
        <w:rPr>
          <w:rFonts w:hint="eastAsia" w:ascii="宋体" w:hAnsi="宋体"/>
          <w:b/>
          <w:bCs/>
          <w:szCs w:val="21"/>
        </w:rPr>
        <w:t>第四条  服务资料归属</w:t>
      </w:r>
    </w:p>
    <w:p>
      <w:pPr>
        <w:ind w:firstLine="420" w:firstLineChars="200"/>
      </w:pPr>
      <w:r>
        <w:rPr>
          <w:rFonts w:hint="eastAsia"/>
        </w:rPr>
        <w:t>1.</w:t>
      </w:r>
      <w:r>
        <w:t>所有提交给</w:t>
      </w:r>
      <w:r>
        <w:rPr>
          <w:rFonts w:hint="eastAsia"/>
        </w:rPr>
        <w:t>甲</w:t>
      </w:r>
      <w:r>
        <w:t>方的服务</w:t>
      </w:r>
      <w:r>
        <w:rPr>
          <w:rFonts w:hint="eastAsia"/>
        </w:rPr>
        <w:t>文件</w:t>
      </w:r>
      <w:r>
        <w:t>及相关的资料的最后文本，包括为履行技术服务范围所编制的图纸、计划和证明资料等，都属于</w:t>
      </w:r>
      <w:r>
        <w:rPr>
          <w:rFonts w:hint="eastAsia"/>
        </w:rPr>
        <w:t>甲</w:t>
      </w:r>
      <w:r>
        <w:t>方的财产，</w:t>
      </w:r>
      <w:r>
        <w:rPr>
          <w:rFonts w:hint="eastAsia" w:ascii="宋体" w:hAnsi="宋体"/>
          <w:szCs w:val="21"/>
        </w:rPr>
        <w:t>乙</w:t>
      </w:r>
      <w:r>
        <w:t>方在提交给</w:t>
      </w:r>
      <w:r>
        <w:rPr>
          <w:rFonts w:hint="eastAsia"/>
        </w:rPr>
        <w:t>甲</w:t>
      </w:r>
      <w:r>
        <w:t>方之前应将上述资料进行整理归类和编制索引</w:t>
      </w:r>
      <w:r>
        <w:rPr>
          <w:rFonts w:hint="eastAsia"/>
        </w:rPr>
        <w:t>。</w:t>
      </w:r>
    </w:p>
    <w:p>
      <w:pPr>
        <w:ind w:firstLine="420" w:firstLineChars="200"/>
      </w:pPr>
      <w:r>
        <w:rPr>
          <w:rFonts w:hint="eastAsia"/>
        </w:rPr>
        <w:t>2.</w:t>
      </w:r>
      <w:r>
        <w:rPr>
          <w:rFonts w:hint="eastAsia" w:ascii="宋体" w:hAnsi="宋体"/>
          <w:szCs w:val="21"/>
        </w:rPr>
        <w:t>乙</w:t>
      </w:r>
      <w:r>
        <w:t>方未经</w:t>
      </w:r>
      <w:r>
        <w:rPr>
          <w:rFonts w:hint="eastAsia"/>
        </w:rPr>
        <w:t>甲</w:t>
      </w:r>
      <w:r>
        <w:t>方的书面同意，不得将上述资料用于与本服务项目之外的任何项目</w:t>
      </w:r>
      <w:r>
        <w:rPr>
          <w:rFonts w:hint="eastAsia"/>
        </w:rPr>
        <w:t>。</w:t>
      </w:r>
    </w:p>
    <w:p>
      <w:pPr>
        <w:ind w:firstLine="420" w:firstLineChars="200"/>
      </w:pPr>
      <w:r>
        <w:rPr>
          <w:rFonts w:hint="eastAsia"/>
        </w:rPr>
        <w:t>3.</w:t>
      </w:r>
      <w:r>
        <w:t>合同履行</w:t>
      </w:r>
      <w:r>
        <w:rPr>
          <w:rFonts w:hint="eastAsia"/>
        </w:rPr>
        <w:t>完毕，</w:t>
      </w:r>
      <w:r>
        <w:t>未经</w:t>
      </w:r>
      <w:r>
        <w:rPr>
          <w:rFonts w:hint="eastAsia"/>
        </w:rPr>
        <w:t>甲</w:t>
      </w:r>
      <w:r>
        <w:t>方的书面同意</w:t>
      </w:r>
      <w:r>
        <w:rPr>
          <w:rFonts w:hint="eastAsia"/>
        </w:rPr>
        <w:t>，</w:t>
      </w:r>
      <w:r>
        <w:rPr>
          <w:rFonts w:hint="eastAsia" w:ascii="宋体" w:hAnsi="宋体"/>
          <w:szCs w:val="21"/>
        </w:rPr>
        <w:t>乙</w:t>
      </w:r>
      <w:r>
        <w:t>方</w:t>
      </w:r>
      <w:r>
        <w:rPr>
          <w:rFonts w:hint="eastAsia"/>
        </w:rPr>
        <w:t>不得保存在</w:t>
      </w:r>
      <w:r>
        <w:t>履行合同过程中所获得或接触到的任何</w:t>
      </w:r>
      <w:r>
        <w:rPr>
          <w:rFonts w:hint="eastAsia" w:ascii="宋体" w:hAnsi="宋体"/>
          <w:szCs w:val="21"/>
        </w:rPr>
        <w:t>内部数据资料。</w:t>
      </w:r>
    </w:p>
    <w:p>
      <w:pPr>
        <w:ind w:firstLine="421" w:firstLineChars="200"/>
        <w:rPr>
          <w:rFonts w:ascii="宋体" w:hAnsi="宋体"/>
          <w:b/>
          <w:bCs/>
          <w:szCs w:val="21"/>
        </w:rPr>
      </w:pPr>
      <w:r>
        <w:rPr>
          <w:rFonts w:hint="eastAsia" w:ascii="宋体" w:hAnsi="宋体"/>
          <w:b/>
          <w:bCs/>
          <w:szCs w:val="21"/>
        </w:rPr>
        <w:t>第五条  甲方的义务</w:t>
      </w:r>
    </w:p>
    <w:p>
      <w:pPr>
        <w:ind w:firstLine="420" w:firstLineChars="200"/>
        <w:rPr>
          <w:rFonts w:ascii="宋体" w:hAnsi="宋体"/>
          <w:szCs w:val="21"/>
        </w:rPr>
      </w:pPr>
      <w:r>
        <w:rPr>
          <w:rFonts w:hint="eastAsia" w:ascii="宋体" w:hAnsi="宋体"/>
          <w:szCs w:val="21"/>
        </w:rPr>
        <w:t>1.负责与本服务项目有关的第三方的协调，提供开展服务工作的外部条件。</w:t>
      </w:r>
    </w:p>
    <w:p>
      <w:pPr>
        <w:ind w:firstLine="420" w:firstLineChars="200"/>
        <w:rPr>
          <w:rFonts w:ascii="宋体" w:hAnsi="宋体"/>
          <w:szCs w:val="21"/>
        </w:rPr>
      </w:pPr>
      <w:r>
        <w:rPr>
          <w:rFonts w:hint="eastAsia" w:ascii="宋体" w:hAnsi="宋体"/>
          <w:szCs w:val="21"/>
        </w:rPr>
        <w:t>2.向乙方提供与本项目服务工作有关的资料。</w:t>
      </w:r>
    </w:p>
    <w:p>
      <w:pPr>
        <w:ind w:firstLine="420" w:firstLineChars="200"/>
        <w:rPr>
          <w:rFonts w:ascii="宋体" w:hAnsi="宋体"/>
          <w:szCs w:val="21"/>
        </w:rPr>
      </w:pPr>
      <w:r>
        <w:rPr>
          <w:rFonts w:hint="eastAsia" w:ascii="宋体" w:hAnsi="宋体"/>
          <w:szCs w:val="21"/>
        </w:rPr>
        <w:t>3.负责组织有关专家对项目试验成果评估报告的评审。</w:t>
      </w:r>
    </w:p>
    <w:p>
      <w:pPr>
        <w:ind w:firstLine="421" w:firstLineChars="200"/>
        <w:rPr>
          <w:rFonts w:ascii="宋体" w:hAnsi="宋体"/>
          <w:b/>
          <w:bCs/>
          <w:szCs w:val="21"/>
        </w:rPr>
      </w:pPr>
      <w:r>
        <w:rPr>
          <w:rFonts w:hint="eastAsia" w:ascii="宋体" w:hAnsi="宋体"/>
          <w:b/>
          <w:bCs/>
          <w:szCs w:val="21"/>
        </w:rPr>
        <w:t>第六条　乙方的义务</w:t>
      </w:r>
    </w:p>
    <w:p>
      <w:pPr>
        <w:ind w:firstLine="420" w:firstLineChars="200"/>
        <w:rPr>
          <w:rFonts w:ascii="宋体" w:hAnsi="宋体"/>
          <w:szCs w:val="21"/>
        </w:rPr>
      </w:pPr>
      <w:r>
        <w:rPr>
          <w:rFonts w:hint="eastAsia" w:ascii="宋体" w:hAnsi="宋体"/>
          <w:szCs w:val="21"/>
        </w:rPr>
        <w:t>1.应按照招标文件、投标文件要求按期完成本项目服务工作。</w:t>
      </w:r>
    </w:p>
    <w:p>
      <w:pPr>
        <w:ind w:firstLine="420" w:firstLineChars="200"/>
        <w:rPr>
          <w:rFonts w:ascii="宋体" w:hAnsi="宋体"/>
          <w:szCs w:val="21"/>
        </w:rPr>
      </w:pPr>
      <w:r>
        <w:rPr>
          <w:rFonts w:hint="eastAsia" w:ascii="宋体" w:hAnsi="宋体"/>
          <w:szCs w:val="21"/>
        </w:rPr>
        <w:t>2.负责组织项目的实施，保证工程进度和成桥荷载试验工作质量，并满足交通运输部交工验收相关标准。</w:t>
      </w:r>
    </w:p>
    <w:p>
      <w:pPr>
        <w:ind w:firstLine="420" w:firstLineChars="200"/>
        <w:rPr>
          <w:rFonts w:ascii="宋体" w:hAnsi="宋体"/>
          <w:szCs w:val="21"/>
        </w:rPr>
      </w:pPr>
      <w:r>
        <w:rPr>
          <w:rFonts w:hint="eastAsia" w:ascii="宋体" w:hAnsi="宋体"/>
          <w:szCs w:val="21"/>
        </w:rPr>
        <w:t>3.</w:t>
      </w:r>
      <w:r>
        <w:rPr>
          <w:rFonts w:hint="eastAsia" w:ascii="宋体" w:hAnsi="宋体"/>
        </w:rPr>
        <w:t>向甲方提交检测资料等各套，一套电子版文件。</w:t>
      </w:r>
    </w:p>
    <w:p>
      <w:pPr>
        <w:ind w:firstLine="420" w:firstLineChars="200"/>
        <w:rPr>
          <w:rFonts w:ascii="宋体" w:hAnsi="宋体"/>
          <w:szCs w:val="21"/>
        </w:rPr>
      </w:pPr>
      <w:r>
        <w:rPr>
          <w:rFonts w:hint="eastAsia" w:ascii="宋体" w:hAnsi="宋体"/>
          <w:szCs w:val="21"/>
        </w:rPr>
        <w:t>4.在履行合同期间或合同规定期限内，不得泄露与本合同规定业务活动有关的保密资料。</w:t>
      </w:r>
    </w:p>
    <w:p>
      <w:pPr>
        <w:ind w:firstLine="421" w:firstLineChars="200"/>
        <w:rPr>
          <w:rFonts w:ascii="宋体" w:hAnsi="宋体"/>
          <w:b/>
          <w:bCs/>
          <w:szCs w:val="21"/>
        </w:rPr>
      </w:pPr>
      <w:r>
        <w:rPr>
          <w:rFonts w:hint="eastAsia" w:ascii="宋体" w:hAnsi="宋体"/>
          <w:b/>
          <w:bCs/>
          <w:szCs w:val="21"/>
        </w:rPr>
        <w:t>第七条  甲方的权利</w:t>
      </w:r>
    </w:p>
    <w:p>
      <w:pPr>
        <w:ind w:firstLine="420" w:firstLineChars="200"/>
        <w:rPr>
          <w:rFonts w:ascii="宋体" w:hAnsi="宋体"/>
          <w:szCs w:val="21"/>
        </w:rPr>
      </w:pPr>
      <w:r>
        <w:rPr>
          <w:rFonts w:hint="eastAsia" w:ascii="宋体" w:hAnsi="宋体"/>
          <w:szCs w:val="21"/>
        </w:rPr>
        <w:t>1.有权向乙方询问工作进展情况及相关内容。</w:t>
      </w:r>
    </w:p>
    <w:p>
      <w:pPr>
        <w:ind w:firstLine="420" w:firstLineChars="200"/>
        <w:rPr>
          <w:rFonts w:ascii="宋体" w:hAnsi="宋体"/>
          <w:szCs w:val="21"/>
        </w:rPr>
      </w:pPr>
      <w:r>
        <w:rPr>
          <w:rFonts w:hint="eastAsia" w:ascii="宋体" w:hAnsi="宋体"/>
          <w:szCs w:val="21"/>
        </w:rPr>
        <w:t>2.有权阐述对具体问题的意见和建议。</w:t>
      </w:r>
    </w:p>
    <w:p>
      <w:pPr>
        <w:ind w:firstLine="420" w:firstLineChars="200"/>
        <w:rPr>
          <w:rFonts w:ascii="宋体" w:hAnsi="宋体"/>
          <w:szCs w:val="21"/>
        </w:rPr>
      </w:pPr>
      <w:r>
        <w:rPr>
          <w:rFonts w:hint="eastAsia" w:ascii="宋体" w:hAnsi="宋体"/>
          <w:szCs w:val="21"/>
        </w:rPr>
        <w:t>3.当甲方认定乙方人员不按合同履行其职责，或与第三人串通给甲方造成经济损失的，甲方有权要求更换人员，直至终止合同并要求乙方承担相应的赔偿责任。</w:t>
      </w:r>
    </w:p>
    <w:p>
      <w:pPr>
        <w:ind w:firstLine="421" w:firstLineChars="200"/>
        <w:rPr>
          <w:rFonts w:ascii="宋体" w:hAnsi="宋体"/>
          <w:b/>
          <w:bCs/>
          <w:szCs w:val="21"/>
        </w:rPr>
      </w:pPr>
      <w:r>
        <w:rPr>
          <w:rFonts w:hint="eastAsia" w:ascii="宋体" w:hAnsi="宋体"/>
          <w:b/>
          <w:bCs/>
          <w:szCs w:val="21"/>
        </w:rPr>
        <w:t>第八条  乙方的权利</w:t>
      </w:r>
    </w:p>
    <w:p>
      <w:pPr>
        <w:ind w:firstLine="420" w:firstLineChars="200"/>
        <w:rPr>
          <w:rFonts w:ascii="宋体" w:hAnsi="宋体"/>
          <w:szCs w:val="21"/>
        </w:rPr>
      </w:pPr>
      <w:r>
        <w:rPr>
          <w:rFonts w:hint="eastAsia" w:ascii="宋体" w:hAnsi="宋体"/>
          <w:szCs w:val="21"/>
        </w:rPr>
        <w:t>1.乙方在本项目服务过程中，如甲方提供的资料不明确时可向甲方提出书面报告。</w:t>
      </w:r>
    </w:p>
    <w:p>
      <w:pPr>
        <w:ind w:firstLine="420" w:firstLineChars="200"/>
        <w:rPr>
          <w:rFonts w:ascii="宋体" w:hAnsi="宋体"/>
          <w:szCs w:val="21"/>
        </w:rPr>
      </w:pPr>
      <w:r>
        <w:rPr>
          <w:rFonts w:hint="eastAsia" w:ascii="宋体" w:hAnsi="宋体"/>
          <w:szCs w:val="21"/>
        </w:rPr>
        <w:t>2.乙方在本项目服务过程中，有权对第三方提出与本服务业务有关的问题进行核对或查问。</w:t>
      </w:r>
    </w:p>
    <w:p>
      <w:pPr>
        <w:ind w:firstLine="420" w:firstLineChars="200"/>
        <w:rPr>
          <w:rFonts w:ascii="宋体" w:hAnsi="宋体"/>
          <w:szCs w:val="21"/>
        </w:rPr>
      </w:pPr>
      <w:r>
        <w:rPr>
          <w:rFonts w:hint="eastAsia" w:ascii="宋体" w:hAnsi="宋体"/>
          <w:szCs w:val="21"/>
        </w:rPr>
        <w:t>3.乙方在本项目服务过程中，有到工程现场勘察的权利。</w:t>
      </w:r>
    </w:p>
    <w:p>
      <w:pPr>
        <w:ind w:firstLine="421" w:firstLineChars="200"/>
        <w:rPr>
          <w:rFonts w:ascii="宋体" w:hAnsi="宋体"/>
          <w:b/>
          <w:bCs/>
          <w:szCs w:val="21"/>
        </w:rPr>
      </w:pPr>
      <w:r>
        <w:rPr>
          <w:rFonts w:hint="eastAsia" w:ascii="宋体" w:hAnsi="宋体"/>
          <w:b/>
          <w:bCs/>
          <w:szCs w:val="21"/>
        </w:rPr>
        <w:t>第九条  甲方的责任</w:t>
      </w:r>
    </w:p>
    <w:p>
      <w:pPr>
        <w:ind w:firstLine="420" w:firstLineChars="200"/>
        <w:rPr>
          <w:rFonts w:ascii="宋体" w:hAnsi="宋体"/>
          <w:szCs w:val="21"/>
        </w:rPr>
      </w:pPr>
      <w:r>
        <w:rPr>
          <w:rFonts w:hint="eastAsia" w:ascii="宋体" w:hAnsi="宋体"/>
          <w:szCs w:val="21"/>
        </w:rPr>
        <w:t>1.应当履行本合同约定的义务，如有违反则应当承担违约责任，赔偿给乙方造成的损失。</w:t>
      </w:r>
    </w:p>
    <w:p>
      <w:pPr>
        <w:ind w:firstLine="420" w:firstLineChars="200"/>
        <w:rPr>
          <w:rFonts w:ascii="宋体" w:hAnsi="宋体"/>
          <w:szCs w:val="21"/>
        </w:rPr>
      </w:pPr>
      <w:r>
        <w:rPr>
          <w:rFonts w:hint="eastAsia" w:ascii="宋体" w:hAnsi="宋体"/>
          <w:szCs w:val="21"/>
        </w:rPr>
        <w:t>2.甲方向乙方提出赔偿要求不能成立时，则应补偿由于该赔偿或其他要求所导致乙方的各种费用的支出。</w:t>
      </w:r>
    </w:p>
    <w:p>
      <w:pPr>
        <w:ind w:firstLine="421" w:firstLineChars="200"/>
        <w:rPr>
          <w:rFonts w:ascii="宋体" w:hAnsi="宋体"/>
          <w:b/>
          <w:bCs/>
          <w:szCs w:val="21"/>
        </w:rPr>
      </w:pPr>
      <w:r>
        <w:rPr>
          <w:rFonts w:hint="eastAsia" w:ascii="宋体" w:hAnsi="宋体"/>
          <w:b/>
          <w:bCs/>
          <w:szCs w:val="21"/>
        </w:rPr>
        <w:t>第十条  乙方的责任</w:t>
      </w:r>
    </w:p>
    <w:p>
      <w:pPr>
        <w:ind w:firstLine="420" w:firstLineChars="200"/>
        <w:rPr>
          <w:rFonts w:ascii="宋体" w:hAnsi="宋体"/>
          <w:szCs w:val="21"/>
        </w:rPr>
      </w:pPr>
      <w:r>
        <w:rPr>
          <w:rFonts w:hint="eastAsia" w:ascii="宋体" w:hAnsi="宋体"/>
          <w:szCs w:val="21"/>
        </w:rPr>
        <w:t>1.乙方的责任期即本合同有效期。如因非乙方的责任造成进度的推迟或延误而超过约定的日期，双方应进一步约定相应延长合同有效期。</w:t>
      </w:r>
    </w:p>
    <w:p>
      <w:pPr>
        <w:ind w:firstLine="420" w:firstLineChars="200"/>
        <w:rPr>
          <w:rFonts w:ascii="宋体" w:hAnsi="宋体"/>
          <w:szCs w:val="21"/>
        </w:rPr>
      </w:pPr>
      <w:r>
        <w:rPr>
          <w:rFonts w:hint="eastAsia" w:ascii="宋体" w:hAnsi="宋体"/>
          <w:szCs w:val="21"/>
        </w:rPr>
        <w:t>2.乙方的责任期内，应当履行本合同中约定的义务，因乙方的单方过失造成的经济损失，应当向甲方进行赔偿。</w:t>
      </w:r>
    </w:p>
    <w:p>
      <w:pPr>
        <w:ind w:firstLine="420" w:firstLineChars="200"/>
        <w:rPr>
          <w:rFonts w:ascii="宋体" w:hAnsi="宋体"/>
          <w:szCs w:val="21"/>
        </w:rPr>
      </w:pPr>
      <w:r>
        <w:rPr>
          <w:rFonts w:hint="eastAsia" w:ascii="宋体" w:hAnsi="宋体"/>
          <w:szCs w:val="21"/>
        </w:rPr>
        <w:t>3.乙方对甲方或第三方所提出的问题不能及时核对或答复，导致合同不能全部或部分履行，乙方应承担责任。</w:t>
      </w:r>
    </w:p>
    <w:p>
      <w:pPr>
        <w:ind w:firstLine="420" w:firstLineChars="200"/>
        <w:rPr>
          <w:rFonts w:ascii="宋体" w:hAnsi="宋体"/>
          <w:szCs w:val="21"/>
        </w:rPr>
      </w:pPr>
      <w:r>
        <w:rPr>
          <w:rFonts w:hint="eastAsia" w:ascii="宋体" w:hAnsi="宋体"/>
          <w:szCs w:val="21"/>
        </w:rPr>
        <w:t>4.乙方向甲方提出赔偿要求不能成立时，则应补偿由于该赔偿或其他要求所导致甲方的各种费用的支出。</w:t>
      </w:r>
    </w:p>
    <w:p>
      <w:pPr>
        <w:ind w:firstLine="421" w:firstLineChars="200"/>
        <w:rPr>
          <w:rFonts w:ascii="宋体" w:hAnsi="宋体"/>
          <w:b/>
          <w:bCs/>
          <w:szCs w:val="21"/>
        </w:rPr>
      </w:pPr>
      <w:r>
        <w:rPr>
          <w:rFonts w:hint="eastAsia" w:ascii="宋体" w:hAnsi="宋体"/>
          <w:b/>
          <w:bCs/>
          <w:szCs w:val="21"/>
        </w:rPr>
        <w:t>第十一条  人员要求</w:t>
      </w:r>
    </w:p>
    <w:p>
      <w:pPr>
        <w:ind w:firstLine="420" w:firstLineChars="200"/>
        <w:rPr>
          <w:rFonts w:ascii="宋体" w:hAnsi="宋体"/>
          <w:szCs w:val="21"/>
        </w:rPr>
      </w:pPr>
      <w:r>
        <w:rPr>
          <w:rFonts w:hint="eastAsia" w:ascii="宋体" w:hAnsi="宋体"/>
          <w:szCs w:val="21"/>
        </w:rPr>
        <w:t>1.参加本项目试验的人员必须具有国家和有关部门规定的相应资质。</w:t>
      </w:r>
    </w:p>
    <w:p>
      <w:pPr>
        <w:ind w:firstLine="420" w:firstLineChars="200"/>
        <w:rPr>
          <w:rFonts w:ascii="宋体" w:hAnsi="宋体"/>
          <w:szCs w:val="21"/>
        </w:rPr>
      </w:pPr>
      <w:r>
        <w:rPr>
          <w:rFonts w:hint="eastAsia" w:ascii="宋体" w:hAnsi="宋体"/>
          <w:szCs w:val="21"/>
        </w:rPr>
        <w:t>2. 参加本项目的试验人员的配置必须与投标文件中的服务承诺书和试验服务组织实施方案一致。</w:t>
      </w:r>
    </w:p>
    <w:p>
      <w:pPr>
        <w:ind w:firstLine="420" w:firstLineChars="200"/>
        <w:rPr>
          <w:rFonts w:ascii="宋体" w:hAnsi="宋体"/>
          <w:szCs w:val="21"/>
        </w:rPr>
      </w:pPr>
      <w:r>
        <w:rPr>
          <w:rFonts w:hint="eastAsia" w:ascii="宋体" w:hAnsi="宋体"/>
          <w:szCs w:val="21"/>
        </w:rPr>
        <w:t>3.必须以直属试验人员参与本项目服务，不得使用挂靠队伍。</w:t>
      </w:r>
    </w:p>
    <w:p>
      <w:pPr>
        <w:ind w:firstLine="421" w:firstLineChars="200"/>
        <w:rPr>
          <w:rFonts w:ascii="宋体" w:hAnsi="宋体"/>
          <w:b/>
          <w:bCs/>
          <w:szCs w:val="21"/>
        </w:rPr>
      </w:pPr>
      <w:r>
        <w:rPr>
          <w:rFonts w:hint="eastAsia" w:ascii="宋体" w:hAnsi="宋体"/>
          <w:b/>
          <w:bCs/>
          <w:szCs w:val="21"/>
        </w:rPr>
        <w:t>第十二条  乙方服务工具要求</w:t>
      </w:r>
    </w:p>
    <w:p>
      <w:pPr>
        <w:ind w:firstLine="420" w:firstLineChars="200"/>
        <w:rPr>
          <w:rFonts w:ascii="宋体" w:hAnsi="宋体"/>
          <w:szCs w:val="21"/>
        </w:rPr>
      </w:pPr>
      <w:r>
        <w:rPr>
          <w:rFonts w:hint="eastAsia" w:ascii="宋体" w:hAnsi="宋体"/>
          <w:szCs w:val="21"/>
        </w:rPr>
        <w:t>1.乙方应配备中标项目所需的足够数量的仪器、仪表以及工具等设备。用户不需向乙方提供施工工具和仪器、仪表。</w:t>
      </w:r>
    </w:p>
    <w:p>
      <w:pPr>
        <w:ind w:firstLine="420" w:firstLineChars="200"/>
        <w:rPr>
          <w:rFonts w:ascii="宋体" w:hAnsi="宋体"/>
          <w:szCs w:val="21"/>
        </w:rPr>
      </w:pPr>
      <w:r>
        <w:rPr>
          <w:rFonts w:hint="eastAsia" w:ascii="宋体" w:hAnsi="宋体"/>
          <w:szCs w:val="21"/>
        </w:rPr>
        <w:t>2.乙方在提供服务过程中应自备车辆。</w:t>
      </w:r>
    </w:p>
    <w:p>
      <w:pPr>
        <w:ind w:firstLine="421" w:firstLineChars="200"/>
        <w:rPr>
          <w:rFonts w:ascii="宋体" w:hAnsi="宋体"/>
          <w:b/>
          <w:bCs/>
          <w:szCs w:val="21"/>
        </w:rPr>
      </w:pPr>
      <w:r>
        <w:rPr>
          <w:rFonts w:hint="eastAsia" w:ascii="宋体" w:hAnsi="宋体"/>
          <w:b/>
          <w:bCs/>
          <w:szCs w:val="21"/>
        </w:rPr>
        <w:t>第十三条  保密要求</w:t>
      </w:r>
    </w:p>
    <w:p>
      <w:pPr>
        <w:ind w:firstLine="420" w:firstLineChars="200"/>
        <w:rPr>
          <w:rFonts w:ascii="宋体" w:hAnsi="宋体"/>
          <w:szCs w:val="21"/>
        </w:rPr>
      </w:pPr>
      <w:r>
        <w:rPr>
          <w:rFonts w:hint="eastAsia" w:ascii="宋体" w:hAnsi="宋体"/>
          <w:szCs w:val="21"/>
        </w:rPr>
        <w:t>1.</w:t>
      </w:r>
      <w:r>
        <w:rPr>
          <w:rFonts w:ascii="宋体" w:hAnsi="宋体"/>
          <w:szCs w:val="21"/>
        </w:rPr>
        <w:t>由甲方收集的、开发的、整理的、复制的、研究的和准备的与本合同项下工作有关的所有资料在提供给乙方时，均被视为保密的，</w:t>
      </w:r>
      <w:r>
        <w:rPr>
          <w:rFonts w:hint="eastAsia" w:ascii="宋体" w:hAnsi="宋体"/>
          <w:szCs w:val="21"/>
        </w:rPr>
        <w:t>不得泄露给除甲方或其</w:t>
      </w:r>
      <w:r>
        <w:rPr>
          <w:rFonts w:ascii="宋体" w:hAnsi="宋体"/>
          <w:szCs w:val="21"/>
        </w:rPr>
        <w:t>指定的代表之外的任何人、企业或公司，不管本合同因何种原因终止，本条款一直约束乙方。</w:t>
      </w:r>
    </w:p>
    <w:p>
      <w:pPr>
        <w:ind w:firstLine="420" w:firstLineChars="200"/>
        <w:rPr>
          <w:rFonts w:ascii="宋体" w:hAnsi="宋体"/>
          <w:szCs w:val="21"/>
        </w:rPr>
      </w:pPr>
      <w:r>
        <w:rPr>
          <w:rFonts w:hint="eastAsia" w:ascii="宋体" w:hAnsi="宋体"/>
          <w:szCs w:val="21"/>
        </w:rPr>
        <w:t>2.</w:t>
      </w:r>
      <w:r>
        <w:rPr>
          <w:rFonts w:ascii="宋体" w:hAnsi="宋体"/>
          <w:szCs w:val="21"/>
        </w:rPr>
        <w:t>乙方在履行合同过程中所获得或接触到的任何</w:t>
      </w:r>
      <w:r>
        <w:rPr>
          <w:rFonts w:hint="eastAsia" w:ascii="宋体" w:hAnsi="宋体"/>
          <w:szCs w:val="21"/>
        </w:rPr>
        <w:t>内部数据资料，未经甲方同意，不得向第三方透露。</w:t>
      </w:r>
    </w:p>
    <w:p>
      <w:pPr>
        <w:ind w:firstLine="420" w:firstLineChars="200"/>
        <w:rPr>
          <w:rFonts w:ascii="宋体" w:hAnsi="宋体"/>
          <w:szCs w:val="21"/>
        </w:rPr>
      </w:pPr>
      <w:r>
        <w:rPr>
          <w:rFonts w:hint="eastAsia" w:ascii="宋体" w:hAnsi="宋体"/>
          <w:szCs w:val="21"/>
        </w:rPr>
        <w:t>3.</w:t>
      </w:r>
      <w:r>
        <w:rPr>
          <w:rFonts w:ascii="宋体" w:hAnsi="宋体"/>
          <w:szCs w:val="21"/>
        </w:rPr>
        <w:t>乙方</w:t>
      </w:r>
      <w:r>
        <w:rPr>
          <w:rFonts w:hint="eastAsia" w:ascii="宋体" w:hAnsi="宋体"/>
          <w:szCs w:val="21"/>
        </w:rPr>
        <w:t>实施项目的一切程序都应符合国家安全、保密的有关规定和标准。</w:t>
      </w:r>
    </w:p>
    <w:p>
      <w:pPr>
        <w:ind w:firstLine="420" w:firstLineChars="200"/>
        <w:rPr>
          <w:rFonts w:ascii="宋体" w:hAnsi="宋体"/>
          <w:szCs w:val="21"/>
        </w:rPr>
      </w:pPr>
      <w:r>
        <w:rPr>
          <w:rFonts w:hint="eastAsia" w:ascii="宋体" w:hAnsi="宋体"/>
          <w:szCs w:val="21"/>
        </w:rPr>
        <w:t>4.</w:t>
      </w:r>
      <w:r>
        <w:rPr>
          <w:rFonts w:ascii="宋体" w:hAnsi="宋体"/>
          <w:szCs w:val="21"/>
        </w:rPr>
        <w:t>乙方</w:t>
      </w:r>
      <w:r>
        <w:rPr>
          <w:rFonts w:hint="eastAsia" w:ascii="宋体" w:hAnsi="宋体"/>
          <w:szCs w:val="21"/>
        </w:rPr>
        <w:t>参加项目的有关人员均需同甲方签订保密协议。</w:t>
      </w:r>
    </w:p>
    <w:p>
      <w:pPr>
        <w:ind w:firstLine="421" w:firstLineChars="200"/>
        <w:rPr>
          <w:rFonts w:ascii="宋体" w:hAnsi="宋体"/>
          <w:b/>
          <w:bCs/>
          <w:szCs w:val="21"/>
        </w:rPr>
      </w:pPr>
      <w:r>
        <w:rPr>
          <w:rFonts w:hint="eastAsia" w:ascii="宋体" w:hAnsi="宋体"/>
          <w:b/>
          <w:bCs/>
          <w:szCs w:val="21"/>
        </w:rPr>
        <w:t xml:space="preserve">第十四条  验收     </w:t>
      </w:r>
    </w:p>
    <w:p>
      <w:pPr>
        <w:ind w:firstLine="420" w:firstLineChars="200"/>
        <w:rPr>
          <w:rFonts w:ascii="宋体" w:hAnsi="宋体"/>
          <w:szCs w:val="21"/>
        </w:rPr>
      </w:pPr>
      <w:r>
        <w:rPr>
          <w:rFonts w:hint="eastAsia" w:ascii="宋体" w:hAnsi="宋体"/>
          <w:szCs w:val="21"/>
        </w:rPr>
        <w:t>1.下列文件的验收分为</w:t>
      </w:r>
      <w:r>
        <w:rPr>
          <w:rFonts w:hint="eastAsia" w:ascii="宋体" w:hAnsi="宋体"/>
          <w:szCs w:val="21"/>
          <w:u w:val="single"/>
        </w:rPr>
        <w:t xml:space="preserve">          三</w:t>
      </w:r>
      <w:r>
        <w:rPr>
          <w:rFonts w:hint="eastAsia" w:ascii="宋体" w:hAnsi="宋体"/>
          <w:szCs w:val="21"/>
        </w:rPr>
        <w:t>个阶段：</w:t>
      </w:r>
    </w:p>
    <w:p>
      <w:pPr>
        <w:ind w:firstLine="420" w:firstLineChars="200"/>
        <w:rPr>
          <w:rFonts w:ascii="宋体" w:hAnsi="宋体"/>
          <w:szCs w:val="21"/>
        </w:rPr>
      </w:pPr>
      <w:r>
        <w:rPr>
          <w:rFonts w:hint="eastAsia" w:ascii="宋体" w:hAnsi="宋体"/>
          <w:szCs w:val="21"/>
        </w:rPr>
        <w:t>2.其余文件和工作由用户组织有关技术人员根据国家和行业有关规范、规程、标准和用户需求直接验收。</w:t>
      </w:r>
    </w:p>
    <w:p>
      <w:pPr>
        <w:ind w:firstLine="420" w:firstLineChars="200"/>
        <w:rPr>
          <w:rFonts w:ascii="宋体" w:hAnsi="宋体"/>
          <w:szCs w:val="21"/>
        </w:rPr>
      </w:pPr>
      <w:r>
        <w:rPr>
          <w:rFonts w:hint="eastAsia" w:ascii="宋体" w:hAnsi="宋体"/>
          <w:szCs w:val="21"/>
        </w:rPr>
        <w:t>3.验收依据为招标文件、投标文件，国家和行业有关规范、规程和标准。</w:t>
      </w:r>
    </w:p>
    <w:p>
      <w:pPr>
        <w:ind w:firstLine="421" w:firstLineChars="200"/>
        <w:rPr>
          <w:rFonts w:ascii="宋体" w:hAnsi="宋体"/>
          <w:b/>
          <w:bCs/>
          <w:szCs w:val="21"/>
        </w:rPr>
      </w:pPr>
      <w:r>
        <w:rPr>
          <w:rFonts w:hint="eastAsia" w:ascii="宋体" w:hAnsi="宋体"/>
          <w:b/>
          <w:bCs/>
          <w:szCs w:val="21"/>
        </w:rPr>
        <w:t>第十五条  付款方式</w:t>
      </w:r>
    </w:p>
    <w:p>
      <w:pPr>
        <w:ind w:firstLine="420" w:firstLineChars="200"/>
        <w:rPr>
          <w:rFonts w:ascii="宋体" w:hAnsi="宋体"/>
          <w:szCs w:val="21"/>
        </w:rPr>
      </w:pPr>
      <w:r>
        <w:rPr>
          <w:rFonts w:hint="eastAsia" w:ascii="宋体" w:hAnsi="宋体"/>
          <w:szCs w:val="21"/>
        </w:rPr>
        <w:t>1.合同签订后   天内乙方向甲方开具合法有效的发票后，甲方于   天内向乙方支付合同总价%的款项。</w:t>
      </w:r>
    </w:p>
    <w:p>
      <w:pPr>
        <w:ind w:firstLine="420" w:firstLineChars="200"/>
        <w:rPr>
          <w:rFonts w:ascii="宋体" w:hAnsi="宋体"/>
          <w:szCs w:val="21"/>
        </w:rPr>
      </w:pPr>
      <w:r>
        <w:rPr>
          <w:rFonts w:hint="eastAsia" w:ascii="宋体" w:hAnsi="宋体"/>
          <w:szCs w:val="21"/>
        </w:rPr>
        <w:t>2.检测完成并提交评估报告后  天内，乙方向甲方开具合法有效发票后 天，甲方向乙方支付合同总价%的款项。</w:t>
      </w:r>
    </w:p>
    <w:p>
      <w:pPr>
        <w:ind w:firstLine="420" w:firstLineChars="200"/>
        <w:rPr>
          <w:rFonts w:ascii="宋体" w:hAnsi="宋体"/>
          <w:szCs w:val="21"/>
        </w:rPr>
      </w:pPr>
      <w:r>
        <w:rPr>
          <w:rFonts w:hint="eastAsia" w:ascii="宋体" w:hAnsi="宋体"/>
          <w:szCs w:val="21"/>
        </w:rPr>
        <w:t>3.报告通过专家评审后，甲方向乙方支付合同总价%的款项。</w:t>
      </w:r>
    </w:p>
    <w:p>
      <w:pPr>
        <w:ind w:firstLine="421" w:firstLineChars="200"/>
        <w:rPr>
          <w:rFonts w:ascii="宋体" w:hAnsi="宋体"/>
          <w:b/>
          <w:bCs/>
          <w:szCs w:val="21"/>
        </w:rPr>
      </w:pPr>
      <w:r>
        <w:rPr>
          <w:rFonts w:hint="eastAsia" w:ascii="宋体" w:hAnsi="宋体"/>
          <w:b/>
          <w:bCs/>
          <w:szCs w:val="21"/>
        </w:rPr>
        <w:t>第十六条  争议解决办法</w:t>
      </w:r>
    </w:p>
    <w:p>
      <w:pPr>
        <w:ind w:firstLine="420" w:firstLineChars="200"/>
        <w:rPr>
          <w:rFonts w:ascii="宋体" w:hAnsi="宋体"/>
          <w:szCs w:val="21"/>
        </w:rPr>
      </w:pPr>
      <w:r>
        <w:rPr>
          <w:rFonts w:hint="eastAsia" w:ascii="宋体" w:hAnsi="宋体"/>
          <w:szCs w:val="21"/>
        </w:rPr>
        <w:t>执行本合同发生的争议，由甲乙双方协商解决，如协商不成的，应提交甲方所在地人民法院诉讼解决。</w:t>
      </w:r>
    </w:p>
    <w:p>
      <w:pPr>
        <w:ind w:firstLine="421" w:firstLineChars="200"/>
        <w:rPr>
          <w:rFonts w:ascii="宋体" w:hAnsi="宋体"/>
          <w:b/>
          <w:bCs/>
          <w:szCs w:val="21"/>
        </w:rPr>
      </w:pPr>
      <w:r>
        <w:rPr>
          <w:rFonts w:hint="eastAsia" w:ascii="宋体" w:hAnsi="宋体"/>
          <w:b/>
          <w:bCs/>
          <w:szCs w:val="21"/>
        </w:rPr>
        <w:t>第十七条  风险责任</w:t>
      </w:r>
    </w:p>
    <w:p>
      <w:pPr>
        <w:ind w:firstLine="420" w:firstLineChars="200"/>
        <w:rPr>
          <w:rFonts w:ascii="宋体" w:hAnsi="宋体"/>
          <w:szCs w:val="21"/>
        </w:rPr>
      </w:pPr>
      <w:r>
        <w:rPr>
          <w:rFonts w:hint="eastAsia" w:ascii="宋体" w:hAnsi="宋体"/>
          <w:szCs w:val="21"/>
        </w:rPr>
        <w:t>1、乙方应完全按照招标文件的要求和乙方投标文件的承诺完成本项目，出于自身财务、技术、人力等原因导致项目失败的，应承担全部责任。</w:t>
      </w:r>
    </w:p>
    <w:p>
      <w:pPr>
        <w:ind w:firstLine="420" w:firstLineChars="200"/>
        <w:rPr>
          <w:rFonts w:ascii="宋体" w:hAnsi="宋体"/>
          <w:szCs w:val="21"/>
        </w:rPr>
      </w:pPr>
      <w:r>
        <w:rPr>
          <w:rFonts w:hint="eastAsia" w:ascii="宋体" w:hAnsi="宋体"/>
          <w:szCs w:val="21"/>
        </w:rPr>
        <w:t>2.乙方在实施荷载试验过程中应对自身的安全生产负责，若非因甲方原因发生的各种事故甲方不承担任何责任。</w:t>
      </w:r>
    </w:p>
    <w:p>
      <w:pPr>
        <w:ind w:firstLine="421" w:firstLineChars="200"/>
        <w:rPr>
          <w:rFonts w:ascii="宋体" w:hAnsi="宋体"/>
          <w:b/>
          <w:bCs/>
          <w:szCs w:val="21"/>
        </w:rPr>
      </w:pPr>
      <w:r>
        <w:rPr>
          <w:rFonts w:hint="eastAsia" w:ascii="宋体" w:hAnsi="宋体"/>
          <w:b/>
          <w:bCs/>
          <w:szCs w:val="21"/>
        </w:rPr>
        <w:t>第十八条  违约责任</w:t>
      </w:r>
    </w:p>
    <w:p>
      <w:pPr>
        <w:pStyle w:val="19"/>
        <w:spacing w:line="240" w:lineRule="auto"/>
        <w:rPr>
          <w:rFonts w:ascii="宋体" w:hAnsi="宋体"/>
          <w:szCs w:val="21"/>
        </w:rPr>
      </w:pPr>
      <w:r>
        <w:rPr>
          <w:rFonts w:hint="eastAsia" w:ascii="宋体" w:hAnsi="宋体"/>
          <w:szCs w:val="21"/>
        </w:rPr>
        <w:t>1.因乙方原因，未能按规定时间完成有关工作的，每延误一天，甲方可在支付合同余款中扣除合同价款千分之一。</w:t>
      </w:r>
    </w:p>
    <w:p>
      <w:pPr>
        <w:ind w:firstLine="420" w:firstLineChars="200"/>
        <w:rPr>
          <w:rFonts w:ascii="宋体" w:hAnsi="宋体"/>
          <w:szCs w:val="21"/>
        </w:rPr>
      </w:pPr>
      <w:r>
        <w:rPr>
          <w:rFonts w:hint="eastAsia" w:ascii="宋体" w:hAnsi="宋体"/>
          <w:szCs w:val="21"/>
        </w:rPr>
        <w:t>2.由于乙方原因造成试验成果质量低劣，不能满足大纲要求时，应继续完善试验工作，其费用由乙方承担。</w:t>
      </w:r>
    </w:p>
    <w:p>
      <w:pPr>
        <w:ind w:firstLine="420" w:firstLineChars="200"/>
        <w:rPr>
          <w:rFonts w:ascii="宋体" w:hAnsi="宋体"/>
          <w:szCs w:val="21"/>
        </w:rPr>
      </w:pPr>
      <w:r>
        <w:rPr>
          <w:rFonts w:hint="eastAsia" w:ascii="宋体" w:hAnsi="宋体"/>
          <w:szCs w:val="21"/>
        </w:rPr>
        <w:t>3.乙方交付的成果经验收不合格，应于7日内无条件修改，费用由乙方自行承担，在甲方要求整改后再次验收不合格的，甲方有权解除合同、要求乙方返还甲方已支付的合同款项，并有权要求乙方按合同总额   %支付违约金。</w:t>
      </w:r>
    </w:p>
    <w:p>
      <w:pPr>
        <w:ind w:firstLine="420" w:firstLineChars="200"/>
        <w:rPr>
          <w:rFonts w:ascii="宋体" w:hAnsi="宋体"/>
          <w:szCs w:val="21"/>
        </w:rPr>
      </w:pPr>
      <w:r>
        <w:rPr>
          <w:rFonts w:hint="eastAsia" w:ascii="宋体" w:hAnsi="宋体"/>
          <w:szCs w:val="21"/>
        </w:rPr>
        <w:t>4.若甲方发现乙方派出的试验服务人员或提供的试验仪器设备不符合合同要求，乙方应在3天之内按要求派出人员或提供满足投标文件承诺的仪器设备，否则甲方有权终止合同，并保留追究乙方责任及要求赔偿损失的权利。</w:t>
      </w:r>
    </w:p>
    <w:p>
      <w:pPr>
        <w:ind w:firstLine="420" w:firstLineChars="200"/>
        <w:rPr>
          <w:rFonts w:ascii="宋体" w:hAnsi="宋体"/>
          <w:szCs w:val="21"/>
        </w:rPr>
      </w:pPr>
      <w:r>
        <w:rPr>
          <w:rFonts w:hint="eastAsia" w:ascii="宋体" w:hAnsi="宋体"/>
          <w:szCs w:val="21"/>
        </w:rPr>
        <w:t>5.乙方或其工作人员违反本合同约定的保密义务，甲方有权要求乙方按合同总额   %支付违约金；造成不良影响或对甲方造成损失的，甲方有权要求乙方消除影响，承担赔偿责任，并有权解除合同。</w:t>
      </w:r>
    </w:p>
    <w:p>
      <w:pPr>
        <w:ind w:firstLine="420" w:firstLineChars="200"/>
        <w:rPr>
          <w:rFonts w:ascii="宋体" w:hAnsi="宋体"/>
          <w:szCs w:val="21"/>
        </w:rPr>
      </w:pPr>
      <w:r>
        <w:rPr>
          <w:rFonts w:hint="eastAsia" w:ascii="宋体" w:hAnsi="宋体"/>
          <w:szCs w:val="21"/>
        </w:rPr>
        <w:t>6.因乙方提供的服务成果受到侵权指控或者引发法律纠纷，影响甲方使用服务成果或者导致合同目的不能实现的，甲方有权要求乙方按合同总额   %支付违约金，并有权解除合同。</w:t>
      </w:r>
    </w:p>
    <w:p>
      <w:pPr>
        <w:ind w:firstLine="421" w:firstLineChars="200"/>
        <w:rPr>
          <w:rFonts w:ascii="宋体" w:hAnsi="宋体"/>
          <w:b/>
          <w:bCs/>
          <w:szCs w:val="21"/>
        </w:rPr>
      </w:pPr>
      <w:r>
        <w:rPr>
          <w:rFonts w:hint="eastAsia" w:ascii="宋体" w:hAnsi="宋体"/>
          <w:b/>
          <w:bCs/>
          <w:szCs w:val="21"/>
        </w:rPr>
        <w:t>第十九条  其他</w:t>
      </w:r>
    </w:p>
    <w:p>
      <w:pPr>
        <w:ind w:firstLine="420" w:firstLineChars="200"/>
        <w:rPr>
          <w:rFonts w:ascii="宋体" w:hAnsi="宋体"/>
          <w:szCs w:val="21"/>
        </w:rPr>
      </w:pPr>
      <w:r>
        <w:rPr>
          <w:rFonts w:hint="eastAsia" w:ascii="宋体" w:hAnsi="宋体"/>
          <w:szCs w:val="21"/>
        </w:rPr>
        <w:t>1.本协议书与下列文件一起构成合同文件，如下述文件之间有任何抵触、矛盾或歧义，应按以下顺序解释：</w:t>
      </w:r>
    </w:p>
    <w:p>
      <w:pPr>
        <w:ind w:firstLine="420" w:firstLineChars="200"/>
        <w:rPr>
          <w:rFonts w:ascii="宋体" w:hAnsi="宋体"/>
          <w:szCs w:val="21"/>
        </w:rPr>
      </w:pPr>
      <w:r>
        <w:rPr>
          <w:rFonts w:hint="eastAsia" w:ascii="宋体" w:hAnsi="宋体"/>
          <w:szCs w:val="21"/>
        </w:rPr>
        <w:t>（1）政府采购合同协议书及其变更、补充协议</w:t>
      </w:r>
    </w:p>
    <w:p>
      <w:pPr>
        <w:ind w:firstLine="420" w:firstLineChars="200"/>
        <w:rPr>
          <w:rFonts w:ascii="宋体" w:hAnsi="宋体"/>
          <w:szCs w:val="21"/>
        </w:rPr>
      </w:pPr>
      <w:r>
        <w:rPr>
          <w:rFonts w:hint="eastAsia" w:ascii="宋体" w:hAnsi="宋体"/>
          <w:szCs w:val="21"/>
        </w:rPr>
        <w:t>（2）政府采购合同专用条款</w:t>
      </w:r>
    </w:p>
    <w:p>
      <w:pPr>
        <w:ind w:firstLine="420" w:firstLineChars="200"/>
        <w:rPr>
          <w:rFonts w:ascii="宋体" w:hAnsi="宋体"/>
          <w:szCs w:val="21"/>
        </w:rPr>
      </w:pPr>
      <w:r>
        <w:rPr>
          <w:rFonts w:hint="eastAsia" w:ascii="宋体" w:hAnsi="宋体"/>
          <w:szCs w:val="21"/>
        </w:rPr>
        <w:t>（3）政府采购合同通用条款</w:t>
      </w:r>
    </w:p>
    <w:p>
      <w:pPr>
        <w:ind w:firstLine="420" w:firstLineChars="200"/>
        <w:rPr>
          <w:rFonts w:ascii="宋体" w:hAnsi="宋体"/>
          <w:szCs w:val="21"/>
        </w:rPr>
      </w:pPr>
      <w:r>
        <w:rPr>
          <w:rFonts w:hint="eastAsia" w:ascii="宋体" w:hAnsi="宋体"/>
          <w:szCs w:val="21"/>
        </w:rPr>
        <w:t>（4）中标（成交）通知书</w:t>
      </w:r>
    </w:p>
    <w:p>
      <w:pPr>
        <w:ind w:firstLine="420" w:firstLineChars="200"/>
        <w:rPr>
          <w:rFonts w:ascii="宋体" w:hAnsi="宋体"/>
          <w:szCs w:val="21"/>
        </w:rPr>
      </w:pPr>
      <w:r>
        <w:rPr>
          <w:rFonts w:hint="eastAsia" w:ascii="宋体" w:hAnsi="宋体"/>
          <w:szCs w:val="21"/>
        </w:rPr>
        <w:t>（5）投标（响应）文件</w:t>
      </w:r>
    </w:p>
    <w:p>
      <w:pPr>
        <w:ind w:firstLine="420" w:firstLineChars="200"/>
        <w:rPr>
          <w:rFonts w:ascii="宋体" w:hAnsi="宋体"/>
          <w:szCs w:val="21"/>
        </w:rPr>
      </w:pPr>
      <w:r>
        <w:rPr>
          <w:rFonts w:hint="eastAsia" w:ascii="宋体" w:hAnsi="宋体"/>
          <w:szCs w:val="21"/>
        </w:rPr>
        <w:t>（6）采购文件</w:t>
      </w:r>
    </w:p>
    <w:p>
      <w:pPr>
        <w:ind w:firstLine="420" w:firstLineChars="200"/>
        <w:rPr>
          <w:rFonts w:ascii="宋体" w:hAnsi="宋体"/>
          <w:szCs w:val="21"/>
        </w:rPr>
      </w:pPr>
      <w:r>
        <w:rPr>
          <w:rFonts w:hint="eastAsia" w:ascii="宋体" w:hAnsi="宋体"/>
          <w:szCs w:val="21"/>
        </w:rPr>
        <w:t>（7）有关技术文件，图纸</w:t>
      </w:r>
    </w:p>
    <w:p>
      <w:pPr>
        <w:ind w:firstLine="420" w:firstLineChars="200"/>
        <w:rPr>
          <w:rFonts w:ascii="宋体" w:hAnsi="宋体"/>
          <w:szCs w:val="21"/>
        </w:rPr>
      </w:pPr>
      <w:r>
        <w:rPr>
          <w:rFonts w:hint="eastAsia" w:ascii="宋体" w:hAnsi="宋体"/>
          <w:szCs w:val="21"/>
        </w:rPr>
        <w:t>（8）国家法律、行政法规和规章制度规定或合同约定的作为合同组成部分的其他文件。</w:t>
      </w:r>
    </w:p>
    <w:p>
      <w:pPr>
        <w:ind w:firstLine="420" w:firstLineChars="200"/>
        <w:rPr>
          <w:rFonts w:ascii="宋体" w:hAnsi="宋体"/>
          <w:szCs w:val="21"/>
        </w:rPr>
      </w:pPr>
      <w:r>
        <w:rPr>
          <w:rFonts w:hint="eastAsia" w:ascii="宋体" w:hAnsi="宋体"/>
          <w:szCs w:val="21"/>
        </w:rPr>
        <w:t>2.下列文件均为本合同的组成部分：</w:t>
      </w:r>
    </w:p>
    <w:p>
      <w:pPr>
        <w:ind w:firstLine="420" w:firstLineChars="200"/>
        <w:rPr>
          <w:rFonts w:ascii="宋体" w:hAnsi="宋体"/>
          <w:szCs w:val="21"/>
        </w:rPr>
      </w:pPr>
      <w:r>
        <w:rPr>
          <w:rFonts w:hint="eastAsia" w:ascii="宋体" w:hAnsi="宋体"/>
          <w:szCs w:val="21"/>
        </w:rPr>
        <w:t>（1）号招标文件、答疑及补充通知；</w:t>
      </w:r>
    </w:p>
    <w:p>
      <w:pPr>
        <w:ind w:firstLine="420" w:firstLineChars="200"/>
        <w:rPr>
          <w:rFonts w:ascii="宋体" w:hAnsi="宋体"/>
          <w:szCs w:val="21"/>
        </w:rPr>
      </w:pPr>
      <w:r>
        <w:rPr>
          <w:rFonts w:hint="eastAsia" w:ascii="宋体" w:hAnsi="宋体"/>
          <w:szCs w:val="21"/>
        </w:rPr>
        <w:t>（2）投标文件；</w:t>
      </w:r>
    </w:p>
    <w:p>
      <w:pPr>
        <w:ind w:firstLine="420" w:firstLineChars="200"/>
        <w:rPr>
          <w:rFonts w:ascii="宋体" w:hAnsi="宋体"/>
          <w:szCs w:val="21"/>
        </w:rPr>
      </w:pPr>
      <w:r>
        <w:rPr>
          <w:rFonts w:hint="eastAsia" w:ascii="宋体" w:hAnsi="宋体"/>
          <w:szCs w:val="21"/>
        </w:rPr>
        <w:t>（3）本合同执行中共同签署的补充与修正文件。</w:t>
      </w:r>
    </w:p>
    <w:p>
      <w:pPr>
        <w:ind w:firstLine="420" w:firstLineChars="200"/>
        <w:rPr>
          <w:rFonts w:ascii="宋体" w:hAnsi="宋体"/>
          <w:szCs w:val="21"/>
        </w:rPr>
      </w:pPr>
      <w:r>
        <w:rPr>
          <w:rFonts w:hint="eastAsia" w:ascii="宋体" w:hAnsi="宋体"/>
          <w:szCs w:val="21"/>
        </w:rPr>
        <w:t>本合同一式份，甲、乙方双方各执份，具有同等法律效力。本合同自双方法人代表签字（盖章）认可之日起生效。</w:t>
      </w:r>
    </w:p>
    <w:p>
      <w:pPr>
        <w:ind w:firstLine="420" w:firstLineChars="200"/>
        <w:rPr>
          <w:rFonts w:ascii="宋体" w:hAnsi="宋体"/>
          <w:szCs w:val="21"/>
        </w:rPr>
      </w:pPr>
      <w:r>
        <w:rPr>
          <w:rFonts w:hint="eastAsia" w:ascii="宋体" w:hAnsi="宋体"/>
          <w:szCs w:val="21"/>
        </w:rPr>
        <w:t>本合同未尽事宜，双方友好协商，达成解决方案，经双方签字后，可作为本合同的有效附件。</w:t>
      </w:r>
    </w:p>
    <w:p>
      <w:pPr>
        <w:ind w:firstLine="420" w:firstLineChars="200"/>
        <w:rPr>
          <w:rFonts w:ascii="宋体" w:hAnsi="宋体"/>
          <w:szCs w:val="21"/>
        </w:rPr>
      </w:pPr>
    </w:p>
    <w:p>
      <w:pPr>
        <w:ind w:firstLine="420" w:firstLineChars="200"/>
        <w:rPr>
          <w:rFonts w:ascii="宋体" w:hAnsi="宋体"/>
          <w:szCs w:val="21"/>
        </w:rPr>
      </w:pPr>
    </w:p>
    <w:p>
      <w:pPr>
        <w:spacing w:line="360" w:lineRule="auto"/>
        <w:ind w:firstLine="560"/>
        <w:jc w:val="left"/>
        <w:rPr>
          <w:rFonts w:ascii="宋体" w:hAnsi="宋体"/>
          <w:szCs w:val="21"/>
        </w:rPr>
      </w:pPr>
      <w:r>
        <w:rPr>
          <w:rFonts w:hint="eastAsia" w:ascii="宋体" w:hAnsi="宋体"/>
          <w:szCs w:val="21"/>
        </w:rPr>
        <w:t>甲方（采购人）：   （盖章）       乙方（供应商）：    （盖章）</w:t>
      </w:r>
    </w:p>
    <w:p>
      <w:pPr>
        <w:spacing w:line="360" w:lineRule="auto"/>
        <w:ind w:firstLine="560"/>
        <w:jc w:val="left"/>
        <w:rPr>
          <w:rFonts w:ascii="宋体" w:hAnsi="宋体"/>
          <w:szCs w:val="21"/>
        </w:rPr>
      </w:pPr>
      <w:r>
        <w:rPr>
          <w:rFonts w:hint="eastAsia" w:ascii="宋体" w:hAnsi="宋体"/>
          <w:szCs w:val="21"/>
        </w:rPr>
        <w:t xml:space="preserve">法定代表人：                     法定代表人： </w:t>
      </w:r>
    </w:p>
    <w:p>
      <w:pPr>
        <w:spacing w:line="360" w:lineRule="auto"/>
        <w:ind w:firstLine="560"/>
        <w:jc w:val="left"/>
        <w:rPr>
          <w:rFonts w:ascii="宋体" w:hAnsi="宋体"/>
          <w:szCs w:val="21"/>
        </w:rPr>
      </w:pPr>
      <w:r>
        <w:rPr>
          <w:rFonts w:hint="eastAsia" w:ascii="宋体" w:hAnsi="宋体"/>
          <w:szCs w:val="21"/>
        </w:rPr>
        <w:t>委托代理人：                     委托代理人：</w:t>
      </w:r>
    </w:p>
    <w:p>
      <w:pPr>
        <w:ind w:firstLine="420" w:firstLineChars="200"/>
        <w:rPr>
          <w:rFonts w:ascii="宋体" w:hAnsi="宋体"/>
          <w:szCs w:val="21"/>
        </w:rPr>
      </w:pPr>
      <w:r>
        <w:rPr>
          <w:rFonts w:hint="eastAsia" w:ascii="宋体" w:hAnsi="宋体"/>
          <w:szCs w:val="21"/>
        </w:rPr>
        <w:t>日期：   年     月    日         日期：   年     月    日</w:t>
      </w: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widowControl/>
        <w:jc w:val="left"/>
        <w:rPr>
          <w:rFonts w:ascii="宋体" w:hAnsi="宋体"/>
          <w:szCs w:val="21"/>
        </w:rPr>
      </w:pPr>
      <w:r>
        <w:rPr>
          <w:rFonts w:ascii="宋体" w:hAnsi="宋体"/>
          <w:szCs w:val="21"/>
        </w:rPr>
        <w:br w:type="page"/>
      </w:r>
    </w:p>
    <w:sectPr>
      <w:pgSz w:w="11907" w:h="16840"/>
      <w:pgMar w:top="1440" w:right="1797" w:bottom="1440" w:left="1797" w:header="851" w:footer="992" w:gutter="0"/>
      <w:cols w:space="425"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0"/>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Arial Unicode MS">
    <w:altName w:val="DejaVu Sans"/>
    <w:panose1 w:val="020B0604020202020204"/>
    <w:charset w:val="86"/>
    <w:family w:val="swiss"/>
    <w:pitch w:val="default"/>
    <w:sig w:usb0="00000000" w:usb1="00000000" w:usb2="0000003F" w:usb3="00000000" w:csb0="603F01FF" w:csb1="FFFF0000"/>
  </w:font>
  <w:font w:name="隶书">
    <w:altName w:val="方正隶书_GBK"/>
    <w:panose1 w:val="02010509060101010101"/>
    <w:charset w:val="86"/>
    <w:family w:val="modern"/>
    <w:pitch w:val="default"/>
    <w:sig w:usb0="00000000" w:usb1="00000000" w:usb2="00000000" w:usb3="00000000" w:csb0="00040000" w:csb1="00000000"/>
  </w:font>
  <w:font w:name="Verdana">
    <w:altName w:val="Ubuntu"/>
    <w:panose1 w:val="020B0604030504040204"/>
    <w:charset w:val="00"/>
    <w:family w:val="swiss"/>
    <w:pitch w:val="default"/>
    <w:sig w:usb0="00000000" w:usb1="00000000"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方正仿宋_GBK"/>
    <w:panose1 w:val="00000000000000000000"/>
    <w:charset w:val="86"/>
    <w:family w:val="modern"/>
    <w:pitch w:val="default"/>
    <w:sig w:usb0="00000000" w:usb1="00000000" w:usb2="00000010" w:usb3="00000000" w:csb0="00040000" w:csb1="00000000"/>
  </w:font>
  <w:font w:name="Helvetica">
    <w:altName w:val="FreeSans"/>
    <w:panose1 w:val="020B0504020202020204"/>
    <w:charset w:val="00"/>
    <w:family w:val="swiss"/>
    <w:pitch w:val="default"/>
    <w:sig w:usb0="00000000" w:usb1="00000000" w:usb2="00000000" w:usb3="00000000" w:csb0="00000001" w:csb1="00000000"/>
  </w:font>
  <w:font w:name="Tahoma">
    <w:altName w:val="DejaVu Sans"/>
    <w:panose1 w:val="020B0604030504040204"/>
    <w:charset w:val="00"/>
    <w:family w:val="swiss"/>
    <w:pitch w:val="default"/>
    <w:sig w:usb0="00000000" w:usb1="00000000"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DejaVu Sans"/>
    <w:panose1 w:val="00000000000000000000"/>
    <w:charset w:val="00"/>
    <w:family w:val="swiss"/>
    <w:pitch w:val="default"/>
    <w:sig w:usb0="00000000" w:usb1="00000000" w:usb2="00000009" w:usb3="00000000" w:csb0="000001FF" w:csb1="00000000"/>
  </w:font>
  <w:font w:name="Cambria">
    <w:altName w:val="FreeSerif"/>
    <w:panose1 w:val="02040503050406030204"/>
    <w:charset w:val="00"/>
    <w:family w:val="roman"/>
    <w:pitch w:val="default"/>
    <w:sig w:usb0="00000000" w:usb1="00000000" w:usb2="02000000" w:usb3="00000000" w:csb0="2000019F" w:csb1="00000000"/>
  </w:font>
  <w:font w:name="ˎ̥">
    <w:altName w:val="URW Bookman"/>
    <w:panose1 w:val="00000000000000000000"/>
    <w:charset w:val="00"/>
    <w:family w:val="roman"/>
    <w:pitch w:val="default"/>
    <w:sig w:usb0="00000000" w:usb1="00000000" w:usb2="00000000" w:usb3="00000000" w:csb0="00000000" w:csb1="00000000"/>
  </w:font>
  <w:font w:name="??">
    <w:altName w:val="华文仿宋"/>
    <w:panose1 w:val="00000000000000000000"/>
    <w:charset w:val="01"/>
    <w:family w:val="auto"/>
    <w:pitch w:val="default"/>
    <w:sig w:usb0="00000000" w:usb1="00000000" w:usb2="00000000" w:usb3="00000000" w:csb0="00040001" w:csb1="00000000"/>
  </w:font>
  <w:font w:name="汉仪细等线简">
    <w:altName w:val="仿宋_GB2312"/>
    <w:panose1 w:val="00000000000000000000"/>
    <w:charset w:val="86"/>
    <w:family w:val="modern"/>
    <w:pitch w:val="default"/>
    <w:sig w:usb0="00000000" w:usb1="00000000" w:usb2="00000012" w:usb3="00000000" w:csb0="00040000" w:csb1="00000000"/>
  </w:font>
  <w:font w:name="H Yb 2gj">
    <w:altName w:val="黑体"/>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rPr>
                              <w:rStyle w:val="47"/>
                            </w:rPr>
                          </w:pPr>
                          <w:r>
                            <w:t xml:space="preserve">- </w:t>
                          </w:r>
                          <w:r>
                            <w:fldChar w:fldCharType="begin"/>
                          </w:r>
                          <w:r>
                            <w:instrText xml:space="preserve"> PAGE </w:instrText>
                          </w:r>
                          <w:r>
                            <w:fldChar w:fldCharType="separate"/>
                          </w:r>
                          <w:r>
                            <w:t>29</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27"/>
                      <w:rPr>
                        <w:rStyle w:val="47"/>
                      </w:rPr>
                    </w:pPr>
                    <w:r>
                      <w:t xml:space="preserve">- </w:t>
                    </w:r>
                    <w:r>
                      <w:fldChar w:fldCharType="begin"/>
                    </w:r>
                    <w:r>
                      <w:instrText xml:space="preserve"> PAGE </w:instrText>
                    </w:r>
                    <w:r>
                      <w:fldChar w:fldCharType="separate"/>
                    </w:r>
                    <w:r>
                      <w:t>29</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center" w:y="1"/>
      <w:rPr>
        <w:rStyle w:val="47"/>
      </w:rPr>
    </w:pPr>
    <w:r>
      <w:rPr>
        <w:rStyle w:val="47"/>
      </w:rPr>
      <w:fldChar w:fldCharType="begin"/>
    </w:r>
    <w:r>
      <w:rPr>
        <w:rStyle w:val="47"/>
      </w:rPr>
      <w:instrText xml:space="preserve">PAGE  </w:instrText>
    </w:r>
    <w:r>
      <w:rPr>
        <w:rStyle w:val="47"/>
      </w:rPr>
      <w:fldChar w:fldCharType="separate"/>
    </w:r>
    <w:r>
      <w:rPr>
        <w:rStyle w:val="47"/>
      </w:rPr>
      <w:t>2</w:t>
    </w:r>
    <w:r>
      <w:rPr>
        <w:rStyle w:val="47"/>
      </w:rPr>
      <w:fldChar w:fldCharType="end"/>
    </w:r>
  </w:p>
  <w:p>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gF26zFQIAABkEAAAOAAAAAAAAAAEAIAAAADUBAABkcnMvZTJvRG9jLnhtbFBLBQYAAAAABgAG&#10;AFkBAAC8BQ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02A6DD"/>
    <w:multiLevelType w:val="singleLevel"/>
    <w:tmpl w:val="A702A6DD"/>
    <w:lvl w:ilvl="0" w:tentative="0">
      <w:start w:val="1"/>
      <w:numFmt w:val="decimal"/>
      <w:suff w:val="nothing"/>
      <w:lvlText w:val="%1、"/>
      <w:lvlJc w:val="left"/>
    </w:lvl>
  </w:abstractNum>
  <w:abstractNum w:abstractNumId="1">
    <w:nsid w:val="B9358C2E"/>
    <w:multiLevelType w:val="singleLevel"/>
    <w:tmpl w:val="B9358C2E"/>
    <w:lvl w:ilvl="0" w:tentative="0">
      <w:start w:val="2"/>
      <w:numFmt w:val="decimal"/>
      <w:suff w:val="nothing"/>
      <w:lvlText w:val="%1、"/>
      <w:lvlJc w:val="left"/>
    </w:lvl>
  </w:abstractNum>
  <w:abstractNum w:abstractNumId="2">
    <w:nsid w:val="FFFFFF7C"/>
    <w:multiLevelType w:val="singleLevel"/>
    <w:tmpl w:val="FFFFFF7C"/>
    <w:lvl w:ilvl="0" w:tentative="0">
      <w:start w:val="1"/>
      <w:numFmt w:val="decimal"/>
      <w:pStyle w:val="57"/>
      <w:lvlText w:val="%1."/>
      <w:lvlJc w:val="left"/>
      <w:pPr>
        <w:tabs>
          <w:tab w:val="left" w:pos="2040"/>
        </w:tabs>
        <w:ind w:left="2040" w:leftChars="800" w:hanging="360" w:hangingChars="200"/>
      </w:pPr>
    </w:lvl>
  </w:abstractNum>
  <w:abstractNum w:abstractNumId="3">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4">
    <w:nsid w:val="12503483"/>
    <w:multiLevelType w:val="multilevel"/>
    <w:tmpl w:val="12503483"/>
    <w:lvl w:ilvl="0" w:tentative="0">
      <w:start w:val="1"/>
      <w:numFmt w:val="bullet"/>
      <w:pStyle w:val="105"/>
      <w:lvlText w:val=""/>
      <w:lvlJc w:val="left"/>
      <w:pPr>
        <w:tabs>
          <w:tab w:val="left" w:pos="420"/>
        </w:tabs>
        <w:ind w:left="420" w:hanging="420"/>
      </w:pPr>
      <w:rPr>
        <w:rFonts w:hint="default" w:ascii="Wingdings" w:hAnsi="Wingdings"/>
      </w:rPr>
    </w:lvl>
    <w:lvl w:ilvl="1" w:tentative="0">
      <w:start w:val="1"/>
      <w:numFmt w:val="bullet"/>
      <w:pStyle w:val="104"/>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160D20D0"/>
    <w:multiLevelType w:val="multilevel"/>
    <w:tmpl w:val="160D20D0"/>
    <w:lvl w:ilvl="0" w:tentative="0">
      <w:start w:val="1"/>
      <w:numFmt w:val="bullet"/>
      <w:pStyle w:val="73"/>
      <w:lvlText w:val=""/>
      <w:lvlJc w:val="left"/>
      <w:pPr>
        <w:tabs>
          <w:tab w:val="left" w:pos="840"/>
        </w:tabs>
        <w:ind w:left="840" w:hanging="420"/>
      </w:pPr>
      <w:rPr>
        <w:rFonts w:hint="default" w:ascii="Wingdings" w:hAnsi="Wingdings"/>
      </w:rPr>
    </w:lvl>
    <w:lvl w:ilvl="1" w:tentative="0">
      <w:start w:val="1"/>
      <w:numFmt w:val="bullet"/>
      <w:pStyle w:val="74"/>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6">
    <w:nsid w:val="2CCFBEDA"/>
    <w:multiLevelType w:val="singleLevel"/>
    <w:tmpl w:val="2CCFBEDA"/>
    <w:lvl w:ilvl="0" w:tentative="0">
      <w:start w:val="2"/>
      <w:numFmt w:val="decimal"/>
      <w:suff w:val="nothing"/>
      <w:lvlText w:val="%1、"/>
      <w:lvlJc w:val="left"/>
    </w:lvl>
  </w:abstractNum>
  <w:abstractNum w:abstractNumId="7">
    <w:nsid w:val="2F395B7B"/>
    <w:multiLevelType w:val="multilevel"/>
    <w:tmpl w:val="2F395B7B"/>
    <w:lvl w:ilvl="0" w:tentative="0">
      <w:start w:val="1"/>
      <w:numFmt w:val="bullet"/>
      <w:pStyle w:val="165"/>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8">
    <w:nsid w:val="7AEF7716"/>
    <w:multiLevelType w:val="multilevel"/>
    <w:tmpl w:val="7AEF7716"/>
    <w:lvl w:ilvl="0" w:tentative="0">
      <w:start w:val="1"/>
      <w:numFmt w:val="chineseCountingThousand"/>
      <w:pStyle w:val="118"/>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5"/>
  </w:num>
  <w:num w:numId="4">
    <w:abstractNumId w:val="4"/>
  </w:num>
  <w:num w:numId="5">
    <w:abstractNumId w:val="8"/>
  </w:num>
  <w:num w:numId="6">
    <w:abstractNumId w:val="7"/>
  </w:num>
  <w:num w:numId="7">
    <w:abstractNumId w:val="0"/>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doNotDisplayPageBoundaries w:val="true"/>
  <w:bordersDoNotSurroundHeader w:val="false"/>
  <w:bordersDoNotSurroundFooter w:val="false"/>
  <w:hideSpellingErrors/>
  <w:revisionView w:markup="0"/>
  <w:trackRevisions w:val="tru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kYjIyMjcxNTBjMWYzYTc1ZjMzMTRjZmMyNTg0MTIifQ=="/>
  </w:docVars>
  <w:rsids>
    <w:rsidRoot w:val="006C5683"/>
    <w:rsid w:val="00000AD9"/>
    <w:rsid w:val="000041AD"/>
    <w:rsid w:val="000043C0"/>
    <w:rsid w:val="000050CA"/>
    <w:rsid w:val="000051C6"/>
    <w:rsid w:val="00005215"/>
    <w:rsid w:val="00005A10"/>
    <w:rsid w:val="00005D3D"/>
    <w:rsid w:val="00006F7B"/>
    <w:rsid w:val="00007355"/>
    <w:rsid w:val="00007951"/>
    <w:rsid w:val="00007DB0"/>
    <w:rsid w:val="00010063"/>
    <w:rsid w:val="00010102"/>
    <w:rsid w:val="00011EA6"/>
    <w:rsid w:val="00012B21"/>
    <w:rsid w:val="0001300F"/>
    <w:rsid w:val="00013262"/>
    <w:rsid w:val="0001451A"/>
    <w:rsid w:val="0001480D"/>
    <w:rsid w:val="00014A5C"/>
    <w:rsid w:val="00015388"/>
    <w:rsid w:val="00015BDD"/>
    <w:rsid w:val="00015C88"/>
    <w:rsid w:val="00016D97"/>
    <w:rsid w:val="0001716B"/>
    <w:rsid w:val="00017F81"/>
    <w:rsid w:val="00020691"/>
    <w:rsid w:val="000211EA"/>
    <w:rsid w:val="000234B2"/>
    <w:rsid w:val="00025AE4"/>
    <w:rsid w:val="0002684B"/>
    <w:rsid w:val="00027645"/>
    <w:rsid w:val="00027DAC"/>
    <w:rsid w:val="000300AE"/>
    <w:rsid w:val="000300EE"/>
    <w:rsid w:val="000302B6"/>
    <w:rsid w:val="0003106D"/>
    <w:rsid w:val="00031700"/>
    <w:rsid w:val="00031F6E"/>
    <w:rsid w:val="0003277F"/>
    <w:rsid w:val="00032948"/>
    <w:rsid w:val="00032ACA"/>
    <w:rsid w:val="00032B0A"/>
    <w:rsid w:val="0003315D"/>
    <w:rsid w:val="00033DE7"/>
    <w:rsid w:val="0003541F"/>
    <w:rsid w:val="00035CD1"/>
    <w:rsid w:val="00036A2B"/>
    <w:rsid w:val="000377D2"/>
    <w:rsid w:val="00040D3C"/>
    <w:rsid w:val="00040E5A"/>
    <w:rsid w:val="00042897"/>
    <w:rsid w:val="00042C84"/>
    <w:rsid w:val="00043739"/>
    <w:rsid w:val="00043A89"/>
    <w:rsid w:val="00045739"/>
    <w:rsid w:val="00046D30"/>
    <w:rsid w:val="000510B6"/>
    <w:rsid w:val="00051133"/>
    <w:rsid w:val="00051F3F"/>
    <w:rsid w:val="000521D8"/>
    <w:rsid w:val="00052BC1"/>
    <w:rsid w:val="00053A89"/>
    <w:rsid w:val="00054D1F"/>
    <w:rsid w:val="0005582B"/>
    <w:rsid w:val="00056247"/>
    <w:rsid w:val="00056292"/>
    <w:rsid w:val="00056C11"/>
    <w:rsid w:val="00057302"/>
    <w:rsid w:val="00057332"/>
    <w:rsid w:val="0005785A"/>
    <w:rsid w:val="00057D00"/>
    <w:rsid w:val="00057DC0"/>
    <w:rsid w:val="00060B1F"/>
    <w:rsid w:val="0006267A"/>
    <w:rsid w:val="0006335B"/>
    <w:rsid w:val="00063C25"/>
    <w:rsid w:val="00064231"/>
    <w:rsid w:val="00064892"/>
    <w:rsid w:val="00064C7A"/>
    <w:rsid w:val="00066026"/>
    <w:rsid w:val="000661FF"/>
    <w:rsid w:val="00066537"/>
    <w:rsid w:val="0006660A"/>
    <w:rsid w:val="0006670C"/>
    <w:rsid w:val="00067960"/>
    <w:rsid w:val="0007003A"/>
    <w:rsid w:val="00070210"/>
    <w:rsid w:val="000707BF"/>
    <w:rsid w:val="00071FF0"/>
    <w:rsid w:val="0007277D"/>
    <w:rsid w:val="000734CD"/>
    <w:rsid w:val="00074403"/>
    <w:rsid w:val="00074CF0"/>
    <w:rsid w:val="000750DC"/>
    <w:rsid w:val="0007583C"/>
    <w:rsid w:val="00076057"/>
    <w:rsid w:val="000770EC"/>
    <w:rsid w:val="00081E95"/>
    <w:rsid w:val="00082667"/>
    <w:rsid w:val="00082AD2"/>
    <w:rsid w:val="00083DC6"/>
    <w:rsid w:val="000840D4"/>
    <w:rsid w:val="00084857"/>
    <w:rsid w:val="00084F26"/>
    <w:rsid w:val="0008503C"/>
    <w:rsid w:val="000850AF"/>
    <w:rsid w:val="000852EB"/>
    <w:rsid w:val="00086539"/>
    <w:rsid w:val="000869D8"/>
    <w:rsid w:val="00086CA6"/>
    <w:rsid w:val="00090213"/>
    <w:rsid w:val="000903AC"/>
    <w:rsid w:val="00092FC7"/>
    <w:rsid w:val="00093133"/>
    <w:rsid w:val="0009395E"/>
    <w:rsid w:val="00094603"/>
    <w:rsid w:val="000954D5"/>
    <w:rsid w:val="00095723"/>
    <w:rsid w:val="0009618D"/>
    <w:rsid w:val="0009709B"/>
    <w:rsid w:val="000975E3"/>
    <w:rsid w:val="00097DDA"/>
    <w:rsid w:val="000A1DD1"/>
    <w:rsid w:val="000A21A5"/>
    <w:rsid w:val="000A3908"/>
    <w:rsid w:val="000A4C29"/>
    <w:rsid w:val="000A5EA4"/>
    <w:rsid w:val="000A6E2B"/>
    <w:rsid w:val="000A79D3"/>
    <w:rsid w:val="000B05E2"/>
    <w:rsid w:val="000B0C99"/>
    <w:rsid w:val="000B0F8B"/>
    <w:rsid w:val="000B2213"/>
    <w:rsid w:val="000B2568"/>
    <w:rsid w:val="000B41BB"/>
    <w:rsid w:val="000B5357"/>
    <w:rsid w:val="000B5853"/>
    <w:rsid w:val="000B597F"/>
    <w:rsid w:val="000B634D"/>
    <w:rsid w:val="000B7465"/>
    <w:rsid w:val="000C14CB"/>
    <w:rsid w:val="000C18BC"/>
    <w:rsid w:val="000C1EE4"/>
    <w:rsid w:val="000C1FF9"/>
    <w:rsid w:val="000C21C4"/>
    <w:rsid w:val="000C4151"/>
    <w:rsid w:val="000C4425"/>
    <w:rsid w:val="000C4B12"/>
    <w:rsid w:val="000C4FCB"/>
    <w:rsid w:val="000C5EA0"/>
    <w:rsid w:val="000C5FA7"/>
    <w:rsid w:val="000C7E71"/>
    <w:rsid w:val="000D16AA"/>
    <w:rsid w:val="000D1A7D"/>
    <w:rsid w:val="000D2309"/>
    <w:rsid w:val="000D2CCA"/>
    <w:rsid w:val="000D366B"/>
    <w:rsid w:val="000D38F9"/>
    <w:rsid w:val="000D5D6B"/>
    <w:rsid w:val="000D62C8"/>
    <w:rsid w:val="000D76F9"/>
    <w:rsid w:val="000D7A20"/>
    <w:rsid w:val="000E0BFC"/>
    <w:rsid w:val="000E161C"/>
    <w:rsid w:val="000E266E"/>
    <w:rsid w:val="000E2B61"/>
    <w:rsid w:val="000E470B"/>
    <w:rsid w:val="000E4DE8"/>
    <w:rsid w:val="000E50F5"/>
    <w:rsid w:val="000E5906"/>
    <w:rsid w:val="000E5E99"/>
    <w:rsid w:val="000E73D9"/>
    <w:rsid w:val="000F0C3B"/>
    <w:rsid w:val="000F0E9F"/>
    <w:rsid w:val="000F1540"/>
    <w:rsid w:val="000F2065"/>
    <w:rsid w:val="000F256D"/>
    <w:rsid w:val="000F2A88"/>
    <w:rsid w:val="000F2C23"/>
    <w:rsid w:val="000F2D1B"/>
    <w:rsid w:val="000F3658"/>
    <w:rsid w:val="000F3697"/>
    <w:rsid w:val="000F3B37"/>
    <w:rsid w:val="000F3F12"/>
    <w:rsid w:val="000F4478"/>
    <w:rsid w:val="000F565B"/>
    <w:rsid w:val="000F5C6C"/>
    <w:rsid w:val="000F5F3F"/>
    <w:rsid w:val="00100425"/>
    <w:rsid w:val="00100570"/>
    <w:rsid w:val="00100C7B"/>
    <w:rsid w:val="0010184B"/>
    <w:rsid w:val="00101CE5"/>
    <w:rsid w:val="00101DD0"/>
    <w:rsid w:val="00102555"/>
    <w:rsid w:val="001029C0"/>
    <w:rsid w:val="00102B4B"/>
    <w:rsid w:val="00103AB9"/>
    <w:rsid w:val="00103E80"/>
    <w:rsid w:val="00104CC6"/>
    <w:rsid w:val="001061A4"/>
    <w:rsid w:val="00107187"/>
    <w:rsid w:val="00107272"/>
    <w:rsid w:val="00107D54"/>
    <w:rsid w:val="00110B62"/>
    <w:rsid w:val="001110F0"/>
    <w:rsid w:val="00111581"/>
    <w:rsid w:val="00111CEB"/>
    <w:rsid w:val="00111F8F"/>
    <w:rsid w:val="0011245C"/>
    <w:rsid w:val="00114BCB"/>
    <w:rsid w:val="0011500F"/>
    <w:rsid w:val="00115A55"/>
    <w:rsid w:val="0011665D"/>
    <w:rsid w:val="00116AAC"/>
    <w:rsid w:val="0011754F"/>
    <w:rsid w:val="00117D55"/>
    <w:rsid w:val="001204B2"/>
    <w:rsid w:val="001212EF"/>
    <w:rsid w:val="001217DC"/>
    <w:rsid w:val="00121F81"/>
    <w:rsid w:val="0012203F"/>
    <w:rsid w:val="00123CC6"/>
    <w:rsid w:val="00125689"/>
    <w:rsid w:val="00125C8A"/>
    <w:rsid w:val="001261FC"/>
    <w:rsid w:val="00126CD7"/>
    <w:rsid w:val="001306FE"/>
    <w:rsid w:val="00130827"/>
    <w:rsid w:val="001308A2"/>
    <w:rsid w:val="00131140"/>
    <w:rsid w:val="00132FD3"/>
    <w:rsid w:val="00133A61"/>
    <w:rsid w:val="001341E8"/>
    <w:rsid w:val="001362BD"/>
    <w:rsid w:val="0013673A"/>
    <w:rsid w:val="00137F86"/>
    <w:rsid w:val="001410EB"/>
    <w:rsid w:val="00141B41"/>
    <w:rsid w:val="00143554"/>
    <w:rsid w:val="00143653"/>
    <w:rsid w:val="00143934"/>
    <w:rsid w:val="00143B3A"/>
    <w:rsid w:val="00143E43"/>
    <w:rsid w:val="00143FFC"/>
    <w:rsid w:val="001453B3"/>
    <w:rsid w:val="00146ABB"/>
    <w:rsid w:val="00147338"/>
    <w:rsid w:val="00147A48"/>
    <w:rsid w:val="00150143"/>
    <w:rsid w:val="001509AB"/>
    <w:rsid w:val="00152E91"/>
    <w:rsid w:val="00153C18"/>
    <w:rsid w:val="0015460B"/>
    <w:rsid w:val="001566E7"/>
    <w:rsid w:val="00156CA9"/>
    <w:rsid w:val="00157465"/>
    <w:rsid w:val="0015771E"/>
    <w:rsid w:val="00157E23"/>
    <w:rsid w:val="00157FC3"/>
    <w:rsid w:val="00160ACE"/>
    <w:rsid w:val="00161C4F"/>
    <w:rsid w:val="00161C84"/>
    <w:rsid w:val="00161F2A"/>
    <w:rsid w:val="00161FDF"/>
    <w:rsid w:val="001626BD"/>
    <w:rsid w:val="00162C33"/>
    <w:rsid w:val="0016340E"/>
    <w:rsid w:val="001645C4"/>
    <w:rsid w:val="00164E23"/>
    <w:rsid w:val="0016595F"/>
    <w:rsid w:val="00166A2C"/>
    <w:rsid w:val="00166BF2"/>
    <w:rsid w:val="00166CC3"/>
    <w:rsid w:val="00166F71"/>
    <w:rsid w:val="00170A9E"/>
    <w:rsid w:val="0017121A"/>
    <w:rsid w:val="00171401"/>
    <w:rsid w:val="00171777"/>
    <w:rsid w:val="001719FB"/>
    <w:rsid w:val="00172664"/>
    <w:rsid w:val="0017270B"/>
    <w:rsid w:val="00172B65"/>
    <w:rsid w:val="00172EF5"/>
    <w:rsid w:val="001732E1"/>
    <w:rsid w:val="00175189"/>
    <w:rsid w:val="00175D12"/>
    <w:rsid w:val="0017613E"/>
    <w:rsid w:val="00177167"/>
    <w:rsid w:val="00177F97"/>
    <w:rsid w:val="00180411"/>
    <w:rsid w:val="00181A71"/>
    <w:rsid w:val="0018261B"/>
    <w:rsid w:val="001834A7"/>
    <w:rsid w:val="0018373B"/>
    <w:rsid w:val="00183B40"/>
    <w:rsid w:val="00183C79"/>
    <w:rsid w:val="00183C8B"/>
    <w:rsid w:val="00183E75"/>
    <w:rsid w:val="001845CF"/>
    <w:rsid w:val="00185A98"/>
    <w:rsid w:val="001865BB"/>
    <w:rsid w:val="00187518"/>
    <w:rsid w:val="00187743"/>
    <w:rsid w:val="00187CEC"/>
    <w:rsid w:val="0019096C"/>
    <w:rsid w:val="00191EA7"/>
    <w:rsid w:val="00192164"/>
    <w:rsid w:val="00193EB7"/>
    <w:rsid w:val="00194ACA"/>
    <w:rsid w:val="00194C98"/>
    <w:rsid w:val="00194FB7"/>
    <w:rsid w:val="00196B4E"/>
    <w:rsid w:val="001975A1"/>
    <w:rsid w:val="001A027A"/>
    <w:rsid w:val="001A08E4"/>
    <w:rsid w:val="001A0D2C"/>
    <w:rsid w:val="001A11D8"/>
    <w:rsid w:val="001A12B5"/>
    <w:rsid w:val="001A174B"/>
    <w:rsid w:val="001A1C72"/>
    <w:rsid w:val="001A2976"/>
    <w:rsid w:val="001A3980"/>
    <w:rsid w:val="001A422B"/>
    <w:rsid w:val="001A440A"/>
    <w:rsid w:val="001A47C6"/>
    <w:rsid w:val="001A4A55"/>
    <w:rsid w:val="001A5C6F"/>
    <w:rsid w:val="001A61D0"/>
    <w:rsid w:val="001A6A4F"/>
    <w:rsid w:val="001A76B7"/>
    <w:rsid w:val="001B015C"/>
    <w:rsid w:val="001B1339"/>
    <w:rsid w:val="001B1B58"/>
    <w:rsid w:val="001B1F55"/>
    <w:rsid w:val="001B2049"/>
    <w:rsid w:val="001B2934"/>
    <w:rsid w:val="001B4A37"/>
    <w:rsid w:val="001B4BB2"/>
    <w:rsid w:val="001B6FAD"/>
    <w:rsid w:val="001C04B2"/>
    <w:rsid w:val="001C1FDE"/>
    <w:rsid w:val="001C2063"/>
    <w:rsid w:val="001C21E1"/>
    <w:rsid w:val="001C3426"/>
    <w:rsid w:val="001C4768"/>
    <w:rsid w:val="001C5839"/>
    <w:rsid w:val="001C6431"/>
    <w:rsid w:val="001C6AF6"/>
    <w:rsid w:val="001C7129"/>
    <w:rsid w:val="001C77E1"/>
    <w:rsid w:val="001C7ADA"/>
    <w:rsid w:val="001D0FD3"/>
    <w:rsid w:val="001D121D"/>
    <w:rsid w:val="001D1C29"/>
    <w:rsid w:val="001D3543"/>
    <w:rsid w:val="001D35FD"/>
    <w:rsid w:val="001D3B85"/>
    <w:rsid w:val="001D3DF1"/>
    <w:rsid w:val="001D4151"/>
    <w:rsid w:val="001D4BB9"/>
    <w:rsid w:val="001D501B"/>
    <w:rsid w:val="001D58E5"/>
    <w:rsid w:val="001D5EAE"/>
    <w:rsid w:val="001E07AA"/>
    <w:rsid w:val="001E0FAB"/>
    <w:rsid w:val="001E2502"/>
    <w:rsid w:val="001E292F"/>
    <w:rsid w:val="001E351C"/>
    <w:rsid w:val="001E38F8"/>
    <w:rsid w:val="001E474D"/>
    <w:rsid w:val="001E506D"/>
    <w:rsid w:val="001E5194"/>
    <w:rsid w:val="001E5A81"/>
    <w:rsid w:val="001E62FB"/>
    <w:rsid w:val="001E6A0B"/>
    <w:rsid w:val="001E6B23"/>
    <w:rsid w:val="001E77DA"/>
    <w:rsid w:val="001E7A2F"/>
    <w:rsid w:val="001E7AB0"/>
    <w:rsid w:val="001E7DD0"/>
    <w:rsid w:val="001F0349"/>
    <w:rsid w:val="001F077B"/>
    <w:rsid w:val="001F0B74"/>
    <w:rsid w:val="001F2648"/>
    <w:rsid w:val="001F41B9"/>
    <w:rsid w:val="001F4BE8"/>
    <w:rsid w:val="001F4EB8"/>
    <w:rsid w:val="001F560A"/>
    <w:rsid w:val="001F6318"/>
    <w:rsid w:val="001F65B1"/>
    <w:rsid w:val="001F6B83"/>
    <w:rsid w:val="001F6F6A"/>
    <w:rsid w:val="001F7595"/>
    <w:rsid w:val="001F7FE7"/>
    <w:rsid w:val="002000B8"/>
    <w:rsid w:val="00200B4C"/>
    <w:rsid w:val="0020303B"/>
    <w:rsid w:val="00203267"/>
    <w:rsid w:val="00203897"/>
    <w:rsid w:val="0020391D"/>
    <w:rsid w:val="00205CDC"/>
    <w:rsid w:val="00205F9C"/>
    <w:rsid w:val="002060F7"/>
    <w:rsid w:val="00207BC6"/>
    <w:rsid w:val="00210771"/>
    <w:rsid w:val="00210C22"/>
    <w:rsid w:val="00211885"/>
    <w:rsid w:val="00212ADF"/>
    <w:rsid w:val="00212B9E"/>
    <w:rsid w:val="002134CF"/>
    <w:rsid w:val="00213A60"/>
    <w:rsid w:val="0021429B"/>
    <w:rsid w:val="00215699"/>
    <w:rsid w:val="002159DE"/>
    <w:rsid w:val="00215B1C"/>
    <w:rsid w:val="00215E99"/>
    <w:rsid w:val="0021667D"/>
    <w:rsid w:val="002166A1"/>
    <w:rsid w:val="002166A6"/>
    <w:rsid w:val="00216BB6"/>
    <w:rsid w:val="0022048B"/>
    <w:rsid w:val="0022175C"/>
    <w:rsid w:val="00221D76"/>
    <w:rsid w:val="00222261"/>
    <w:rsid w:val="00223AB6"/>
    <w:rsid w:val="00223AC8"/>
    <w:rsid w:val="00223C96"/>
    <w:rsid w:val="00224852"/>
    <w:rsid w:val="00225935"/>
    <w:rsid w:val="0022634D"/>
    <w:rsid w:val="00226437"/>
    <w:rsid w:val="0022711A"/>
    <w:rsid w:val="00227512"/>
    <w:rsid w:val="0022766E"/>
    <w:rsid w:val="002278D5"/>
    <w:rsid w:val="00227C13"/>
    <w:rsid w:val="00227D49"/>
    <w:rsid w:val="00227FC7"/>
    <w:rsid w:val="00230C3C"/>
    <w:rsid w:val="00230F66"/>
    <w:rsid w:val="00233A54"/>
    <w:rsid w:val="00234440"/>
    <w:rsid w:val="002347C9"/>
    <w:rsid w:val="00235A73"/>
    <w:rsid w:val="00236E72"/>
    <w:rsid w:val="002411BD"/>
    <w:rsid w:val="00244711"/>
    <w:rsid w:val="00244AE4"/>
    <w:rsid w:val="00245EBE"/>
    <w:rsid w:val="00246C63"/>
    <w:rsid w:val="002472C1"/>
    <w:rsid w:val="002473F4"/>
    <w:rsid w:val="00250600"/>
    <w:rsid w:val="002506E1"/>
    <w:rsid w:val="00250F42"/>
    <w:rsid w:val="00252934"/>
    <w:rsid w:val="00252EBA"/>
    <w:rsid w:val="0025361A"/>
    <w:rsid w:val="002545EF"/>
    <w:rsid w:val="00254B44"/>
    <w:rsid w:val="00254E99"/>
    <w:rsid w:val="00255B9B"/>
    <w:rsid w:val="002562E9"/>
    <w:rsid w:val="00256596"/>
    <w:rsid w:val="0026027A"/>
    <w:rsid w:val="00260533"/>
    <w:rsid w:val="002605CE"/>
    <w:rsid w:val="00261367"/>
    <w:rsid w:val="00261A54"/>
    <w:rsid w:val="00261C21"/>
    <w:rsid w:val="00261D37"/>
    <w:rsid w:val="00262D6B"/>
    <w:rsid w:val="00262ED0"/>
    <w:rsid w:val="00263607"/>
    <w:rsid w:val="002638EE"/>
    <w:rsid w:val="00264965"/>
    <w:rsid w:val="002656E1"/>
    <w:rsid w:val="00265CFF"/>
    <w:rsid w:val="002662AC"/>
    <w:rsid w:val="002707F2"/>
    <w:rsid w:val="00270B4E"/>
    <w:rsid w:val="00271500"/>
    <w:rsid w:val="00272E57"/>
    <w:rsid w:val="002734A9"/>
    <w:rsid w:val="00274663"/>
    <w:rsid w:val="00275641"/>
    <w:rsid w:val="0027569A"/>
    <w:rsid w:val="002767D9"/>
    <w:rsid w:val="0027757E"/>
    <w:rsid w:val="00280184"/>
    <w:rsid w:val="00280F4B"/>
    <w:rsid w:val="00281152"/>
    <w:rsid w:val="002821E9"/>
    <w:rsid w:val="002827D2"/>
    <w:rsid w:val="00283488"/>
    <w:rsid w:val="002835B7"/>
    <w:rsid w:val="0028361E"/>
    <w:rsid w:val="00284B7C"/>
    <w:rsid w:val="00284C1F"/>
    <w:rsid w:val="002851AF"/>
    <w:rsid w:val="00286129"/>
    <w:rsid w:val="0028787B"/>
    <w:rsid w:val="00287E1B"/>
    <w:rsid w:val="00290263"/>
    <w:rsid w:val="002908A7"/>
    <w:rsid w:val="00291768"/>
    <w:rsid w:val="00291796"/>
    <w:rsid w:val="00292C52"/>
    <w:rsid w:val="00292F66"/>
    <w:rsid w:val="0029315D"/>
    <w:rsid w:val="00293A33"/>
    <w:rsid w:val="0029449E"/>
    <w:rsid w:val="0029488D"/>
    <w:rsid w:val="00294E82"/>
    <w:rsid w:val="002951FD"/>
    <w:rsid w:val="0029530C"/>
    <w:rsid w:val="00296020"/>
    <w:rsid w:val="0029693F"/>
    <w:rsid w:val="002969C6"/>
    <w:rsid w:val="00296F46"/>
    <w:rsid w:val="00296F8A"/>
    <w:rsid w:val="00297AD1"/>
    <w:rsid w:val="00297CCD"/>
    <w:rsid w:val="002A11CE"/>
    <w:rsid w:val="002A13E2"/>
    <w:rsid w:val="002A180F"/>
    <w:rsid w:val="002A199B"/>
    <w:rsid w:val="002A1B36"/>
    <w:rsid w:val="002A2BC2"/>
    <w:rsid w:val="002A37E6"/>
    <w:rsid w:val="002A409A"/>
    <w:rsid w:val="002A4BFA"/>
    <w:rsid w:val="002A4D7B"/>
    <w:rsid w:val="002A4DFC"/>
    <w:rsid w:val="002B0660"/>
    <w:rsid w:val="002B1286"/>
    <w:rsid w:val="002B18D6"/>
    <w:rsid w:val="002B1B98"/>
    <w:rsid w:val="002B22D4"/>
    <w:rsid w:val="002B3259"/>
    <w:rsid w:val="002B3984"/>
    <w:rsid w:val="002B4595"/>
    <w:rsid w:val="002B45EE"/>
    <w:rsid w:val="002B4BF3"/>
    <w:rsid w:val="002B55C8"/>
    <w:rsid w:val="002B5E4B"/>
    <w:rsid w:val="002B660D"/>
    <w:rsid w:val="002B7969"/>
    <w:rsid w:val="002C0031"/>
    <w:rsid w:val="002C0485"/>
    <w:rsid w:val="002C0762"/>
    <w:rsid w:val="002C0C86"/>
    <w:rsid w:val="002C1397"/>
    <w:rsid w:val="002C257A"/>
    <w:rsid w:val="002C2BEC"/>
    <w:rsid w:val="002C30C0"/>
    <w:rsid w:val="002C4F4B"/>
    <w:rsid w:val="002C6EC0"/>
    <w:rsid w:val="002C7A58"/>
    <w:rsid w:val="002D0356"/>
    <w:rsid w:val="002D07C0"/>
    <w:rsid w:val="002D0F98"/>
    <w:rsid w:val="002D1DFB"/>
    <w:rsid w:val="002D45BF"/>
    <w:rsid w:val="002D4A85"/>
    <w:rsid w:val="002D4B65"/>
    <w:rsid w:val="002D6162"/>
    <w:rsid w:val="002D64DF"/>
    <w:rsid w:val="002D71EF"/>
    <w:rsid w:val="002E00F3"/>
    <w:rsid w:val="002E242E"/>
    <w:rsid w:val="002E255F"/>
    <w:rsid w:val="002E2CED"/>
    <w:rsid w:val="002E2FEC"/>
    <w:rsid w:val="002E38DB"/>
    <w:rsid w:val="002E4AB1"/>
    <w:rsid w:val="002E4F8A"/>
    <w:rsid w:val="002E505D"/>
    <w:rsid w:val="002E73B8"/>
    <w:rsid w:val="002F0823"/>
    <w:rsid w:val="002F0F0F"/>
    <w:rsid w:val="002F113B"/>
    <w:rsid w:val="002F2471"/>
    <w:rsid w:val="002F2B7A"/>
    <w:rsid w:val="002F3105"/>
    <w:rsid w:val="002F4864"/>
    <w:rsid w:val="002F5E6C"/>
    <w:rsid w:val="002F6DD7"/>
    <w:rsid w:val="002F72FF"/>
    <w:rsid w:val="002F7987"/>
    <w:rsid w:val="002F79D4"/>
    <w:rsid w:val="003005C9"/>
    <w:rsid w:val="00300BF3"/>
    <w:rsid w:val="0030143F"/>
    <w:rsid w:val="00301BCD"/>
    <w:rsid w:val="003024C7"/>
    <w:rsid w:val="00303636"/>
    <w:rsid w:val="00303ACF"/>
    <w:rsid w:val="0030463E"/>
    <w:rsid w:val="003047AB"/>
    <w:rsid w:val="00304ED6"/>
    <w:rsid w:val="0030661C"/>
    <w:rsid w:val="00306D5D"/>
    <w:rsid w:val="00306FF4"/>
    <w:rsid w:val="003074C6"/>
    <w:rsid w:val="00307A08"/>
    <w:rsid w:val="0031060A"/>
    <w:rsid w:val="00310EE1"/>
    <w:rsid w:val="00311901"/>
    <w:rsid w:val="003122B0"/>
    <w:rsid w:val="00312390"/>
    <w:rsid w:val="003138EB"/>
    <w:rsid w:val="003139DD"/>
    <w:rsid w:val="0031450D"/>
    <w:rsid w:val="00315880"/>
    <w:rsid w:val="00315A06"/>
    <w:rsid w:val="0031678B"/>
    <w:rsid w:val="0031683C"/>
    <w:rsid w:val="00317146"/>
    <w:rsid w:val="003176EA"/>
    <w:rsid w:val="00317D36"/>
    <w:rsid w:val="00321473"/>
    <w:rsid w:val="003225FB"/>
    <w:rsid w:val="00323A7C"/>
    <w:rsid w:val="00323BE9"/>
    <w:rsid w:val="00323C32"/>
    <w:rsid w:val="00323CC7"/>
    <w:rsid w:val="003241C6"/>
    <w:rsid w:val="003242A8"/>
    <w:rsid w:val="00324827"/>
    <w:rsid w:val="00324A1D"/>
    <w:rsid w:val="00324C55"/>
    <w:rsid w:val="003250B4"/>
    <w:rsid w:val="00325607"/>
    <w:rsid w:val="00325742"/>
    <w:rsid w:val="0032631C"/>
    <w:rsid w:val="00327AB3"/>
    <w:rsid w:val="00327F9E"/>
    <w:rsid w:val="00330527"/>
    <w:rsid w:val="003318A6"/>
    <w:rsid w:val="00331D51"/>
    <w:rsid w:val="003321A8"/>
    <w:rsid w:val="00332EB1"/>
    <w:rsid w:val="003331BB"/>
    <w:rsid w:val="00333E63"/>
    <w:rsid w:val="00334044"/>
    <w:rsid w:val="0033497C"/>
    <w:rsid w:val="00334C1F"/>
    <w:rsid w:val="00334FA0"/>
    <w:rsid w:val="00335188"/>
    <w:rsid w:val="00335234"/>
    <w:rsid w:val="003373B8"/>
    <w:rsid w:val="00340402"/>
    <w:rsid w:val="003413F4"/>
    <w:rsid w:val="00342DC1"/>
    <w:rsid w:val="00342EF7"/>
    <w:rsid w:val="003432B6"/>
    <w:rsid w:val="00343F41"/>
    <w:rsid w:val="0034427F"/>
    <w:rsid w:val="00344BF3"/>
    <w:rsid w:val="00345CC1"/>
    <w:rsid w:val="00345EA7"/>
    <w:rsid w:val="00345F52"/>
    <w:rsid w:val="0034629D"/>
    <w:rsid w:val="0034652C"/>
    <w:rsid w:val="00346606"/>
    <w:rsid w:val="00346B62"/>
    <w:rsid w:val="00346E73"/>
    <w:rsid w:val="00350219"/>
    <w:rsid w:val="00350368"/>
    <w:rsid w:val="0035067B"/>
    <w:rsid w:val="00350B6E"/>
    <w:rsid w:val="00351A4A"/>
    <w:rsid w:val="00351D95"/>
    <w:rsid w:val="00351E32"/>
    <w:rsid w:val="00351FB4"/>
    <w:rsid w:val="00352E52"/>
    <w:rsid w:val="00353860"/>
    <w:rsid w:val="00353C7B"/>
    <w:rsid w:val="00354CD9"/>
    <w:rsid w:val="003556C1"/>
    <w:rsid w:val="00355EEE"/>
    <w:rsid w:val="00356B23"/>
    <w:rsid w:val="00360494"/>
    <w:rsid w:val="00360C00"/>
    <w:rsid w:val="00360E7E"/>
    <w:rsid w:val="00361935"/>
    <w:rsid w:val="003626AE"/>
    <w:rsid w:val="003632AA"/>
    <w:rsid w:val="0036508D"/>
    <w:rsid w:val="003651C8"/>
    <w:rsid w:val="0036548D"/>
    <w:rsid w:val="00366321"/>
    <w:rsid w:val="003669F1"/>
    <w:rsid w:val="00366F10"/>
    <w:rsid w:val="003700A3"/>
    <w:rsid w:val="003706AA"/>
    <w:rsid w:val="00370B40"/>
    <w:rsid w:val="00371C15"/>
    <w:rsid w:val="003720AD"/>
    <w:rsid w:val="00372CDF"/>
    <w:rsid w:val="0037330D"/>
    <w:rsid w:val="00373411"/>
    <w:rsid w:val="00373D40"/>
    <w:rsid w:val="00373F52"/>
    <w:rsid w:val="003741F6"/>
    <w:rsid w:val="00374A29"/>
    <w:rsid w:val="00374FA4"/>
    <w:rsid w:val="003756C6"/>
    <w:rsid w:val="00375EFF"/>
    <w:rsid w:val="00376E35"/>
    <w:rsid w:val="003773E4"/>
    <w:rsid w:val="00377F6C"/>
    <w:rsid w:val="00380094"/>
    <w:rsid w:val="00380256"/>
    <w:rsid w:val="0038165D"/>
    <w:rsid w:val="00381812"/>
    <w:rsid w:val="00383071"/>
    <w:rsid w:val="00383BBC"/>
    <w:rsid w:val="0038418D"/>
    <w:rsid w:val="003849DF"/>
    <w:rsid w:val="00385444"/>
    <w:rsid w:val="00385717"/>
    <w:rsid w:val="00385C8D"/>
    <w:rsid w:val="00385F39"/>
    <w:rsid w:val="00386070"/>
    <w:rsid w:val="003900A5"/>
    <w:rsid w:val="00390941"/>
    <w:rsid w:val="003917AD"/>
    <w:rsid w:val="00391FAB"/>
    <w:rsid w:val="00392539"/>
    <w:rsid w:val="00392677"/>
    <w:rsid w:val="00393431"/>
    <w:rsid w:val="00393633"/>
    <w:rsid w:val="00393B41"/>
    <w:rsid w:val="003945E2"/>
    <w:rsid w:val="00394981"/>
    <w:rsid w:val="003953A8"/>
    <w:rsid w:val="003958E6"/>
    <w:rsid w:val="00395D76"/>
    <w:rsid w:val="00396986"/>
    <w:rsid w:val="00396F7B"/>
    <w:rsid w:val="00396FA3"/>
    <w:rsid w:val="00397077"/>
    <w:rsid w:val="0039788E"/>
    <w:rsid w:val="00397BCF"/>
    <w:rsid w:val="00397F0D"/>
    <w:rsid w:val="003A0DC3"/>
    <w:rsid w:val="003A1CF5"/>
    <w:rsid w:val="003A2812"/>
    <w:rsid w:val="003A2D0C"/>
    <w:rsid w:val="003A3298"/>
    <w:rsid w:val="003A3304"/>
    <w:rsid w:val="003A3551"/>
    <w:rsid w:val="003A38F0"/>
    <w:rsid w:val="003A443D"/>
    <w:rsid w:val="003A4708"/>
    <w:rsid w:val="003A4BAB"/>
    <w:rsid w:val="003A6A5A"/>
    <w:rsid w:val="003A72E9"/>
    <w:rsid w:val="003B06AD"/>
    <w:rsid w:val="003B06B9"/>
    <w:rsid w:val="003B0979"/>
    <w:rsid w:val="003B15E9"/>
    <w:rsid w:val="003B175A"/>
    <w:rsid w:val="003B3231"/>
    <w:rsid w:val="003B357A"/>
    <w:rsid w:val="003B4714"/>
    <w:rsid w:val="003B499C"/>
    <w:rsid w:val="003B4CCD"/>
    <w:rsid w:val="003B53D4"/>
    <w:rsid w:val="003B7298"/>
    <w:rsid w:val="003C0036"/>
    <w:rsid w:val="003C0FF8"/>
    <w:rsid w:val="003C43DA"/>
    <w:rsid w:val="003C4FD5"/>
    <w:rsid w:val="003C5585"/>
    <w:rsid w:val="003C57DD"/>
    <w:rsid w:val="003C582B"/>
    <w:rsid w:val="003C614D"/>
    <w:rsid w:val="003C77E9"/>
    <w:rsid w:val="003D152F"/>
    <w:rsid w:val="003D19EE"/>
    <w:rsid w:val="003D2333"/>
    <w:rsid w:val="003D2374"/>
    <w:rsid w:val="003D2B3A"/>
    <w:rsid w:val="003D3241"/>
    <w:rsid w:val="003D4804"/>
    <w:rsid w:val="003D5413"/>
    <w:rsid w:val="003D73E4"/>
    <w:rsid w:val="003D7685"/>
    <w:rsid w:val="003D7E9A"/>
    <w:rsid w:val="003E0366"/>
    <w:rsid w:val="003E100C"/>
    <w:rsid w:val="003E1678"/>
    <w:rsid w:val="003E2FFE"/>
    <w:rsid w:val="003E37AA"/>
    <w:rsid w:val="003E37BB"/>
    <w:rsid w:val="003E3871"/>
    <w:rsid w:val="003E411A"/>
    <w:rsid w:val="003E4310"/>
    <w:rsid w:val="003E47DE"/>
    <w:rsid w:val="003E4FFA"/>
    <w:rsid w:val="003E6E11"/>
    <w:rsid w:val="003E7BA8"/>
    <w:rsid w:val="003F0536"/>
    <w:rsid w:val="003F10D3"/>
    <w:rsid w:val="003F1548"/>
    <w:rsid w:val="003F2B3D"/>
    <w:rsid w:val="003F2EDF"/>
    <w:rsid w:val="003F3105"/>
    <w:rsid w:val="003F3BBA"/>
    <w:rsid w:val="003F3C44"/>
    <w:rsid w:val="003F4172"/>
    <w:rsid w:val="003F4249"/>
    <w:rsid w:val="003F4E3B"/>
    <w:rsid w:val="003F5086"/>
    <w:rsid w:val="003F5108"/>
    <w:rsid w:val="003F5D2C"/>
    <w:rsid w:val="003F64BC"/>
    <w:rsid w:val="003F6CAF"/>
    <w:rsid w:val="003F7679"/>
    <w:rsid w:val="004001D3"/>
    <w:rsid w:val="00400C13"/>
    <w:rsid w:val="00401A86"/>
    <w:rsid w:val="00401E65"/>
    <w:rsid w:val="00402311"/>
    <w:rsid w:val="0040239F"/>
    <w:rsid w:val="00402C97"/>
    <w:rsid w:val="00403364"/>
    <w:rsid w:val="00403411"/>
    <w:rsid w:val="004038BE"/>
    <w:rsid w:val="0040415C"/>
    <w:rsid w:val="00404AA4"/>
    <w:rsid w:val="00404C61"/>
    <w:rsid w:val="004050C9"/>
    <w:rsid w:val="004051F0"/>
    <w:rsid w:val="00406314"/>
    <w:rsid w:val="00406376"/>
    <w:rsid w:val="00406389"/>
    <w:rsid w:val="004063C0"/>
    <w:rsid w:val="00406896"/>
    <w:rsid w:val="00411B37"/>
    <w:rsid w:val="004125ED"/>
    <w:rsid w:val="00412B4D"/>
    <w:rsid w:val="00413B39"/>
    <w:rsid w:val="00413D4D"/>
    <w:rsid w:val="0041450E"/>
    <w:rsid w:val="0041456E"/>
    <w:rsid w:val="00414BE5"/>
    <w:rsid w:val="00415370"/>
    <w:rsid w:val="00415781"/>
    <w:rsid w:val="00416485"/>
    <w:rsid w:val="00416F40"/>
    <w:rsid w:val="00417769"/>
    <w:rsid w:val="00417F0D"/>
    <w:rsid w:val="00421795"/>
    <w:rsid w:val="00421EF2"/>
    <w:rsid w:val="00422668"/>
    <w:rsid w:val="004252CD"/>
    <w:rsid w:val="0042602D"/>
    <w:rsid w:val="00427004"/>
    <w:rsid w:val="0042772E"/>
    <w:rsid w:val="00430CF3"/>
    <w:rsid w:val="00431AC1"/>
    <w:rsid w:val="00431DE1"/>
    <w:rsid w:val="004329C9"/>
    <w:rsid w:val="00432CD5"/>
    <w:rsid w:val="00433CDB"/>
    <w:rsid w:val="00435D29"/>
    <w:rsid w:val="00435E5A"/>
    <w:rsid w:val="004363FA"/>
    <w:rsid w:val="004364CC"/>
    <w:rsid w:val="00436829"/>
    <w:rsid w:val="00436C29"/>
    <w:rsid w:val="00437141"/>
    <w:rsid w:val="004405B0"/>
    <w:rsid w:val="00441905"/>
    <w:rsid w:val="00441FF9"/>
    <w:rsid w:val="0044382F"/>
    <w:rsid w:val="00443B96"/>
    <w:rsid w:val="00443E1D"/>
    <w:rsid w:val="004442EB"/>
    <w:rsid w:val="00444FA3"/>
    <w:rsid w:val="00446553"/>
    <w:rsid w:val="004466DA"/>
    <w:rsid w:val="00446A92"/>
    <w:rsid w:val="00446CEB"/>
    <w:rsid w:val="00447664"/>
    <w:rsid w:val="004501B4"/>
    <w:rsid w:val="0045082F"/>
    <w:rsid w:val="00450C00"/>
    <w:rsid w:val="0045135E"/>
    <w:rsid w:val="004522E5"/>
    <w:rsid w:val="00452434"/>
    <w:rsid w:val="00452C53"/>
    <w:rsid w:val="004539C7"/>
    <w:rsid w:val="00453F8A"/>
    <w:rsid w:val="00454597"/>
    <w:rsid w:val="004548E6"/>
    <w:rsid w:val="0045543A"/>
    <w:rsid w:val="00455880"/>
    <w:rsid w:val="00455D1D"/>
    <w:rsid w:val="004561F9"/>
    <w:rsid w:val="0045637C"/>
    <w:rsid w:val="004569A3"/>
    <w:rsid w:val="00456A7F"/>
    <w:rsid w:val="004578ED"/>
    <w:rsid w:val="004611B6"/>
    <w:rsid w:val="00461997"/>
    <w:rsid w:val="00463F8B"/>
    <w:rsid w:val="004649AD"/>
    <w:rsid w:val="004650E7"/>
    <w:rsid w:val="0046687B"/>
    <w:rsid w:val="004674FB"/>
    <w:rsid w:val="00470418"/>
    <w:rsid w:val="004704DA"/>
    <w:rsid w:val="004704EA"/>
    <w:rsid w:val="0047056A"/>
    <w:rsid w:val="0047071D"/>
    <w:rsid w:val="00471464"/>
    <w:rsid w:val="004727C4"/>
    <w:rsid w:val="00473579"/>
    <w:rsid w:val="00474E5A"/>
    <w:rsid w:val="004754AE"/>
    <w:rsid w:val="0047558F"/>
    <w:rsid w:val="0047561A"/>
    <w:rsid w:val="00475FD5"/>
    <w:rsid w:val="0047770B"/>
    <w:rsid w:val="00477AFC"/>
    <w:rsid w:val="004812F4"/>
    <w:rsid w:val="0048231B"/>
    <w:rsid w:val="00482BD9"/>
    <w:rsid w:val="004838D4"/>
    <w:rsid w:val="004845AC"/>
    <w:rsid w:val="00484C31"/>
    <w:rsid w:val="00485E3C"/>
    <w:rsid w:val="00486F09"/>
    <w:rsid w:val="004877FB"/>
    <w:rsid w:val="004906DB"/>
    <w:rsid w:val="00490C0F"/>
    <w:rsid w:val="00491FF2"/>
    <w:rsid w:val="004925EE"/>
    <w:rsid w:val="00492735"/>
    <w:rsid w:val="004945E8"/>
    <w:rsid w:val="004946D8"/>
    <w:rsid w:val="00494FC9"/>
    <w:rsid w:val="00495228"/>
    <w:rsid w:val="004963B6"/>
    <w:rsid w:val="00497252"/>
    <w:rsid w:val="0049795E"/>
    <w:rsid w:val="004A1808"/>
    <w:rsid w:val="004A2013"/>
    <w:rsid w:val="004A201B"/>
    <w:rsid w:val="004A2B7A"/>
    <w:rsid w:val="004A3EB3"/>
    <w:rsid w:val="004A4377"/>
    <w:rsid w:val="004A4A51"/>
    <w:rsid w:val="004A57EB"/>
    <w:rsid w:val="004A5824"/>
    <w:rsid w:val="004A59D3"/>
    <w:rsid w:val="004A6D7C"/>
    <w:rsid w:val="004A6F11"/>
    <w:rsid w:val="004A74DD"/>
    <w:rsid w:val="004A7855"/>
    <w:rsid w:val="004B00D1"/>
    <w:rsid w:val="004B0B57"/>
    <w:rsid w:val="004B1278"/>
    <w:rsid w:val="004B1CAB"/>
    <w:rsid w:val="004B2FF9"/>
    <w:rsid w:val="004B3506"/>
    <w:rsid w:val="004B36ED"/>
    <w:rsid w:val="004B3D73"/>
    <w:rsid w:val="004B40DB"/>
    <w:rsid w:val="004B4EF6"/>
    <w:rsid w:val="004B612E"/>
    <w:rsid w:val="004B623B"/>
    <w:rsid w:val="004B6554"/>
    <w:rsid w:val="004B6B22"/>
    <w:rsid w:val="004B6C50"/>
    <w:rsid w:val="004B77CB"/>
    <w:rsid w:val="004C0DA0"/>
    <w:rsid w:val="004C38BA"/>
    <w:rsid w:val="004C3E02"/>
    <w:rsid w:val="004C422D"/>
    <w:rsid w:val="004C4CEB"/>
    <w:rsid w:val="004C5CBA"/>
    <w:rsid w:val="004C60AC"/>
    <w:rsid w:val="004C6C09"/>
    <w:rsid w:val="004C6EA3"/>
    <w:rsid w:val="004C7C1E"/>
    <w:rsid w:val="004D000F"/>
    <w:rsid w:val="004D055D"/>
    <w:rsid w:val="004D1240"/>
    <w:rsid w:val="004D133B"/>
    <w:rsid w:val="004D49EE"/>
    <w:rsid w:val="004D4AE0"/>
    <w:rsid w:val="004D4C0B"/>
    <w:rsid w:val="004D512D"/>
    <w:rsid w:val="004D6042"/>
    <w:rsid w:val="004D62C0"/>
    <w:rsid w:val="004D69FC"/>
    <w:rsid w:val="004D77BD"/>
    <w:rsid w:val="004D77DE"/>
    <w:rsid w:val="004D7BF4"/>
    <w:rsid w:val="004D7C92"/>
    <w:rsid w:val="004E0D46"/>
    <w:rsid w:val="004E295C"/>
    <w:rsid w:val="004E38B2"/>
    <w:rsid w:val="004E3936"/>
    <w:rsid w:val="004E4277"/>
    <w:rsid w:val="004E490B"/>
    <w:rsid w:val="004E57F7"/>
    <w:rsid w:val="004E5D9C"/>
    <w:rsid w:val="004E6707"/>
    <w:rsid w:val="004E6985"/>
    <w:rsid w:val="004E6B8E"/>
    <w:rsid w:val="004F0543"/>
    <w:rsid w:val="004F126D"/>
    <w:rsid w:val="004F2385"/>
    <w:rsid w:val="004F3A97"/>
    <w:rsid w:val="004F486D"/>
    <w:rsid w:val="004F5591"/>
    <w:rsid w:val="004F5D14"/>
    <w:rsid w:val="004F68DC"/>
    <w:rsid w:val="004F7FAD"/>
    <w:rsid w:val="00500F7A"/>
    <w:rsid w:val="005012AD"/>
    <w:rsid w:val="005016E5"/>
    <w:rsid w:val="00501A56"/>
    <w:rsid w:val="00501ACA"/>
    <w:rsid w:val="00502317"/>
    <w:rsid w:val="005027BB"/>
    <w:rsid w:val="00503415"/>
    <w:rsid w:val="005037E1"/>
    <w:rsid w:val="00503B5C"/>
    <w:rsid w:val="0050456A"/>
    <w:rsid w:val="005068E1"/>
    <w:rsid w:val="00506A30"/>
    <w:rsid w:val="005077C5"/>
    <w:rsid w:val="00507F3A"/>
    <w:rsid w:val="0051168A"/>
    <w:rsid w:val="005117D2"/>
    <w:rsid w:val="005118A6"/>
    <w:rsid w:val="005122F4"/>
    <w:rsid w:val="0051292D"/>
    <w:rsid w:val="005131DC"/>
    <w:rsid w:val="0051405F"/>
    <w:rsid w:val="0051444F"/>
    <w:rsid w:val="005156A6"/>
    <w:rsid w:val="00516393"/>
    <w:rsid w:val="005179A5"/>
    <w:rsid w:val="00520B4F"/>
    <w:rsid w:val="005238D6"/>
    <w:rsid w:val="00524AD7"/>
    <w:rsid w:val="005254FD"/>
    <w:rsid w:val="005268A9"/>
    <w:rsid w:val="0052720F"/>
    <w:rsid w:val="00527421"/>
    <w:rsid w:val="005275C4"/>
    <w:rsid w:val="00527D36"/>
    <w:rsid w:val="00531076"/>
    <w:rsid w:val="00531393"/>
    <w:rsid w:val="00531D28"/>
    <w:rsid w:val="005328A8"/>
    <w:rsid w:val="0053385A"/>
    <w:rsid w:val="00533920"/>
    <w:rsid w:val="00534F16"/>
    <w:rsid w:val="00535141"/>
    <w:rsid w:val="00535324"/>
    <w:rsid w:val="005363B4"/>
    <w:rsid w:val="00536917"/>
    <w:rsid w:val="0053712D"/>
    <w:rsid w:val="00537DA5"/>
    <w:rsid w:val="005403F4"/>
    <w:rsid w:val="00541136"/>
    <w:rsid w:val="00541C39"/>
    <w:rsid w:val="0054216F"/>
    <w:rsid w:val="00542F18"/>
    <w:rsid w:val="00544853"/>
    <w:rsid w:val="00544CA5"/>
    <w:rsid w:val="005450E2"/>
    <w:rsid w:val="00545B19"/>
    <w:rsid w:val="005470DD"/>
    <w:rsid w:val="005476CE"/>
    <w:rsid w:val="0055035F"/>
    <w:rsid w:val="005507FD"/>
    <w:rsid w:val="005511C0"/>
    <w:rsid w:val="0055232C"/>
    <w:rsid w:val="0055278E"/>
    <w:rsid w:val="005533E8"/>
    <w:rsid w:val="00553C8A"/>
    <w:rsid w:val="00555488"/>
    <w:rsid w:val="0055549A"/>
    <w:rsid w:val="00555B18"/>
    <w:rsid w:val="00555C9C"/>
    <w:rsid w:val="0055641F"/>
    <w:rsid w:val="00556A4D"/>
    <w:rsid w:val="00556B00"/>
    <w:rsid w:val="00556E87"/>
    <w:rsid w:val="00557319"/>
    <w:rsid w:val="0055764E"/>
    <w:rsid w:val="00560528"/>
    <w:rsid w:val="00561923"/>
    <w:rsid w:val="005622F8"/>
    <w:rsid w:val="0056310A"/>
    <w:rsid w:val="00563236"/>
    <w:rsid w:val="0056336F"/>
    <w:rsid w:val="005636C6"/>
    <w:rsid w:val="00565366"/>
    <w:rsid w:val="00565AF7"/>
    <w:rsid w:val="00570C34"/>
    <w:rsid w:val="00571020"/>
    <w:rsid w:val="0057189C"/>
    <w:rsid w:val="00571BD2"/>
    <w:rsid w:val="00571CD7"/>
    <w:rsid w:val="00571D59"/>
    <w:rsid w:val="00572CCE"/>
    <w:rsid w:val="00572E3E"/>
    <w:rsid w:val="005732E0"/>
    <w:rsid w:val="005738F7"/>
    <w:rsid w:val="0057420B"/>
    <w:rsid w:val="005756C1"/>
    <w:rsid w:val="0057593B"/>
    <w:rsid w:val="0057799B"/>
    <w:rsid w:val="00580280"/>
    <w:rsid w:val="00580B9E"/>
    <w:rsid w:val="0058135A"/>
    <w:rsid w:val="00583358"/>
    <w:rsid w:val="005839BF"/>
    <w:rsid w:val="00584058"/>
    <w:rsid w:val="005844A5"/>
    <w:rsid w:val="005846B4"/>
    <w:rsid w:val="005850E5"/>
    <w:rsid w:val="005851E0"/>
    <w:rsid w:val="00585571"/>
    <w:rsid w:val="005856F9"/>
    <w:rsid w:val="00585B91"/>
    <w:rsid w:val="00586BF1"/>
    <w:rsid w:val="00587DC4"/>
    <w:rsid w:val="005903E4"/>
    <w:rsid w:val="005907D5"/>
    <w:rsid w:val="005913EE"/>
    <w:rsid w:val="00592461"/>
    <w:rsid w:val="00592F2B"/>
    <w:rsid w:val="005950D6"/>
    <w:rsid w:val="0059519C"/>
    <w:rsid w:val="00595524"/>
    <w:rsid w:val="00597221"/>
    <w:rsid w:val="005974F3"/>
    <w:rsid w:val="0059751C"/>
    <w:rsid w:val="00597919"/>
    <w:rsid w:val="005A034E"/>
    <w:rsid w:val="005A0A5B"/>
    <w:rsid w:val="005A0B9F"/>
    <w:rsid w:val="005A0EFC"/>
    <w:rsid w:val="005A1692"/>
    <w:rsid w:val="005A286E"/>
    <w:rsid w:val="005A28BD"/>
    <w:rsid w:val="005A3DC0"/>
    <w:rsid w:val="005A44E7"/>
    <w:rsid w:val="005A5337"/>
    <w:rsid w:val="005A5D8E"/>
    <w:rsid w:val="005A63D8"/>
    <w:rsid w:val="005A6CC1"/>
    <w:rsid w:val="005A7C14"/>
    <w:rsid w:val="005A7C48"/>
    <w:rsid w:val="005A7DBE"/>
    <w:rsid w:val="005A7E1A"/>
    <w:rsid w:val="005B0476"/>
    <w:rsid w:val="005B1482"/>
    <w:rsid w:val="005B152C"/>
    <w:rsid w:val="005B1C64"/>
    <w:rsid w:val="005B1DE8"/>
    <w:rsid w:val="005B2590"/>
    <w:rsid w:val="005B25BC"/>
    <w:rsid w:val="005B2807"/>
    <w:rsid w:val="005B3606"/>
    <w:rsid w:val="005B3BFF"/>
    <w:rsid w:val="005B3E08"/>
    <w:rsid w:val="005B49B6"/>
    <w:rsid w:val="005B56EE"/>
    <w:rsid w:val="005B672C"/>
    <w:rsid w:val="005B747D"/>
    <w:rsid w:val="005B7733"/>
    <w:rsid w:val="005B7A22"/>
    <w:rsid w:val="005C0602"/>
    <w:rsid w:val="005C0D5D"/>
    <w:rsid w:val="005C0D70"/>
    <w:rsid w:val="005C191A"/>
    <w:rsid w:val="005C2AA9"/>
    <w:rsid w:val="005C330D"/>
    <w:rsid w:val="005C40C7"/>
    <w:rsid w:val="005C4114"/>
    <w:rsid w:val="005C4B98"/>
    <w:rsid w:val="005C4EFF"/>
    <w:rsid w:val="005C4F43"/>
    <w:rsid w:val="005D0B55"/>
    <w:rsid w:val="005D160D"/>
    <w:rsid w:val="005D356C"/>
    <w:rsid w:val="005D4A04"/>
    <w:rsid w:val="005D4CF7"/>
    <w:rsid w:val="005D5347"/>
    <w:rsid w:val="005D5CC5"/>
    <w:rsid w:val="005D5FE6"/>
    <w:rsid w:val="005D61EA"/>
    <w:rsid w:val="005D787B"/>
    <w:rsid w:val="005E031D"/>
    <w:rsid w:val="005E03AC"/>
    <w:rsid w:val="005E04B5"/>
    <w:rsid w:val="005E0D5C"/>
    <w:rsid w:val="005E12BE"/>
    <w:rsid w:val="005E191A"/>
    <w:rsid w:val="005E2C81"/>
    <w:rsid w:val="005E384C"/>
    <w:rsid w:val="005E4D3C"/>
    <w:rsid w:val="005E7158"/>
    <w:rsid w:val="005E7ECB"/>
    <w:rsid w:val="005E7F63"/>
    <w:rsid w:val="005F0C00"/>
    <w:rsid w:val="005F1037"/>
    <w:rsid w:val="005F2BF8"/>
    <w:rsid w:val="005F2EA8"/>
    <w:rsid w:val="005F5573"/>
    <w:rsid w:val="005F5D1D"/>
    <w:rsid w:val="005F60C9"/>
    <w:rsid w:val="005F64C6"/>
    <w:rsid w:val="005F6F05"/>
    <w:rsid w:val="006008F1"/>
    <w:rsid w:val="00601714"/>
    <w:rsid w:val="00601735"/>
    <w:rsid w:val="00602BD2"/>
    <w:rsid w:val="00604980"/>
    <w:rsid w:val="00605BDB"/>
    <w:rsid w:val="0060614D"/>
    <w:rsid w:val="0061005A"/>
    <w:rsid w:val="006101C5"/>
    <w:rsid w:val="00610871"/>
    <w:rsid w:val="00610E48"/>
    <w:rsid w:val="0061160D"/>
    <w:rsid w:val="0061286C"/>
    <w:rsid w:val="00612E83"/>
    <w:rsid w:val="00613C47"/>
    <w:rsid w:val="00615086"/>
    <w:rsid w:val="00615B0A"/>
    <w:rsid w:val="00616201"/>
    <w:rsid w:val="00616225"/>
    <w:rsid w:val="00616917"/>
    <w:rsid w:val="0061705E"/>
    <w:rsid w:val="00617A8B"/>
    <w:rsid w:val="00621904"/>
    <w:rsid w:val="00622248"/>
    <w:rsid w:val="00622FEA"/>
    <w:rsid w:val="00623CDF"/>
    <w:rsid w:val="00623DB1"/>
    <w:rsid w:val="006245F3"/>
    <w:rsid w:val="00624DBE"/>
    <w:rsid w:val="00625450"/>
    <w:rsid w:val="0062624F"/>
    <w:rsid w:val="006319C1"/>
    <w:rsid w:val="006319CA"/>
    <w:rsid w:val="00632D91"/>
    <w:rsid w:val="00633B3E"/>
    <w:rsid w:val="00634B64"/>
    <w:rsid w:val="00634EC0"/>
    <w:rsid w:val="006351C3"/>
    <w:rsid w:val="0063627F"/>
    <w:rsid w:val="0063642A"/>
    <w:rsid w:val="006376C4"/>
    <w:rsid w:val="006403E7"/>
    <w:rsid w:val="00642D72"/>
    <w:rsid w:val="006443CB"/>
    <w:rsid w:val="006448B8"/>
    <w:rsid w:val="00644F80"/>
    <w:rsid w:val="00645874"/>
    <w:rsid w:val="006458E5"/>
    <w:rsid w:val="00650F81"/>
    <w:rsid w:val="00650FC7"/>
    <w:rsid w:val="006531B0"/>
    <w:rsid w:val="00653C24"/>
    <w:rsid w:val="00653D68"/>
    <w:rsid w:val="00654275"/>
    <w:rsid w:val="0065446D"/>
    <w:rsid w:val="00654894"/>
    <w:rsid w:val="00656067"/>
    <w:rsid w:val="00657381"/>
    <w:rsid w:val="0065746B"/>
    <w:rsid w:val="00660693"/>
    <w:rsid w:val="00660D86"/>
    <w:rsid w:val="006611D6"/>
    <w:rsid w:val="00661918"/>
    <w:rsid w:val="00662A5A"/>
    <w:rsid w:val="0066335C"/>
    <w:rsid w:val="006636D0"/>
    <w:rsid w:val="00663834"/>
    <w:rsid w:val="006647D7"/>
    <w:rsid w:val="00664F1B"/>
    <w:rsid w:val="006653D7"/>
    <w:rsid w:val="00665BFF"/>
    <w:rsid w:val="006665BA"/>
    <w:rsid w:val="00666A4F"/>
    <w:rsid w:val="00666B7F"/>
    <w:rsid w:val="00666DEC"/>
    <w:rsid w:val="00667477"/>
    <w:rsid w:val="006703D9"/>
    <w:rsid w:val="00670ADE"/>
    <w:rsid w:val="00672DFC"/>
    <w:rsid w:val="00672F5B"/>
    <w:rsid w:val="00673BD7"/>
    <w:rsid w:val="00673DEE"/>
    <w:rsid w:val="00674E69"/>
    <w:rsid w:val="00675A33"/>
    <w:rsid w:val="0067602A"/>
    <w:rsid w:val="006763ED"/>
    <w:rsid w:val="00676433"/>
    <w:rsid w:val="006767FD"/>
    <w:rsid w:val="0067720F"/>
    <w:rsid w:val="0067738E"/>
    <w:rsid w:val="00677F23"/>
    <w:rsid w:val="00680936"/>
    <w:rsid w:val="00680BBE"/>
    <w:rsid w:val="00680D8C"/>
    <w:rsid w:val="00680D99"/>
    <w:rsid w:val="006821B2"/>
    <w:rsid w:val="00682725"/>
    <w:rsid w:val="00682A1B"/>
    <w:rsid w:val="00682D73"/>
    <w:rsid w:val="00682ED3"/>
    <w:rsid w:val="006846E8"/>
    <w:rsid w:val="0068541E"/>
    <w:rsid w:val="00685E9D"/>
    <w:rsid w:val="00685EBD"/>
    <w:rsid w:val="0068605C"/>
    <w:rsid w:val="006861C3"/>
    <w:rsid w:val="00686AF3"/>
    <w:rsid w:val="00690F1F"/>
    <w:rsid w:val="006915BD"/>
    <w:rsid w:val="00691A6B"/>
    <w:rsid w:val="00692582"/>
    <w:rsid w:val="00692592"/>
    <w:rsid w:val="00692A2F"/>
    <w:rsid w:val="0069322C"/>
    <w:rsid w:val="00693652"/>
    <w:rsid w:val="006939E7"/>
    <w:rsid w:val="00693D3E"/>
    <w:rsid w:val="006942F7"/>
    <w:rsid w:val="006956FB"/>
    <w:rsid w:val="00695BC7"/>
    <w:rsid w:val="006969AD"/>
    <w:rsid w:val="00696F7B"/>
    <w:rsid w:val="006A01FB"/>
    <w:rsid w:val="006A07DF"/>
    <w:rsid w:val="006A1093"/>
    <w:rsid w:val="006A1D3D"/>
    <w:rsid w:val="006A2150"/>
    <w:rsid w:val="006A2216"/>
    <w:rsid w:val="006A241D"/>
    <w:rsid w:val="006A3288"/>
    <w:rsid w:val="006A3294"/>
    <w:rsid w:val="006A43E6"/>
    <w:rsid w:val="006A4AEE"/>
    <w:rsid w:val="006A526F"/>
    <w:rsid w:val="006A70BE"/>
    <w:rsid w:val="006A7934"/>
    <w:rsid w:val="006B0001"/>
    <w:rsid w:val="006B04AF"/>
    <w:rsid w:val="006B059F"/>
    <w:rsid w:val="006B0A56"/>
    <w:rsid w:val="006B2048"/>
    <w:rsid w:val="006B20A6"/>
    <w:rsid w:val="006B32D5"/>
    <w:rsid w:val="006B342E"/>
    <w:rsid w:val="006B3812"/>
    <w:rsid w:val="006B3B80"/>
    <w:rsid w:val="006B4611"/>
    <w:rsid w:val="006B6870"/>
    <w:rsid w:val="006B6F32"/>
    <w:rsid w:val="006B7130"/>
    <w:rsid w:val="006B73CC"/>
    <w:rsid w:val="006B7695"/>
    <w:rsid w:val="006C0176"/>
    <w:rsid w:val="006C2994"/>
    <w:rsid w:val="006C35EC"/>
    <w:rsid w:val="006C4150"/>
    <w:rsid w:val="006C4382"/>
    <w:rsid w:val="006C5683"/>
    <w:rsid w:val="006C5E33"/>
    <w:rsid w:val="006C5E48"/>
    <w:rsid w:val="006C6434"/>
    <w:rsid w:val="006C6984"/>
    <w:rsid w:val="006C6CD8"/>
    <w:rsid w:val="006C70BB"/>
    <w:rsid w:val="006C7528"/>
    <w:rsid w:val="006C7EB1"/>
    <w:rsid w:val="006D013F"/>
    <w:rsid w:val="006D017F"/>
    <w:rsid w:val="006D08BD"/>
    <w:rsid w:val="006D0F8E"/>
    <w:rsid w:val="006D1416"/>
    <w:rsid w:val="006D1D3F"/>
    <w:rsid w:val="006D253B"/>
    <w:rsid w:val="006D325A"/>
    <w:rsid w:val="006D407B"/>
    <w:rsid w:val="006D4242"/>
    <w:rsid w:val="006D44E6"/>
    <w:rsid w:val="006D45F0"/>
    <w:rsid w:val="006D4C8F"/>
    <w:rsid w:val="006D52A0"/>
    <w:rsid w:val="006D57CB"/>
    <w:rsid w:val="006D5819"/>
    <w:rsid w:val="006D5E6F"/>
    <w:rsid w:val="006D693F"/>
    <w:rsid w:val="006D6CDD"/>
    <w:rsid w:val="006D7604"/>
    <w:rsid w:val="006D765E"/>
    <w:rsid w:val="006E03D1"/>
    <w:rsid w:val="006E0455"/>
    <w:rsid w:val="006E150D"/>
    <w:rsid w:val="006E3289"/>
    <w:rsid w:val="006E33E4"/>
    <w:rsid w:val="006E4238"/>
    <w:rsid w:val="006E5F01"/>
    <w:rsid w:val="006E5F88"/>
    <w:rsid w:val="006E7404"/>
    <w:rsid w:val="006E7B97"/>
    <w:rsid w:val="006F1DE7"/>
    <w:rsid w:val="006F1EA3"/>
    <w:rsid w:val="006F2627"/>
    <w:rsid w:val="006F2BF8"/>
    <w:rsid w:val="006F3568"/>
    <w:rsid w:val="006F40AD"/>
    <w:rsid w:val="006F4A5F"/>
    <w:rsid w:val="006F4D7B"/>
    <w:rsid w:val="006F6360"/>
    <w:rsid w:val="006F6436"/>
    <w:rsid w:val="006F65C5"/>
    <w:rsid w:val="006F687A"/>
    <w:rsid w:val="006F68EF"/>
    <w:rsid w:val="006F6D38"/>
    <w:rsid w:val="006F6D4C"/>
    <w:rsid w:val="006F6E67"/>
    <w:rsid w:val="006F7157"/>
    <w:rsid w:val="006F78E0"/>
    <w:rsid w:val="00702B1B"/>
    <w:rsid w:val="00702ED6"/>
    <w:rsid w:val="007032B3"/>
    <w:rsid w:val="00703E86"/>
    <w:rsid w:val="00704164"/>
    <w:rsid w:val="007044BF"/>
    <w:rsid w:val="00706A58"/>
    <w:rsid w:val="00707517"/>
    <w:rsid w:val="007078ED"/>
    <w:rsid w:val="00710187"/>
    <w:rsid w:val="007110E1"/>
    <w:rsid w:val="00711B18"/>
    <w:rsid w:val="00714394"/>
    <w:rsid w:val="00714ED6"/>
    <w:rsid w:val="007151B7"/>
    <w:rsid w:val="00715E8D"/>
    <w:rsid w:val="00716D8A"/>
    <w:rsid w:val="00717854"/>
    <w:rsid w:val="00721C26"/>
    <w:rsid w:val="00721F7E"/>
    <w:rsid w:val="00722C0F"/>
    <w:rsid w:val="00722E29"/>
    <w:rsid w:val="00723ECB"/>
    <w:rsid w:val="00724606"/>
    <w:rsid w:val="00724A36"/>
    <w:rsid w:val="00724A60"/>
    <w:rsid w:val="00724E85"/>
    <w:rsid w:val="00725113"/>
    <w:rsid w:val="0072525D"/>
    <w:rsid w:val="00725A26"/>
    <w:rsid w:val="00726E8A"/>
    <w:rsid w:val="00727047"/>
    <w:rsid w:val="007312BF"/>
    <w:rsid w:val="00734510"/>
    <w:rsid w:val="00734887"/>
    <w:rsid w:val="007365B6"/>
    <w:rsid w:val="007373C8"/>
    <w:rsid w:val="007401E2"/>
    <w:rsid w:val="00740205"/>
    <w:rsid w:val="00740D67"/>
    <w:rsid w:val="007411E5"/>
    <w:rsid w:val="00741605"/>
    <w:rsid w:val="00742AD3"/>
    <w:rsid w:val="00742F72"/>
    <w:rsid w:val="007436F2"/>
    <w:rsid w:val="0074436D"/>
    <w:rsid w:val="007446DA"/>
    <w:rsid w:val="007462C2"/>
    <w:rsid w:val="00746772"/>
    <w:rsid w:val="00746951"/>
    <w:rsid w:val="00746F65"/>
    <w:rsid w:val="007472C3"/>
    <w:rsid w:val="0074791E"/>
    <w:rsid w:val="0075028E"/>
    <w:rsid w:val="00750948"/>
    <w:rsid w:val="0075115D"/>
    <w:rsid w:val="00751A33"/>
    <w:rsid w:val="00751F77"/>
    <w:rsid w:val="00753890"/>
    <w:rsid w:val="007555DF"/>
    <w:rsid w:val="007569DC"/>
    <w:rsid w:val="0075711E"/>
    <w:rsid w:val="007579F2"/>
    <w:rsid w:val="007602CB"/>
    <w:rsid w:val="00761434"/>
    <w:rsid w:val="00761FD5"/>
    <w:rsid w:val="007620C9"/>
    <w:rsid w:val="00762BB6"/>
    <w:rsid w:val="007632A0"/>
    <w:rsid w:val="0076341D"/>
    <w:rsid w:val="0076446D"/>
    <w:rsid w:val="007647EF"/>
    <w:rsid w:val="0076542B"/>
    <w:rsid w:val="00765DD8"/>
    <w:rsid w:val="00766B33"/>
    <w:rsid w:val="00766D36"/>
    <w:rsid w:val="007671DC"/>
    <w:rsid w:val="00767607"/>
    <w:rsid w:val="00767ACD"/>
    <w:rsid w:val="00767C0D"/>
    <w:rsid w:val="00767E70"/>
    <w:rsid w:val="007705B5"/>
    <w:rsid w:val="00770B08"/>
    <w:rsid w:val="007720B8"/>
    <w:rsid w:val="0077270D"/>
    <w:rsid w:val="00773874"/>
    <w:rsid w:val="00774B47"/>
    <w:rsid w:val="00775D3B"/>
    <w:rsid w:val="0077615A"/>
    <w:rsid w:val="00777483"/>
    <w:rsid w:val="007806A0"/>
    <w:rsid w:val="00782346"/>
    <w:rsid w:val="007828DB"/>
    <w:rsid w:val="007838CD"/>
    <w:rsid w:val="007840F3"/>
    <w:rsid w:val="00784EC7"/>
    <w:rsid w:val="00785491"/>
    <w:rsid w:val="007858C0"/>
    <w:rsid w:val="00785C4E"/>
    <w:rsid w:val="0078679A"/>
    <w:rsid w:val="007871FE"/>
    <w:rsid w:val="007902AD"/>
    <w:rsid w:val="00790606"/>
    <w:rsid w:val="007908ED"/>
    <w:rsid w:val="00790F74"/>
    <w:rsid w:val="007912E8"/>
    <w:rsid w:val="00792288"/>
    <w:rsid w:val="00792447"/>
    <w:rsid w:val="007928C6"/>
    <w:rsid w:val="007929C0"/>
    <w:rsid w:val="00794F7C"/>
    <w:rsid w:val="007951F4"/>
    <w:rsid w:val="0079694C"/>
    <w:rsid w:val="00797AF9"/>
    <w:rsid w:val="00797FBD"/>
    <w:rsid w:val="007A0187"/>
    <w:rsid w:val="007A04E8"/>
    <w:rsid w:val="007A19AC"/>
    <w:rsid w:val="007A2640"/>
    <w:rsid w:val="007A268F"/>
    <w:rsid w:val="007A4A53"/>
    <w:rsid w:val="007A4C72"/>
    <w:rsid w:val="007A4C93"/>
    <w:rsid w:val="007A4E17"/>
    <w:rsid w:val="007A5AC6"/>
    <w:rsid w:val="007A6A01"/>
    <w:rsid w:val="007A7D0A"/>
    <w:rsid w:val="007A7F6D"/>
    <w:rsid w:val="007B0799"/>
    <w:rsid w:val="007B0FBD"/>
    <w:rsid w:val="007B1BAF"/>
    <w:rsid w:val="007B2393"/>
    <w:rsid w:val="007B2FE8"/>
    <w:rsid w:val="007B30DB"/>
    <w:rsid w:val="007B35F7"/>
    <w:rsid w:val="007B4DD5"/>
    <w:rsid w:val="007B4F72"/>
    <w:rsid w:val="007B5148"/>
    <w:rsid w:val="007B5A16"/>
    <w:rsid w:val="007B660D"/>
    <w:rsid w:val="007B7219"/>
    <w:rsid w:val="007C0073"/>
    <w:rsid w:val="007C03FE"/>
    <w:rsid w:val="007C0E04"/>
    <w:rsid w:val="007C17D3"/>
    <w:rsid w:val="007C1E98"/>
    <w:rsid w:val="007C1FA2"/>
    <w:rsid w:val="007C2827"/>
    <w:rsid w:val="007C3A26"/>
    <w:rsid w:val="007C4032"/>
    <w:rsid w:val="007C4CE1"/>
    <w:rsid w:val="007C537A"/>
    <w:rsid w:val="007C57D1"/>
    <w:rsid w:val="007C6B3E"/>
    <w:rsid w:val="007C6F13"/>
    <w:rsid w:val="007C7130"/>
    <w:rsid w:val="007C74E5"/>
    <w:rsid w:val="007C7DAB"/>
    <w:rsid w:val="007C7F57"/>
    <w:rsid w:val="007D0348"/>
    <w:rsid w:val="007D0E43"/>
    <w:rsid w:val="007D13E7"/>
    <w:rsid w:val="007D153B"/>
    <w:rsid w:val="007D1E37"/>
    <w:rsid w:val="007D2256"/>
    <w:rsid w:val="007D358B"/>
    <w:rsid w:val="007D4624"/>
    <w:rsid w:val="007D563E"/>
    <w:rsid w:val="007D5A49"/>
    <w:rsid w:val="007D5FC1"/>
    <w:rsid w:val="007D6E81"/>
    <w:rsid w:val="007D6EB6"/>
    <w:rsid w:val="007D715A"/>
    <w:rsid w:val="007D789C"/>
    <w:rsid w:val="007E0161"/>
    <w:rsid w:val="007E08DB"/>
    <w:rsid w:val="007E0B17"/>
    <w:rsid w:val="007E0D90"/>
    <w:rsid w:val="007E0E9E"/>
    <w:rsid w:val="007E0EBF"/>
    <w:rsid w:val="007E12DC"/>
    <w:rsid w:val="007E1760"/>
    <w:rsid w:val="007E21FB"/>
    <w:rsid w:val="007E3B9D"/>
    <w:rsid w:val="007E420B"/>
    <w:rsid w:val="007E46BC"/>
    <w:rsid w:val="007E4932"/>
    <w:rsid w:val="007E4CAD"/>
    <w:rsid w:val="007E502C"/>
    <w:rsid w:val="007E516A"/>
    <w:rsid w:val="007E5BD7"/>
    <w:rsid w:val="007E6761"/>
    <w:rsid w:val="007E75F0"/>
    <w:rsid w:val="007E7968"/>
    <w:rsid w:val="007E7992"/>
    <w:rsid w:val="007E79C4"/>
    <w:rsid w:val="007F013A"/>
    <w:rsid w:val="007F0730"/>
    <w:rsid w:val="007F1D54"/>
    <w:rsid w:val="007F20A0"/>
    <w:rsid w:val="007F2D90"/>
    <w:rsid w:val="007F3D9B"/>
    <w:rsid w:val="007F3F6F"/>
    <w:rsid w:val="007F48A9"/>
    <w:rsid w:val="007F4A1F"/>
    <w:rsid w:val="007F4E28"/>
    <w:rsid w:val="007F4E6E"/>
    <w:rsid w:val="007F4F82"/>
    <w:rsid w:val="007F6D96"/>
    <w:rsid w:val="007F7CFA"/>
    <w:rsid w:val="00801D7A"/>
    <w:rsid w:val="008020F2"/>
    <w:rsid w:val="00802462"/>
    <w:rsid w:val="008036FC"/>
    <w:rsid w:val="00803F74"/>
    <w:rsid w:val="00804653"/>
    <w:rsid w:val="00804C48"/>
    <w:rsid w:val="0080505A"/>
    <w:rsid w:val="00805478"/>
    <w:rsid w:val="00806639"/>
    <w:rsid w:val="00806A84"/>
    <w:rsid w:val="008073A4"/>
    <w:rsid w:val="00807C6C"/>
    <w:rsid w:val="00807C7A"/>
    <w:rsid w:val="008115ED"/>
    <w:rsid w:val="00811A42"/>
    <w:rsid w:val="0081254B"/>
    <w:rsid w:val="008132BB"/>
    <w:rsid w:val="0081340B"/>
    <w:rsid w:val="00813788"/>
    <w:rsid w:val="00813F40"/>
    <w:rsid w:val="00814FED"/>
    <w:rsid w:val="00815822"/>
    <w:rsid w:val="00815B93"/>
    <w:rsid w:val="00815BA2"/>
    <w:rsid w:val="00816585"/>
    <w:rsid w:val="00817364"/>
    <w:rsid w:val="00817BB4"/>
    <w:rsid w:val="00817E4F"/>
    <w:rsid w:val="00820F5B"/>
    <w:rsid w:val="00821021"/>
    <w:rsid w:val="008214BB"/>
    <w:rsid w:val="00821B58"/>
    <w:rsid w:val="00822136"/>
    <w:rsid w:val="00822D4E"/>
    <w:rsid w:val="00822FBA"/>
    <w:rsid w:val="0082398C"/>
    <w:rsid w:val="00824FAD"/>
    <w:rsid w:val="00824FF1"/>
    <w:rsid w:val="00825196"/>
    <w:rsid w:val="00826F4C"/>
    <w:rsid w:val="00831573"/>
    <w:rsid w:val="00833C51"/>
    <w:rsid w:val="008349A6"/>
    <w:rsid w:val="00835271"/>
    <w:rsid w:val="00835679"/>
    <w:rsid w:val="008360DF"/>
    <w:rsid w:val="0083731C"/>
    <w:rsid w:val="008377DA"/>
    <w:rsid w:val="00837BD7"/>
    <w:rsid w:val="00840591"/>
    <w:rsid w:val="00841F21"/>
    <w:rsid w:val="00842991"/>
    <w:rsid w:val="008429B0"/>
    <w:rsid w:val="00843900"/>
    <w:rsid w:val="00844C5B"/>
    <w:rsid w:val="0084581F"/>
    <w:rsid w:val="00845898"/>
    <w:rsid w:val="00845A15"/>
    <w:rsid w:val="0084632F"/>
    <w:rsid w:val="00852528"/>
    <w:rsid w:val="008541F1"/>
    <w:rsid w:val="008543F7"/>
    <w:rsid w:val="008545DC"/>
    <w:rsid w:val="00854A7E"/>
    <w:rsid w:val="00854A98"/>
    <w:rsid w:val="00855209"/>
    <w:rsid w:val="00855B06"/>
    <w:rsid w:val="00856B95"/>
    <w:rsid w:val="00856D1A"/>
    <w:rsid w:val="00857D29"/>
    <w:rsid w:val="0086161C"/>
    <w:rsid w:val="0086225C"/>
    <w:rsid w:val="008629A8"/>
    <w:rsid w:val="00863225"/>
    <w:rsid w:val="00863ADA"/>
    <w:rsid w:val="00864BF6"/>
    <w:rsid w:val="00865266"/>
    <w:rsid w:val="00865BAA"/>
    <w:rsid w:val="008677CB"/>
    <w:rsid w:val="0087056E"/>
    <w:rsid w:val="00870CB6"/>
    <w:rsid w:val="00870CC5"/>
    <w:rsid w:val="00870DD7"/>
    <w:rsid w:val="008737AE"/>
    <w:rsid w:val="00873F17"/>
    <w:rsid w:val="00873FEA"/>
    <w:rsid w:val="0087419B"/>
    <w:rsid w:val="00874592"/>
    <w:rsid w:val="008751C1"/>
    <w:rsid w:val="00876C1B"/>
    <w:rsid w:val="00876E70"/>
    <w:rsid w:val="008804E1"/>
    <w:rsid w:val="00880E30"/>
    <w:rsid w:val="008815B6"/>
    <w:rsid w:val="008818F6"/>
    <w:rsid w:val="00881D45"/>
    <w:rsid w:val="008829F8"/>
    <w:rsid w:val="0088398E"/>
    <w:rsid w:val="00885182"/>
    <w:rsid w:val="0088647E"/>
    <w:rsid w:val="00887E02"/>
    <w:rsid w:val="00890382"/>
    <w:rsid w:val="0089046A"/>
    <w:rsid w:val="00891106"/>
    <w:rsid w:val="00892833"/>
    <w:rsid w:val="00893479"/>
    <w:rsid w:val="0089375D"/>
    <w:rsid w:val="008943CB"/>
    <w:rsid w:val="008946B9"/>
    <w:rsid w:val="008960A2"/>
    <w:rsid w:val="008979BC"/>
    <w:rsid w:val="008A056E"/>
    <w:rsid w:val="008A0882"/>
    <w:rsid w:val="008A10C1"/>
    <w:rsid w:val="008A181A"/>
    <w:rsid w:val="008A1C47"/>
    <w:rsid w:val="008A2289"/>
    <w:rsid w:val="008A3766"/>
    <w:rsid w:val="008A4F66"/>
    <w:rsid w:val="008A5290"/>
    <w:rsid w:val="008A593A"/>
    <w:rsid w:val="008A6A60"/>
    <w:rsid w:val="008A6C5A"/>
    <w:rsid w:val="008A6CCA"/>
    <w:rsid w:val="008B1B85"/>
    <w:rsid w:val="008B1B8C"/>
    <w:rsid w:val="008B25B1"/>
    <w:rsid w:val="008B2C59"/>
    <w:rsid w:val="008B2DF3"/>
    <w:rsid w:val="008B353B"/>
    <w:rsid w:val="008B376A"/>
    <w:rsid w:val="008B444E"/>
    <w:rsid w:val="008B569F"/>
    <w:rsid w:val="008B7220"/>
    <w:rsid w:val="008C0669"/>
    <w:rsid w:val="008C08A5"/>
    <w:rsid w:val="008C1DD7"/>
    <w:rsid w:val="008C26FA"/>
    <w:rsid w:val="008C36BB"/>
    <w:rsid w:val="008C4566"/>
    <w:rsid w:val="008C46B6"/>
    <w:rsid w:val="008C46C3"/>
    <w:rsid w:val="008C522A"/>
    <w:rsid w:val="008C5E71"/>
    <w:rsid w:val="008C64E3"/>
    <w:rsid w:val="008C6A8B"/>
    <w:rsid w:val="008C77F7"/>
    <w:rsid w:val="008C799C"/>
    <w:rsid w:val="008D00EA"/>
    <w:rsid w:val="008D0D1E"/>
    <w:rsid w:val="008D1175"/>
    <w:rsid w:val="008D13C7"/>
    <w:rsid w:val="008D1627"/>
    <w:rsid w:val="008D1DA0"/>
    <w:rsid w:val="008D284E"/>
    <w:rsid w:val="008D4D90"/>
    <w:rsid w:val="008D4ED3"/>
    <w:rsid w:val="008D54BF"/>
    <w:rsid w:val="008D5DC6"/>
    <w:rsid w:val="008D6A11"/>
    <w:rsid w:val="008E0D4B"/>
    <w:rsid w:val="008E1A5C"/>
    <w:rsid w:val="008E1C27"/>
    <w:rsid w:val="008E1E54"/>
    <w:rsid w:val="008E2057"/>
    <w:rsid w:val="008E264D"/>
    <w:rsid w:val="008E2DA6"/>
    <w:rsid w:val="008E31EC"/>
    <w:rsid w:val="008E3512"/>
    <w:rsid w:val="008E3C88"/>
    <w:rsid w:val="008E4E17"/>
    <w:rsid w:val="008E5337"/>
    <w:rsid w:val="008E610D"/>
    <w:rsid w:val="008E6F8D"/>
    <w:rsid w:val="008E78F2"/>
    <w:rsid w:val="008E7B12"/>
    <w:rsid w:val="008F022C"/>
    <w:rsid w:val="008F2A60"/>
    <w:rsid w:val="008F310D"/>
    <w:rsid w:val="008F3888"/>
    <w:rsid w:val="008F3A90"/>
    <w:rsid w:val="008F3B22"/>
    <w:rsid w:val="008F43C7"/>
    <w:rsid w:val="008F4823"/>
    <w:rsid w:val="008F551B"/>
    <w:rsid w:val="008F606D"/>
    <w:rsid w:val="008F6597"/>
    <w:rsid w:val="008F7150"/>
    <w:rsid w:val="008F71CC"/>
    <w:rsid w:val="008F721C"/>
    <w:rsid w:val="008F757D"/>
    <w:rsid w:val="00900662"/>
    <w:rsid w:val="00901953"/>
    <w:rsid w:val="00901DF8"/>
    <w:rsid w:val="00902166"/>
    <w:rsid w:val="00902A0C"/>
    <w:rsid w:val="009040A1"/>
    <w:rsid w:val="009043AA"/>
    <w:rsid w:val="0090473B"/>
    <w:rsid w:val="0090487F"/>
    <w:rsid w:val="00905282"/>
    <w:rsid w:val="00905908"/>
    <w:rsid w:val="00906C96"/>
    <w:rsid w:val="009075A4"/>
    <w:rsid w:val="009101AF"/>
    <w:rsid w:val="00910400"/>
    <w:rsid w:val="00911808"/>
    <w:rsid w:val="00912F37"/>
    <w:rsid w:val="009131C8"/>
    <w:rsid w:val="009145FB"/>
    <w:rsid w:val="00914811"/>
    <w:rsid w:val="00915283"/>
    <w:rsid w:val="00915786"/>
    <w:rsid w:val="00917141"/>
    <w:rsid w:val="0091746C"/>
    <w:rsid w:val="00917D06"/>
    <w:rsid w:val="009207DB"/>
    <w:rsid w:val="00921879"/>
    <w:rsid w:val="00922024"/>
    <w:rsid w:val="009233CE"/>
    <w:rsid w:val="00923C3F"/>
    <w:rsid w:val="00924853"/>
    <w:rsid w:val="009252E0"/>
    <w:rsid w:val="00925501"/>
    <w:rsid w:val="00926982"/>
    <w:rsid w:val="00926B5A"/>
    <w:rsid w:val="00926D4C"/>
    <w:rsid w:val="009270C4"/>
    <w:rsid w:val="00931743"/>
    <w:rsid w:val="009325F7"/>
    <w:rsid w:val="00932BCF"/>
    <w:rsid w:val="00933396"/>
    <w:rsid w:val="00933761"/>
    <w:rsid w:val="00934D73"/>
    <w:rsid w:val="00935042"/>
    <w:rsid w:val="00936CC6"/>
    <w:rsid w:val="0093740F"/>
    <w:rsid w:val="00937B4A"/>
    <w:rsid w:val="00937BE9"/>
    <w:rsid w:val="00937C1D"/>
    <w:rsid w:val="00940804"/>
    <w:rsid w:val="00940E9B"/>
    <w:rsid w:val="00940FC3"/>
    <w:rsid w:val="009410B3"/>
    <w:rsid w:val="0094131D"/>
    <w:rsid w:val="0094166C"/>
    <w:rsid w:val="00942120"/>
    <w:rsid w:val="009425F7"/>
    <w:rsid w:val="00943827"/>
    <w:rsid w:val="00943BC0"/>
    <w:rsid w:val="00944BF0"/>
    <w:rsid w:val="00946136"/>
    <w:rsid w:val="00946CD9"/>
    <w:rsid w:val="00947046"/>
    <w:rsid w:val="00947A00"/>
    <w:rsid w:val="009505F4"/>
    <w:rsid w:val="00951216"/>
    <w:rsid w:val="0095279B"/>
    <w:rsid w:val="0095316C"/>
    <w:rsid w:val="00954282"/>
    <w:rsid w:val="00954427"/>
    <w:rsid w:val="009545B9"/>
    <w:rsid w:val="009564ED"/>
    <w:rsid w:val="00956CA2"/>
    <w:rsid w:val="00960385"/>
    <w:rsid w:val="0096079B"/>
    <w:rsid w:val="00960CA9"/>
    <w:rsid w:val="0096218D"/>
    <w:rsid w:val="00964509"/>
    <w:rsid w:val="00964525"/>
    <w:rsid w:val="0096501B"/>
    <w:rsid w:val="0096662B"/>
    <w:rsid w:val="009666AF"/>
    <w:rsid w:val="00967180"/>
    <w:rsid w:val="0096797D"/>
    <w:rsid w:val="00967B7F"/>
    <w:rsid w:val="00970704"/>
    <w:rsid w:val="00970B65"/>
    <w:rsid w:val="00971127"/>
    <w:rsid w:val="0097119E"/>
    <w:rsid w:val="00971EB0"/>
    <w:rsid w:val="0097272C"/>
    <w:rsid w:val="009734B8"/>
    <w:rsid w:val="00973514"/>
    <w:rsid w:val="009741E7"/>
    <w:rsid w:val="00975C75"/>
    <w:rsid w:val="00977506"/>
    <w:rsid w:val="00980CFF"/>
    <w:rsid w:val="0098177A"/>
    <w:rsid w:val="00982633"/>
    <w:rsid w:val="00983583"/>
    <w:rsid w:val="00983EFD"/>
    <w:rsid w:val="009855B0"/>
    <w:rsid w:val="009859A8"/>
    <w:rsid w:val="00985A7D"/>
    <w:rsid w:val="00986257"/>
    <w:rsid w:val="0098658A"/>
    <w:rsid w:val="00986861"/>
    <w:rsid w:val="00987CBC"/>
    <w:rsid w:val="00990E34"/>
    <w:rsid w:val="00991EB0"/>
    <w:rsid w:val="0099212B"/>
    <w:rsid w:val="0099245F"/>
    <w:rsid w:val="009928FA"/>
    <w:rsid w:val="009937B4"/>
    <w:rsid w:val="00994B5F"/>
    <w:rsid w:val="00995768"/>
    <w:rsid w:val="00996326"/>
    <w:rsid w:val="00996B7D"/>
    <w:rsid w:val="00996F95"/>
    <w:rsid w:val="00997745"/>
    <w:rsid w:val="00997EA5"/>
    <w:rsid w:val="009A07D5"/>
    <w:rsid w:val="009A1303"/>
    <w:rsid w:val="009A1BC9"/>
    <w:rsid w:val="009A1FE7"/>
    <w:rsid w:val="009A2967"/>
    <w:rsid w:val="009A36B7"/>
    <w:rsid w:val="009A3720"/>
    <w:rsid w:val="009A42CF"/>
    <w:rsid w:val="009A44E8"/>
    <w:rsid w:val="009A4A49"/>
    <w:rsid w:val="009A581E"/>
    <w:rsid w:val="009A679E"/>
    <w:rsid w:val="009B0460"/>
    <w:rsid w:val="009B13AF"/>
    <w:rsid w:val="009B1DA5"/>
    <w:rsid w:val="009B1E1D"/>
    <w:rsid w:val="009B2602"/>
    <w:rsid w:val="009B28FD"/>
    <w:rsid w:val="009B2AD6"/>
    <w:rsid w:val="009B3172"/>
    <w:rsid w:val="009B4575"/>
    <w:rsid w:val="009B461D"/>
    <w:rsid w:val="009B5594"/>
    <w:rsid w:val="009B59ED"/>
    <w:rsid w:val="009B6EE8"/>
    <w:rsid w:val="009B729E"/>
    <w:rsid w:val="009B7498"/>
    <w:rsid w:val="009C264B"/>
    <w:rsid w:val="009C34F1"/>
    <w:rsid w:val="009C381A"/>
    <w:rsid w:val="009C3B80"/>
    <w:rsid w:val="009C3D84"/>
    <w:rsid w:val="009C48C6"/>
    <w:rsid w:val="009C5D76"/>
    <w:rsid w:val="009C5DFB"/>
    <w:rsid w:val="009C5FDE"/>
    <w:rsid w:val="009C7B1D"/>
    <w:rsid w:val="009C7F10"/>
    <w:rsid w:val="009C7FF8"/>
    <w:rsid w:val="009D03F1"/>
    <w:rsid w:val="009D07CE"/>
    <w:rsid w:val="009D0921"/>
    <w:rsid w:val="009D101B"/>
    <w:rsid w:val="009D118E"/>
    <w:rsid w:val="009D1CF4"/>
    <w:rsid w:val="009D2A26"/>
    <w:rsid w:val="009D2C21"/>
    <w:rsid w:val="009D380F"/>
    <w:rsid w:val="009D57A7"/>
    <w:rsid w:val="009D6546"/>
    <w:rsid w:val="009D65EE"/>
    <w:rsid w:val="009D6FE7"/>
    <w:rsid w:val="009D71C8"/>
    <w:rsid w:val="009D7EFC"/>
    <w:rsid w:val="009E04BB"/>
    <w:rsid w:val="009E0525"/>
    <w:rsid w:val="009E05A9"/>
    <w:rsid w:val="009E1370"/>
    <w:rsid w:val="009E20A6"/>
    <w:rsid w:val="009E233F"/>
    <w:rsid w:val="009E2F30"/>
    <w:rsid w:val="009E323A"/>
    <w:rsid w:val="009E328B"/>
    <w:rsid w:val="009E4130"/>
    <w:rsid w:val="009E6122"/>
    <w:rsid w:val="009E6DD0"/>
    <w:rsid w:val="009E6DEE"/>
    <w:rsid w:val="009E6E87"/>
    <w:rsid w:val="009E700C"/>
    <w:rsid w:val="009E7F79"/>
    <w:rsid w:val="009F082A"/>
    <w:rsid w:val="009F0BD9"/>
    <w:rsid w:val="009F12B4"/>
    <w:rsid w:val="009F33FA"/>
    <w:rsid w:val="009F347C"/>
    <w:rsid w:val="009F4D19"/>
    <w:rsid w:val="009F54D7"/>
    <w:rsid w:val="009F6619"/>
    <w:rsid w:val="009F68FF"/>
    <w:rsid w:val="009F6FEE"/>
    <w:rsid w:val="009F768E"/>
    <w:rsid w:val="009F7F88"/>
    <w:rsid w:val="00A00E77"/>
    <w:rsid w:val="00A01A4C"/>
    <w:rsid w:val="00A01C1F"/>
    <w:rsid w:val="00A01C98"/>
    <w:rsid w:val="00A04B6F"/>
    <w:rsid w:val="00A054CB"/>
    <w:rsid w:val="00A05E8F"/>
    <w:rsid w:val="00A0690B"/>
    <w:rsid w:val="00A06A54"/>
    <w:rsid w:val="00A0787D"/>
    <w:rsid w:val="00A10025"/>
    <w:rsid w:val="00A10423"/>
    <w:rsid w:val="00A10498"/>
    <w:rsid w:val="00A10A6F"/>
    <w:rsid w:val="00A118B4"/>
    <w:rsid w:val="00A129C6"/>
    <w:rsid w:val="00A14BDD"/>
    <w:rsid w:val="00A15A52"/>
    <w:rsid w:val="00A16698"/>
    <w:rsid w:val="00A1706F"/>
    <w:rsid w:val="00A1721D"/>
    <w:rsid w:val="00A17791"/>
    <w:rsid w:val="00A17A42"/>
    <w:rsid w:val="00A17F01"/>
    <w:rsid w:val="00A20EDD"/>
    <w:rsid w:val="00A210DB"/>
    <w:rsid w:val="00A21667"/>
    <w:rsid w:val="00A220FB"/>
    <w:rsid w:val="00A223A5"/>
    <w:rsid w:val="00A22536"/>
    <w:rsid w:val="00A244A1"/>
    <w:rsid w:val="00A24BC5"/>
    <w:rsid w:val="00A2504C"/>
    <w:rsid w:val="00A26E5D"/>
    <w:rsid w:val="00A276A6"/>
    <w:rsid w:val="00A276FF"/>
    <w:rsid w:val="00A30C82"/>
    <w:rsid w:val="00A31A01"/>
    <w:rsid w:val="00A32211"/>
    <w:rsid w:val="00A3287C"/>
    <w:rsid w:val="00A33758"/>
    <w:rsid w:val="00A33FDC"/>
    <w:rsid w:val="00A34114"/>
    <w:rsid w:val="00A34C81"/>
    <w:rsid w:val="00A34E19"/>
    <w:rsid w:val="00A34FF0"/>
    <w:rsid w:val="00A35165"/>
    <w:rsid w:val="00A35BE0"/>
    <w:rsid w:val="00A35C90"/>
    <w:rsid w:val="00A362F9"/>
    <w:rsid w:val="00A36F35"/>
    <w:rsid w:val="00A373CC"/>
    <w:rsid w:val="00A3760C"/>
    <w:rsid w:val="00A37704"/>
    <w:rsid w:val="00A37E59"/>
    <w:rsid w:val="00A40108"/>
    <w:rsid w:val="00A40D0C"/>
    <w:rsid w:val="00A41302"/>
    <w:rsid w:val="00A41C59"/>
    <w:rsid w:val="00A4350C"/>
    <w:rsid w:val="00A43644"/>
    <w:rsid w:val="00A4383B"/>
    <w:rsid w:val="00A44BB6"/>
    <w:rsid w:val="00A45734"/>
    <w:rsid w:val="00A45B90"/>
    <w:rsid w:val="00A462F7"/>
    <w:rsid w:val="00A46659"/>
    <w:rsid w:val="00A46F1A"/>
    <w:rsid w:val="00A47029"/>
    <w:rsid w:val="00A477C3"/>
    <w:rsid w:val="00A50299"/>
    <w:rsid w:val="00A5067A"/>
    <w:rsid w:val="00A533D5"/>
    <w:rsid w:val="00A53A31"/>
    <w:rsid w:val="00A53C68"/>
    <w:rsid w:val="00A5510E"/>
    <w:rsid w:val="00A559F4"/>
    <w:rsid w:val="00A56308"/>
    <w:rsid w:val="00A56547"/>
    <w:rsid w:val="00A57079"/>
    <w:rsid w:val="00A570E0"/>
    <w:rsid w:val="00A606A0"/>
    <w:rsid w:val="00A6077B"/>
    <w:rsid w:val="00A60A60"/>
    <w:rsid w:val="00A61263"/>
    <w:rsid w:val="00A614AD"/>
    <w:rsid w:val="00A61886"/>
    <w:rsid w:val="00A61E92"/>
    <w:rsid w:val="00A62757"/>
    <w:rsid w:val="00A639E0"/>
    <w:rsid w:val="00A63D89"/>
    <w:rsid w:val="00A64393"/>
    <w:rsid w:val="00A6526E"/>
    <w:rsid w:val="00A65DA4"/>
    <w:rsid w:val="00A66E04"/>
    <w:rsid w:val="00A67194"/>
    <w:rsid w:val="00A671B3"/>
    <w:rsid w:val="00A676F1"/>
    <w:rsid w:val="00A67968"/>
    <w:rsid w:val="00A7040E"/>
    <w:rsid w:val="00A70D5A"/>
    <w:rsid w:val="00A734F2"/>
    <w:rsid w:val="00A73DEE"/>
    <w:rsid w:val="00A74678"/>
    <w:rsid w:val="00A75AEA"/>
    <w:rsid w:val="00A75EA3"/>
    <w:rsid w:val="00A76063"/>
    <w:rsid w:val="00A767EB"/>
    <w:rsid w:val="00A771BF"/>
    <w:rsid w:val="00A77299"/>
    <w:rsid w:val="00A803C1"/>
    <w:rsid w:val="00A805F1"/>
    <w:rsid w:val="00A815B6"/>
    <w:rsid w:val="00A81953"/>
    <w:rsid w:val="00A827C9"/>
    <w:rsid w:val="00A83BF3"/>
    <w:rsid w:val="00A85B31"/>
    <w:rsid w:val="00A860FD"/>
    <w:rsid w:val="00A861F3"/>
    <w:rsid w:val="00A86C48"/>
    <w:rsid w:val="00A90DB1"/>
    <w:rsid w:val="00A9147B"/>
    <w:rsid w:val="00A9177F"/>
    <w:rsid w:val="00A91BA8"/>
    <w:rsid w:val="00A91EF1"/>
    <w:rsid w:val="00A91EF2"/>
    <w:rsid w:val="00A9325C"/>
    <w:rsid w:val="00A93680"/>
    <w:rsid w:val="00A9430B"/>
    <w:rsid w:val="00A94483"/>
    <w:rsid w:val="00A94529"/>
    <w:rsid w:val="00A94C42"/>
    <w:rsid w:val="00A959CA"/>
    <w:rsid w:val="00A96FC6"/>
    <w:rsid w:val="00A97A16"/>
    <w:rsid w:val="00A97B61"/>
    <w:rsid w:val="00A97C2E"/>
    <w:rsid w:val="00A97CE3"/>
    <w:rsid w:val="00A97E0C"/>
    <w:rsid w:val="00AA01DA"/>
    <w:rsid w:val="00AA11BA"/>
    <w:rsid w:val="00AA182B"/>
    <w:rsid w:val="00AA2394"/>
    <w:rsid w:val="00AA2D62"/>
    <w:rsid w:val="00AA2E2C"/>
    <w:rsid w:val="00AA2E90"/>
    <w:rsid w:val="00AA3077"/>
    <w:rsid w:val="00AA375B"/>
    <w:rsid w:val="00AA38AF"/>
    <w:rsid w:val="00AA41DE"/>
    <w:rsid w:val="00AA450C"/>
    <w:rsid w:val="00AA4B62"/>
    <w:rsid w:val="00AA571A"/>
    <w:rsid w:val="00AA5EB3"/>
    <w:rsid w:val="00AA5F1A"/>
    <w:rsid w:val="00AA6916"/>
    <w:rsid w:val="00AB022F"/>
    <w:rsid w:val="00AB110E"/>
    <w:rsid w:val="00AB11CF"/>
    <w:rsid w:val="00AB1287"/>
    <w:rsid w:val="00AB1CE8"/>
    <w:rsid w:val="00AB2470"/>
    <w:rsid w:val="00AB3FCD"/>
    <w:rsid w:val="00AB4506"/>
    <w:rsid w:val="00AB5190"/>
    <w:rsid w:val="00AB5513"/>
    <w:rsid w:val="00AB6DFC"/>
    <w:rsid w:val="00AB6E0F"/>
    <w:rsid w:val="00AB7354"/>
    <w:rsid w:val="00AB75DD"/>
    <w:rsid w:val="00AB7C46"/>
    <w:rsid w:val="00AC071C"/>
    <w:rsid w:val="00AC2076"/>
    <w:rsid w:val="00AC3637"/>
    <w:rsid w:val="00AC3D4F"/>
    <w:rsid w:val="00AC3DB7"/>
    <w:rsid w:val="00AC4699"/>
    <w:rsid w:val="00AC57CD"/>
    <w:rsid w:val="00AC59DF"/>
    <w:rsid w:val="00AC72C7"/>
    <w:rsid w:val="00AC7899"/>
    <w:rsid w:val="00AD13D6"/>
    <w:rsid w:val="00AD2C42"/>
    <w:rsid w:val="00AD4087"/>
    <w:rsid w:val="00AD5BEE"/>
    <w:rsid w:val="00AD6466"/>
    <w:rsid w:val="00AD6A21"/>
    <w:rsid w:val="00AD6BE0"/>
    <w:rsid w:val="00AD752F"/>
    <w:rsid w:val="00AE05DD"/>
    <w:rsid w:val="00AE0C8D"/>
    <w:rsid w:val="00AE0E2A"/>
    <w:rsid w:val="00AE1131"/>
    <w:rsid w:val="00AE1411"/>
    <w:rsid w:val="00AE2330"/>
    <w:rsid w:val="00AE27D6"/>
    <w:rsid w:val="00AE55BC"/>
    <w:rsid w:val="00AE5A99"/>
    <w:rsid w:val="00AE62E7"/>
    <w:rsid w:val="00AE686D"/>
    <w:rsid w:val="00AE6B27"/>
    <w:rsid w:val="00AE77AC"/>
    <w:rsid w:val="00AF0DC0"/>
    <w:rsid w:val="00AF0F96"/>
    <w:rsid w:val="00AF17E4"/>
    <w:rsid w:val="00AF21D7"/>
    <w:rsid w:val="00AF282C"/>
    <w:rsid w:val="00AF28EB"/>
    <w:rsid w:val="00AF31BA"/>
    <w:rsid w:val="00AF36B6"/>
    <w:rsid w:val="00AF4803"/>
    <w:rsid w:val="00AF4D10"/>
    <w:rsid w:val="00AF58CB"/>
    <w:rsid w:val="00AF7217"/>
    <w:rsid w:val="00AF726F"/>
    <w:rsid w:val="00AF783F"/>
    <w:rsid w:val="00B00208"/>
    <w:rsid w:val="00B00506"/>
    <w:rsid w:val="00B00673"/>
    <w:rsid w:val="00B00ED5"/>
    <w:rsid w:val="00B02315"/>
    <w:rsid w:val="00B02BF0"/>
    <w:rsid w:val="00B034DD"/>
    <w:rsid w:val="00B03AB4"/>
    <w:rsid w:val="00B04C3C"/>
    <w:rsid w:val="00B05B91"/>
    <w:rsid w:val="00B06ED4"/>
    <w:rsid w:val="00B077CC"/>
    <w:rsid w:val="00B07A28"/>
    <w:rsid w:val="00B1123F"/>
    <w:rsid w:val="00B13397"/>
    <w:rsid w:val="00B1400D"/>
    <w:rsid w:val="00B144AA"/>
    <w:rsid w:val="00B147C9"/>
    <w:rsid w:val="00B15BB2"/>
    <w:rsid w:val="00B1666B"/>
    <w:rsid w:val="00B16EBE"/>
    <w:rsid w:val="00B20655"/>
    <w:rsid w:val="00B21443"/>
    <w:rsid w:val="00B21D0E"/>
    <w:rsid w:val="00B22C57"/>
    <w:rsid w:val="00B23C76"/>
    <w:rsid w:val="00B23EEE"/>
    <w:rsid w:val="00B25E1E"/>
    <w:rsid w:val="00B27298"/>
    <w:rsid w:val="00B27384"/>
    <w:rsid w:val="00B276E4"/>
    <w:rsid w:val="00B27A6D"/>
    <w:rsid w:val="00B309F9"/>
    <w:rsid w:val="00B30DAD"/>
    <w:rsid w:val="00B31593"/>
    <w:rsid w:val="00B31782"/>
    <w:rsid w:val="00B34709"/>
    <w:rsid w:val="00B34F80"/>
    <w:rsid w:val="00B36928"/>
    <w:rsid w:val="00B37293"/>
    <w:rsid w:val="00B4076A"/>
    <w:rsid w:val="00B413EB"/>
    <w:rsid w:val="00B426B6"/>
    <w:rsid w:val="00B42C20"/>
    <w:rsid w:val="00B43AD9"/>
    <w:rsid w:val="00B443D5"/>
    <w:rsid w:val="00B44482"/>
    <w:rsid w:val="00B45012"/>
    <w:rsid w:val="00B450D9"/>
    <w:rsid w:val="00B45D36"/>
    <w:rsid w:val="00B46A93"/>
    <w:rsid w:val="00B46FF2"/>
    <w:rsid w:val="00B539EB"/>
    <w:rsid w:val="00B54B76"/>
    <w:rsid w:val="00B55AE3"/>
    <w:rsid w:val="00B560E5"/>
    <w:rsid w:val="00B576E1"/>
    <w:rsid w:val="00B6088D"/>
    <w:rsid w:val="00B608F1"/>
    <w:rsid w:val="00B60A96"/>
    <w:rsid w:val="00B60F79"/>
    <w:rsid w:val="00B617E2"/>
    <w:rsid w:val="00B6252C"/>
    <w:rsid w:val="00B62653"/>
    <w:rsid w:val="00B62CBE"/>
    <w:rsid w:val="00B62EFD"/>
    <w:rsid w:val="00B63999"/>
    <w:rsid w:val="00B63B4A"/>
    <w:rsid w:val="00B63DA0"/>
    <w:rsid w:val="00B64173"/>
    <w:rsid w:val="00B64F8D"/>
    <w:rsid w:val="00B6533C"/>
    <w:rsid w:val="00B6731A"/>
    <w:rsid w:val="00B673CA"/>
    <w:rsid w:val="00B678A4"/>
    <w:rsid w:val="00B70316"/>
    <w:rsid w:val="00B70903"/>
    <w:rsid w:val="00B70930"/>
    <w:rsid w:val="00B7108D"/>
    <w:rsid w:val="00B7117A"/>
    <w:rsid w:val="00B7128A"/>
    <w:rsid w:val="00B713F0"/>
    <w:rsid w:val="00B71BD7"/>
    <w:rsid w:val="00B72053"/>
    <w:rsid w:val="00B73D1E"/>
    <w:rsid w:val="00B74530"/>
    <w:rsid w:val="00B74E4D"/>
    <w:rsid w:val="00B75D3F"/>
    <w:rsid w:val="00B75D4C"/>
    <w:rsid w:val="00B76F2C"/>
    <w:rsid w:val="00B774EE"/>
    <w:rsid w:val="00B77723"/>
    <w:rsid w:val="00B77863"/>
    <w:rsid w:val="00B80008"/>
    <w:rsid w:val="00B801AC"/>
    <w:rsid w:val="00B809E2"/>
    <w:rsid w:val="00B815D3"/>
    <w:rsid w:val="00B8270D"/>
    <w:rsid w:val="00B82B33"/>
    <w:rsid w:val="00B8384C"/>
    <w:rsid w:val="00B84030"/>
    <w:rsid w:val="00B843A1"/>
    <w:rsid w:val="00B854BE"/>
    <w:rsid w:val="00B85704"/>
    <w:rsid w:val="00B868D6"/>
    <w:rsid w:val="00B86965"/>
    <w:rsid w:val="00B86D0A"/>
    <w:rsid w:val="00B8748B"/>
    <w:rsid w:val="00B87B3F"/>
    <w:rsid w:val="00B91818"/>
    <w:rsid w:val="00B922D6"/>
    <w:rsid w:val="00B93E18"/>
    <w:rsid w:val="00B93E2C"/>
    <w:rsid w:val="00B94BE5"/>
    <w:rsid w:val="00B9556B"/>
    <w:rsid w:val="00B96069"/>
    <w:rsid w:val="00B968F3"/>
    <w:rsid w:val="00BA0A76"/>
    <w:rsid w:val="00BA11A9"/>
    <w:rsid w:val="00BA30C2"/>
    <w:rsid w:val="00BA31C6"/>
    <w:rsid w:val="00BA4B0A"/>
    <w:rsid w:val="00BA4BBB"/>
    <w:rsid w:val="00BA699B"/>
    <w:rsid w:val="00BA76AB"/>
    <w:rsid w:val="00BB0225"/>
    <w:rsid w:val="00BB0423"/>
    <w:rsid w:val="00BB0F8B"/>
    <w:rsid w:val="00BB1D73"/>
    <w:rsid w:val="00BB2CE4"/>
    <w:rsid w:val="00BB3C27"/>
    <w:rsid w:val="00BB4008"/>
    <w:rsid w:val="00BB42D2"/>
    <w:rsid w:val="00BB5449"/>
    <w:rsid w:val="00BB5C00"/>
    <w:rsid w:val="00BB6ECF"/>
    <w:rsid w:val="00BB74B3"/>
    <w:rsid w:val="00BB777A"/>
    <w:rsid w:val="00BB7E0B"/>
    <w:rsid w:val="00BC06FE"/>
    <w:rsid w:val="00BC1221"/>
    <w:rsid w:val="00BC1765"/>
    <w:rsid w:val="00BC1FD6"/>
    <w:rsid w:val="00BC25D7"/>
    <w:rsid w:val="00BC320C"/>
    <w:rsid w:val="00BC43C2"/>
    <w:rsid w:val="00BC464D"/>
    <w:rsid w:val="00BC4883"/>
    <w:rsid w:val="00BC5454"/>
    <w:rsid w:val="00BC5F7F"/>
    <w:rsid w:val="00BC72BA"/>
    <w:rsid w:val="00BC74EE"/>
    <w:rsid w:val="00BC777E"/>
    <w:rsid w:val="00BC7E23"/>
    <w:rsid w:val="00BD219A"/>
    <w:rsid w:val="00BD2C42"/>
    <w:rsid w:val="00BD2EF9"/>
    <w:rsid w:val="00BD2F1D"/>
    <w:rsid w:val="00BD3997"/>
    <w:rsid w:val="00BD5D7E"/>
    <w:rsid w:val="00BD62E5"/>
    <w:rsid w:val="00BD68BB"/>
    <w:rsid w:val="00BD6EF9"/>
    <w:rsid w:val="00BD754C"/>
    <w:rsid w:val="00BD78C6"/>
    <w:rsid w:val="00BD7F54"/>
    <w:rsid w:val="00BE01E1"/>
    <w:rsid w:val="00BE0849"/>
    <w:rsid w:val="00BE15DA"/>
    <w:rsid w:val="00BE19AD"/>
    <w:rsid w:val="00BE1B2F"/>
    <w:rsid w:val="00BE2A00"/>
    <w:rsid w:val="00BE369C"/>
    <w:rsid w:val="00BE4FBC"/>
    <w:rsid w:val="00BE5338"/>
    <w:rsid w:val="00BE5A5B"/>
    <w:rsid w:val="00BE5B7C"/>
    <w:rsid w:val="00BE61C4"/>
    <w:rsid w:val="00BE72FD"/>
    <w:rsid w:val="00BE733C"/>
    <w:rsid w:val="00BE73D4"/>
    <w:rsid w:val="00BE791F"/>
    <w:rsid w:val="00BE7AF2"/>
    <w:rsid w:val="00BF1EF8"/>
    <w:rsid w:val="00BF25A9"/>
    <w:rsid w:val="00BF2DE5"/>
    <w:rsid w:val="00BF39B7"/>
    <w:rsid w:val="00BF486D"/>
    <w:rsid w:val="00BF4C49"/>
    <w:rsid w:val="00BF4D1A"/>
    <w:rsid w:val="00BF5168"/>
    <w:rsid w:val="00BF5A5B"/>
    <w:rsid w:val="00BF6338"/>
    <w:rsid w:val="00BF6D56"/>
    <w:rsid w:val="00BF7CE1"/>
    <w:rsid w:val="00C00D03"/>
    <w:rsid w:val="00C00D9C"/>
    <w:rsid w:val="00C01DFC"/>
    <w:rsid w:val="00C02513"/>
    <w:rsid w:val="00C0270E"/>
    <w:rsid w:val="00C0282B"/>
    <w:rsid w:val="00C044E4"/>
    <w:rsid w:val="00C047A4"/>
    <w:rsid w:val="00C05013"/>
    <w:rsid w:val="00C053B5"/>
    <w:rsid w:val="00C067E0"/>
    <w:rsid w:val="00C071C7"/>
    <w:rsid w:val="00C0773D"/>
    <w:rsid w:val="00C1025D"/>
    <w:rsid w:val="00C110C7"/>
    <w:rsid w:val="00C11733"/>
    <w:rsid w:val="00C12CC1"/>
    <w:rsid w:val="00C12D93"/>
    <w:rsid w:val="00C12EE2"/>
    <w:rsid w:val="00C13103"/>
    <w:rsid w:val="00C139DE"/>
    <w:rsid w:val="00C13B55"/>
    <w:rsid w:val="00C13CB8"/>
    <w:rsid w:val="00C14CD4"/>
    <w:rsid w:val="00C151CE"/>
    <w:rsid w:val="00C15BBB"/>
    <w:rsid w:val="00C16439"/>
    <w:rsid w:val="00C2092E"/>
    <w:rsid w:val="00C20F37"/>
    <w:rsid w:val="00C211AE"/>
    <w:rsid w:val="00C213FD"/>
    <w:rsid w:val="00C21C42"/>
    <w:rsid w:val="00C23520"/>
    <w:rsid w:val="00C23FE1"/>
    <w:rsid w:val="00C24AE3"/>
    <w:rsid w:val="00C25082"/>
    <w:rsid w:val="00C2570A"/>
    <w:rsid w:val="00C25B91"/>
    <w:rsid w:val="00C265D4"/>
    <w:rsid w:val="00C26DC6"/>
    <w:rsid w:val="00C27447"/>
    <w:rsid w:val="00C275FC"/>
    <w:rsid w:val="00C2772B"/>
    <w:rsid w:val="00C30615"/>
    <w:rsid w:val="00C30715"/>
    <w:rsid w:val="00C30D84"/>
    <w:rsid w:val="00C3131B"/>
    <w:rsid w:val="00C317A7"/>
    <w:rsid w:val="00C33383"/>
    <w:rsid w:val="00C33614"/>
    <w:rsid w:val="00C33AEC"/>
    <w:rsid w:val="00C35493"/>
    <w:rsid w:val="00C35C8E"/>
    <w:rsid w:val="00C361E9"/>
    <w:rsid w:val="00C3671E"/>
    <w:rsid w:val="00C36B1D"/>
    <w:rsid w:val="00C3742C"/>
    <w:rsid w:val="00C410D2"/>
    <w:rsid w:val="00C41363"/>
    <w:rsid w:val="00C42209"/>
    <w:rsid w:val="00C429D5"/>
    <w:rsid w:val="00C42A78"/>
    <w:rsid w:val="00C42DC9"/>
    <w:rsid w:val="00C437D6"/>
    <w:rsid w:val="00C45897"/>
    <w:rsid w:val="00C4601D"/>
    <w:rsid w:val="00C470F6"/>
    <w:rsid w:val="00C47B1C"/>
    <w:rsid w:val="00C504EF"/>
    <w:rsid w:val="00C509D2"/>
    <w:rsid w:val="00C51CCA"/>
    <w:rsid w:val="00C53131"/>
    <w:rsid w:val="00C54473"/>
    <w:rsid w:val="00C55945"/>
    <w:rsid w:val="00C55D94"/>
    <w:rsid w:val="00C55DCB"/>
    <w:rsid w:val="00C55FBB"/>
    <w:rsid w:val="00C57582"/>
    <w:rsid w:val="00C608EF"/>
    <w:rsid w:val="00C60E9C"/>
    <w:rsid w:val="00C612BB"/>
    <w:rsid w:val="00C612BF"/>
    <w:rsid w:val="00C61338"/>
    <w:rsid w:val="00C6207E"/>
    <w:rsid w:val="00C6324D"/>
    <w:rsid w:val="00C64773"/>
    <w:rsid w:val="00C64FAE"/>
    <w:rsid w:val="00C653CC"/>
    <w:rsid w:val="00C66344"/>
    <w:rsid w:val="00C66EDC"/>
    <w:rsid w:val="00C674F7"/>
    <w:rsid w:val="00C67D05"/>
    <w:rsid w:val="00C714EE"/>
    <w:rsid w:val="00C731E1"/>
    <w:rsid w:val="00C7335A"/>
    <w:rsid w:val="00C741A7"/>
    <w:rsid w:val="00C745D7"/>
    <w:rsid w:val="00C74F7C"/>
    <w:rsid w:val="00C75F87"/>
    <w:rsid w:val="00C7702A"/>
    <w:rsid w:val="00C773C8"/>
    <w:rsid w:val="00C806B8"/>
    <w:rsid w:val="00C80A25"/>
    <w:rsid w:val="00C80E5E"/>
    <w:rsid w:val="00C82930"/>
    <w:rsid w:val="00C82C9E"/>
    <w:rsid w:val="00C83945"/>
    <w:rsid w:val="00C841BF"/>
    <w:rsid w:val="00C84BF3"/>
    <w:rsid w:val="00C8531E"/>
    <w:rsid w:val="00C85560"/>
    <w:rsid w:val="00C85A50"/>
    <w:rsid w:val="00C85B6C"/>
    <w:rsid w:val="00C85ECE"/>
    <w:rsid w:val="00C85F1C"/>
    <w:rsid w:val="00C86BFE"/>
    <w:rsid w:val="00C86D8A"/>
    <w:rsid w:val="00C86FF3"/>
    <w:rsid w:val="00C87E2F"/>
    <w:rsid w:val="00C900B0"/>
    <w:rsid w:val="00C9080B"/>
    <w:rsid w:val="00C90EA7"/>
    <w:rsid w:val="00C90EF9"/>
    <w:rsid w:val="00C9146C"/>
    <w:rsid w:val="00C9164E"/>
    <w:rsid w:val="00C92931"/>
    <w:rsid w:val="00C92949"/>
    <w:rsid w:val="00C9312F"/>
    <w:rsid w:val="00C93A97"/>
    <w:rsid w:val="00C94499"/>
    <w:rsid w:val="00C9491A"/>
    <w:rsid w:val="00C94BE9"/>
    <w:rsid w:val="00C95DD7"/>
    <w:rsid w:val="00C95ED6"/>
    <w:rsid w:val="00C965B2"/>
    <w:rsid w:val="00C96BBB"/>
    <w:rsid w:val="00CA04D5"/>
    <w:rsid w:val="00CA1AC8"/>
    <w:rsid w:val="00CA1FB0"/>
    <w:rsid w:val="00CA24D1"/>
    <w:rsid w:val="00CA381C"/>
    <w:rsid w:val="00CA39CC"/>
    <w:rsid w:val="00CA403D"/>
    <w:rsid w:val="00CA4743"/>
    <w:rsid w:val="00CA4818"/>
    <w:rsid w:val="00CA57FE"/>
    <w:rsid w:val="00CA5FF6"/>
    <w:rsid w:val="00CA6F32"/>
    <w:rsid w:val="00CA735E"/>
    <w:rsid w:val="00CA7BEE"/>
    <w:rsid w:val="00CB01B1"/>
    <w:rsid w:val="00CB0B34"/>
    <w:rsid w:val="00CB0EE0"/>
    <w:rsid w:val="00CB138F"/>
    <w:rsid w:val="00CB13CF"/>
    <w:rsid w:val="00CB13E0"/>
    <w:rsid w:val="00CB2343"/>
    <w:rsid w:val="00CB2F02"/>
    <w:rsid w:val="00CB387F"/>
    <w:rsid w:val="00CB44CC"/>
    <w:rsid w:val="00CB4506"/>
    <w:rsid w:val="00CB4522"/>
    <w:rsid w:val="00CB4741"/>
    <w:rsid w:val="00CB7145"/>
    <w:rsid w:val="00CB76B8"/>
    <w:rsid w:val="00CB7703"/>
    <w:rsid w:val="00CB77EE"/>
    <w:rsid w:val="00CB783B"/>
    <w:rsid w:val="00CB7AE2"/>
    <w:rsid w:val="00CC1C1E"/>
    <w:rsid w:val="00CC2611"/>
    <w:rsid w:val="00CC2803"/>
    <w:rsid w:val="00CC2813"/>
    <w:rsid w:val="00CC295E"/>
    <w:rsid w:val="00CC48D6"/>
    <w:rsid w:val="00CC544C"/>
    <w:rsid w:val="00CC559E"/>
    <w:rsid w:val="00CC707F"/>
    <w:rsid w:val="00CC708A"/>
    <w:rsid w:val="00CC79CD"/>
    <w:rsid w:val="00CD0E5B"/>
    <w:rsid w:val="00CD1841"/>
    <w:rsid w:val="00CD1BF1"/>
    <w:rsid w:val="00CD27CD"/>
    <w:rsid w:val="00CD34A5"/>
    <w:rsid w:val="00CD42CF"/>
    <w:rsid w:val="00CD4BF8"/>
    <w:rsid w:val="00CD52CD"/>
    <w:rsid w:val="00CD58F5"/>
    <w:rsid w:val="00CD644F"/>
    <w:rsid w:val="00CD6525"/>
    <w:rsid w:val="00CD652E"/>
    <w:rsid w:val="00CD68DD"/>
    <w:rsid w:val="00CD6A0A"/>
    <w:rsid w:val="00CD6EF2"/>
    <w:rsid w:val="00CD786B"/>
    <w:rsid w:val="00CD7B8B"/>
    <w:rsid w:val="00CE01F8"/>
    <w:rsid w:val="00CE08BB"/>
    <w:rsid w:val="00CE24B9"/>
    <w:rsid w:val="00CE2ADD"/>
    <w:rsid w:val="00CE2B04"/>
    <w:rsid w:val="00CE2C27"/>
    <w:rsid w:val="00CE3E8B"/>
    <w:rsid w:val="00CE47DC"/>
    <w:rsid w:val="00CE5298"/>
    <w:rsid w:val="00CE5322"/>
    <w:rsid w:val="00CE58EB"/>
    <w:rsid w:val="00CE69E4"/>
    <w:rsid w:val="00CF0041"/>
    <w:rsid w:val="00CF02F9"/>
    <w:rsid w:val="00CF0D4B"/>
    <w:rsid w:val="00CF2605"/>
    <w:rsid w:val="00CF2804"/>
    <w:rsid w:val="00CF35B2"/>
    <w:rsid w:val="00CF38D4"/>
    <w:rsid w:val="00CF3D4C"/>
    <w:rsid w:val="00CF5C07"/>
    <w:rsid w:val="00CF5CFC"/>
    <w:rsid w:val="00D00655"/>
    <w:rsid w:val="00D00AF5"/>
    <w:rsid w:val="00D00E75"/>
    <w:rsid w:val="00D01917"/>
    <w:rsid w:val="00D01EBC"/>
    <w:rsid w:val="00D03DE1"/>
    <w:rsid w:val="00D03EDD"/>
    <w:rsid w:val="00D03EEF"/>
    <w:rsid w:val="00D03F69"/>
    <w:rsid w:val="00D04F08"/>
    <w:rsid w:val="00D050BB"/>
    <w:rsid w:val="00D07087"/>
    <w:rsid w:val="00D07A1B"/>
    <w:rsid w:val="00D07ACD"/>
    <w:rsid w:val="00D07E2A"/>
    <w:rsid w:val="00D07EA6"/>
    <w:rsid w:val="00D11582"/>
    <w:rsid w:val="00D11666"/>
    <w:rsid w:val="00D11D07"/>
    <w:rsid w:val="00D124D3"/>
    <w:rsid w:val="00D138F2"/>
    <w:rsid w:val="00D1489F"/>
    <w:rsid w:val="00D1491B"/>
    <w:rsid w:val="00D159F8"/>
    <w:rsid w:val="00D15DD2"/>
    <w:rsid w:val="00D16E55"/>
    <w:rsid w:val="00D16ECF"/>
    <w:rsid w:val="00D17C04"/>
    <w:rsid w:val="00D17CFB"/>
    <w:rsid w:val="00D17E3E"/>
    <w:rsid w:val="00D2046D"/>
    <w:rsid w:val="00D21820"/>
    <w:rsid w:val="00D2255E"/>
    <w:rsid w:val="00D226B9"/>
    <w:rsid w:val="00D23437"/>
    <w:rsid w:val="00D2372E"/>
    <w:rsid w:val="00D2373E"/>
    <w:rsid w:val="00D239F4"/>
    <w:rsid w:val="00D2459A"/>
    <w:rsid w:val="00D248D9"/>
    <w:rsid w:val="00D24CD7"/>
    <w:rsid w:val="00D259E0"/>
    <w:rsid w:val="00D27131"/>
    <w:rsid w:val="00D31AD0"/>
    <w:rsid w:val="00D31B9E"/>
    <w:rsid w:val="00D31BBD"/>
    <w:rsid w:val="00D32658"/>
    <w:rsid w:val="00D34E83"/>
    <w:rsid w:val="00D35189"/>
    <w:rsid w:val="00D352D0"/>
    <w:rsid w:val="00D3701D"/>
    <w:rsid w:val="00D37354"/>
    <w:rsid w:val="00D404B1"/>
    <w:rsid w:val="00D40C33"/>
    <w:rsid w:val="00D4104F"/>
    <w:rsid w:val="00D4313E"/>
    <w:rsid w:val="00D43988"/>
    <w:rsid w:val="00D4707E"/>
    <w:rsid w:val="00D47238"/>
    <w:rsid w:val="00D4762C"/>
    <w:rsid w:val="00D47867"/>
    <w:rsid w:val="00D47EAF"/>
    <w:rsid w:val="00D50B2A"/>
    <w:rsid w:val="00D5132A"/>
    <w:rsid w:val="00D51517"/>
    <w:rsid w:val="00D52D7F"/>
    <w:rsid w:val="00D53034"/>
    <w:rsid w:val="00D53103"/>
    <w:rsid w:val="00D541A8"/>
    <w:rsid w:val="00D54E13"/>
    <w:rsid w:val="00D54F79"/>
    <w:rsid w:val="00D55A05"/>
    <w:rsid w:val="00D562A8"/>
    <w:rsid w:val="00D56D22"/>
    <w:rsid w:val="00D5724E"/>
    <w:rsid w:val="00D60210"/>
    <w:rsid w:val="00D61A9F"/>
    <w:rsid w:val="00D61EDD"/>
    <w:rsid w:val="00D628AF"/>
    <w:rsid w:val="00D6294B"/>
    <w:rsid w:val="00D62A4A"/>
    <w:rsid w:val="00D64AE1"/>
    <w:rsid w:val="00D654F8"/>
    <w:rsid w:val="00D66697"/>
    <w:rsid w:val="00D676B3"/>
    <w:rsid w:val="00D6787A"/>
    <w:rsid w:val="00D67ACA"/>
    <w:rsid w:val="00D67F69"/>
    <w:rsid w:val="00D71103"/>
    <w:rsid w:val="00D71213"/>
    <w:rsid w:val="00D713E4"/>
    <w:rsid w:val="00D72FAD"/>
    <w:rsid w:val="00D7314F"/>
    <w:rsid w:val="00D73259"/>
    <w:rsid w:val="00D73AF1"/>
    <w:rsid w:val="00D73E64"/>
    <w:rsid w:val="00D74504"/>
    <w:rsid w:val="00D74639"/>
    <w:rsid w:val="00D74926"/>
    <w:rsid w:val="00D74E38"/>
    <w:rsid w:val="00D75449"/>
    <w:rsid w:val="00D770D5"/>
    <w:rsid w:val="00D809B7"/>
    <w:rsid w:val="00D812A9"/>
    <w:rsid w:val="00D813B0"/>
    <w:rsid w:val="00D8141C"/>
    <w:rsid w:val="00D81A57"/>
    <w:rsid w:val="00D82664"/>
    <w:rsid w:val="00D8269A"/>
    <w:rsid w:val="00D82962"/>
    <w:rsid w:val="00D82A4C"/>
    <w:rsid w:val="00D83A65"/>
    <w:rsid w:val="00D846CF"/>
    <w:rsid w:val="00D85683"/>
    <w:rsid w:val="00D86320"/>
    <w:rsid w:val="00D86D21"/>
    <w:rsid w:val="00D86D72"/>
    <w:rsid w:val="00D8772B"/>
    <w:rsid w:val="00D90114"/>
    <w:rsid w:val="00D90679"/>
    <w:rsid w:val="00D90F8A"/>
    <w:rsid w:val="00D91621"/>
    <w:rsid w:val="00D9180B"/>
    <w:rsid w:val="00D925BC"/>
    <w:rsid w:val="00D929B7"/>
    <w:rsid w:val="00D9330D"/>
    <w:rsid w:val="00D94EB6"/>
    <w:rsid w:val="00D95111"/>
    <w:rsid w:val="00D954B6"/>
    <w:rsid w:val="00D9553A"/>
    <w:rsid w:val="00D958D2"/>
    <w:rsid w:val="00D95A4C"/>
    <w:rsid w:val="00D95C5C"/>
    <w:rsid w:val="00D9623F"/>
    <w:rsid w:val="00D964B0"/>
    <w:rsid w:val="00D96B91"/>
    <w:rsid w:val="00D9740F"/>
    <w:rsid w:val="00D97545"/>
    <w:rsid w:val="00D9770C"/>
    <w:rsid w:val="00D9787B"/>
    <w:rsid w:val="00D97BA1"/>
    <w:rsid w:val="00D97F28"/>
    <w:rsid w:val="00DA09FC"/>
    <w:rsid w:val="00DA28A7"/>
    <w:rsid w:val="00DA2BB0"/>
    <w:rsid w:val="00DA2BCC"/>
    <w:rsid w:val="00DA2FCA"/>
    <w:rsid w:val="00DA348E"/>
    <w:rsid w:val="00DA373A"/>
    <w:rsid w:val="00DA5162"/>
    <w:rsid w:val="00DA59D2"/>
    <w:rsid w:val="00DA5A9C"/>
    <w:rsid w:val="00DA5F60"/>
    <w:rsid w:val="00DA6E9D"/>
    <w:rsid w:val="00DA6FF3"/>
    <w:rsid w:val="00DB1595"/>
    <w:rsid w:val="00DB297D"/>
    <w:rsid w:val="00DB2B7E"/>
    <w:rsid w:val="00DB2BA7"/>
    <w:rsid w:val="00DB2F6C"/>
    <w:rsid w:val="00DB345D"/>
    <w:rsid w:val="00DB53A2"/>
    <w:rsid w:val="00DB5719"/>
    <w:rsid w:val="00DB624E"/>
    <w:rsid w:val="00DB7C6B"/>
    <w:rsid w:val="00DC02EA"/>
    <w:rsid w:val="00DC0860"/>
    <w:rsid w:val="00DC1309"/>
    <w:rsid w:val="00DC16F9"/>
    <w:rsid w:val="00DC1CA6"/>
    <w:rsid w:val="00DC20CF"/>
    <w:rsid w:val="00DC27E3"/>
    <w:rsid w:val="00DC3472"/>
    <w:rsid w:val="00DC4B44"/>
    <w:rsid w:val="00DC5C38"/>
    <w:rsid w:val="00DC5C39"/>
    <w:rsid w:val="00DC61A3"/>
    <w:rsid w:val="00DC6EB6"/>
    <w:rsid w:val="00DC7E69"/>
    <w:rsid w:val="00DD0467"/>
    <w:rsid w:val="00DD15EF"/>
    <w:rsid w:val="00DD1738"/>
    <w:rsid w:val="00DD190E"/>
    <w:rsid w:val="00DD2547"/>
    <w:rsid w:val="00DD3316"/>
    <w:rsid w:val="00DD3E02"/>
    <w:rsid w:val="00DD5654"/>
    <w:rsid w:val="00DD594C"/>
    <w:rsid w:val="00DD5E57"/>
    <w:rsid w:val="00DD5F57"/>
    <w:rsid w:val="00DD60E3"/>
    <w:rsid w:val="00DD7F9B"/>
    <w:rsid w:val="00DE3385"/>
    <w:rsid w:val="00DE3503"/>
    <w:rsid w:val="00DE3CA1"/>
    <w:rsid w:val="00DE4007"/>
    <w:rsid w:val="00DE4638"/>
    <w:rsid w:val="00DE4651"/>
    <w:rsid w:val="00DE534A"/>
    <w:rsid w:val="00DE55FD"/>
    <w:rsid w:val="00DE7265"/>
    <w:rsid w:val="00DE7525"/>
    <w:rsid w:val="00DF2247"/>
    <w:rsid w:val="00DF2353"/>
    <w:rsid w:val="00DF2531"/>
    <w:rsid w:val="00DF3AB2"/>
    <w:rsid w:val="00DF5784"/>
    <w:rsid w:val="00DF58B8"/>
    <w:rsid w:val="00DF5FF8"/>
    <w:rsid w:val="00DF6EE5"/>
    <w:rsid w:val="00E0077B"/>
    <w:rsid w:val="00E00898"/>
    <w:rsid w:val="00E029E1"/>
    <w:rsid w:val="00E03634"/>
    <w:rsid w:val="00E050B6"/>
    <w:rsid w:val="00E0557E"/>
    <w:rsid w:val="00E05D14"/>
    <w:rsid w:val="00E0628E"/>
    <w:rsid w:val="00E06460"/>
    <w:rsid w:val="00E073CF"/>
    <w:rsid w:val="00E074A3"/>
    <w:rsid w:val="00E07997"/>
    <w:rsid w:val="00E07A6A"/>
    <w:rsid w:val="00E07EB8"/>
    <w:rsid w:val="00E10388"/>
    <w:rsid w:val="00E107B2"/>
    <w:rsid w:val="00E10EB1"/>
    <w:rsid w:val="00E114CF"/>
    <w:rsid w:val="00E115E0"/>
    <w:rsid w:val="00E1200C"/>
    <w:rsid w:val="00E120E4"/>
    <w:rsid w:val="00E12928"/>
    <w:rsid w:val="00E13636"/>
    <w:rsid w:val="00E13D02"/>
    <w:rsid w:val="00E149F4"/>
    <w:rsid w:val="00E17ECD"/>
    <w:rsid w:val="00E17F53"/>
    <w:rsid w:val="00E20354"/>
    <w:rsid w:val="00E207DB"/>
    <w:rsid w:val="00E21F5A"/>
    <w:rsid w:val="00E234C7"/>
    <w:rsid w:val="00E24EC1"/>
    <w:rsid w:val="00E25124"/>
    <w:rsid w:val="00E25A4F"/>
    <w:rsid w:val="00E261F8"/>
    <w:rsid w:val="00E26B25"/>
    <w:rsid w:val="00E26BD5"/>
    <w:rsid w:val="00E26E25"/>
    <w:rsid w:val="00E27DF3"/>
    <w:rsid w:val="00E3110A"/>
    <w:rsid w:val="00E319CB"/>
    <w:rsid w:val="00E319DC"/>
    <w:rsid w:val="00E324AD"/>
    <w:rsid w:val="00E3342D"/>
    <w:rsid w:val="00E33683"/>
    <w:rsid w:val="00E33734"/>
    <w:rsid w:val="00E34AA9"/>
    <w:rsid w:val="00E368F3"/>
    <w:rsid w:val="00E36A4F"/>
    <w:rsid w:val="00E37D5F"/>
    <w:rsid w:val="00E40942"/>
    <w:rsid w:val="00E4125E"/>
    <w:rsid w:val="00E41E22"/>
    <w:rsid w:val="00E4239D"/>
    <w:rsid w:val="00E429A0"/>
    <w:rsid w:val="00E42D39"/>
    <w:rsid w:val="00E4337B"/>
    <w:rsid w:val="00E44CD4"/>
    <w:rsid w:val="00E45B91"/>
    <w:rsid w:val="00E46804"/>
    <w:rsid w:val="00E46C57"/>
    <w:rsid w:val="00E470BF"/>
    <w:rsid w:val="00E47A7B"/>
    <w:rsid w:val="00E513EE"/>
    <w:rsid w:val="00E5176B"/>
    <w:rsid w:val="00E51813"/>
    <w:rsid w:val="00E527C9"/>
    <w:rsid w:val="00E528BA"/>
    <w:rsid w:val="00E53497"/>
    <w:rsid w:val="00E534DF"/>
    <w:rsid w:val="00E537A9"/>
    <w:rsid w:val="00E55A50"/>
    <w:rsid w:val="00E565C2"/>
    <w:rsid w:val="00E56D70"/>
    <w:rsid w:val="00E56E1E"/>
    <w:rsid w:val="00E60269"/>
    <w:rsid w:val="00E60887"/>
    <w:rsid w:val="00E60C32"/>
    <w:rsid w:val="00E61582"/>
    <w:rsid w:val="00E61619"/>
    <w:rsid w:val="00E61E25"/>
    <w:rsid w:val="00E6272B"/>
    <w:rsid w:val="00E627F6"/>
    <w:rsid w:val="00E62CEF"/>
    <w:rsid w:val="00E62CF0"/>
    <w:rsid w:val="00E62F1A"/>
    <w:rsid w:val="00E63F1D"/>
    <w:rsid w:val="00E63FA5"/>
    <w:rsid w:val="00E646D5"/>
    <w:rsid w:val="00E64964"/>
    <w:rsid w:val="00E64EEE"/>
    <w:rsid w:val="00E66F49"/>
    <w:rsid w:val="00E67F4F"/>
    <w:rsid w:val="00E721A9"/>
    <w:rsid w:val="00E72ABF"/>
    <w:rsid w:val="00E73549"/>
    <w:rsid w:val="00E74861"/>
    <w:rsid w:val="00E748DD"/>
    <w:rsid w:val="00E74EC9"/>
    <w:rsid w:val="00E750A5"/>
    <w:rsid w:val="00E75733"/>
    <w:rsid w:val="00E75A9D"/>
    <w:rsid w:val="00E76B19"/>
    <w:rsid w:val="00E80CF7"/>
    <w:rsid w:val="00E81B8E"/>
    <w:rsid w:val="00E81ED7"/>
    <w:rsid w:val="00E82FC0"/>
    <w:rsid w:val="00E8369B"/>
    <w:rsid w:val="00E8377F"/>
    <w:rsid w:val="00E83850"/>
    <w:rsid w:val="00E85244"/>
    <w:rsid w:val="00E86159"/>
    <w:rsid w:val="00E86741"/>
    <w:rsid w:val="00E87AE4"/>
    <w:rsid w:val="00E90C1F"/>
    <w:rsid w:val="00E9124A"/>
    <w:rsid w:val="00E91A8F"/>
    <w:rsid w:val="00E9222C"/>
    <w:rsid w:val="00E92AA5"/>
    <w:rsid w:val="00E9314A"/>
    <w:rsid w:val="00E9558B"/>
    <w:rsid w:val="00E95D1B"/>
    <w:rsid w:val="00E9735C"/>
    <w:rsid w:val="00EA234B"/>
    <w:rsid w:val="00EA274B"/>
    <w:rsid w:val="00EA2EFA"/>
    <w:rsid w:val="00EA3184"/>
    <w:rsid w:val="00EA3732"/>
    <w:rsid w:val="00EA3CDD"/>
    <w:rsid w:val="00EA415C"/>
    <w:rsid w:val="00EA5028"/>
    <w:rsid w:val="00EA50D6"/>
    <w:rsid w:val="00EA5714"/>
    <w:rsid w:val="00EA60EF"/>
    <w:rsid w:val="00EA6A30"/>
    <w:rsid w:val="00EA6A41"/>
    <w:rsid w:val="00EA7662"/>
    <w:rsid w:val="00EA7CC3"/>
    <w:rsid w:val="00EB016F"/>
    <w:rsid w:val="00EB04F4"/>
    <w:rsid w:val="00EB1EAC"/>
    <w:rsid w:val="00EB2216"/>
    <w:rsid w:val="00EB27D1"/>
    <w:rsid w:val="00EB33F4"/>
    <w:rsid w:val="00EB3B9C"/>
    <w:rsid w:val="00EB3CFC"/>
    <w:rsid w:val="00EB4C04"/>
    <w:rsid w:val="00EB55AF"/>
    <w:rsid w:val="00EB57BD"/>
    <w:rsid w:val="00EB623E"/>
    <w:rsid w:val="00EB6502"/>
    <w:rsid w:val="00EB7D9C"/>
    <w:rsid w:val="00EC1076"/>
    <w:rsid w:val="00EC1406"/>
    <w:rsid w:val="00EC1526"/>
    <w:rsid w:val="00EC16C0"/>
    <w:rsid w:val="00EC23F3"/>
    <w:rsid w:val="00EC2677"/>
    <w:rsid w:val="00EC2AB5"/>
    <w:rsid w:val="00EC36F2"/>
    <w:rsid w:val="00EC46CC"/>
    <w:rsid w:val="00EC4856"/>
    <w:rsid w:val="00EC4B79"/>
    <w:rsid w:val="00EC4F33"/>
    <w:rsid w:val="00EC5115"/>
    <w:rsid w:val="00EC7E82"/>
    <w:rsid w:val="00EC7E91"/>
    <w:rsid w:val="00ED0B81"/>
    <w:rsid w:val="00ED166B"/>
    <w:rsid w:val="00ED1A64"/>
    <w:rsid w:val="00ED28DD"/>
    <w:rsid w:val="00ED2E31"/>
    <w:rsid w:val="00ED3133"/>
    <w:rsid w:val="00ED35A0"/>
    <w:rsid w:val="00ED43A6"/>
    <w:rsid w:val="00ED69B3"/>
    <w:rsid w:val="00ED6FB9"/>
    <w:rsid w:val="00ED7371"/>
    <w:rsid w:val="00ED7E2F"/>
    <w:rsid w:val="00ED7EA8"/>
    <w:rsid w:val="00EE02A3"/>
    <w:rsid w:val="00EE0650"/>
    <w:rsid w:val="00EE1313"/>
    <w:rsid w:val="00EE1F82"/>
    <w:rsid w:val="00EE2126"/>
    <w:rsid w:val="00EE3363"/>
    <w:rsid w:val="00EE4C7E"/>
    <w:rsid w:val="00EE556D"/>
    <w:rsid w:val="00EE6184"/>
    <w:rsid w:val="00EE641E"/>
    <w:rsid w:val="00EE7A2C"/>
    <w:rsid w:val="00EF09D3"/>
    <w:rsid w:val="00EF108A"/>
    <w:rsid w:val="00EF1240"/>
    <w:rsid w:val="00EF1F75"/>
    <w:rsid w:val="00EF2240"/>
    <w:rsid w:val="00EF3069"/>
    <w:rsid w:val="00EF31A5"/>
    <w:rsid w:val="00EF3700"/>
    <w:rsid w:val="00EF3EB5"/>
    <w:rsid w:val="00EF4939"/>
    <w:rsid w:val="00EF57B9"/>
    <w:rsid w:val="00EF57DF"/>
    <w:rsid w:val="00EF6556"/>
    <w:rsid w:val="00EF71DF"/>
    <w:rsid w:val="00F0252E"/>
    <w:rsid w:val="00F02BAD"/>
    <w:rsid w:val="00F0319D"/>
    <w:rsid w:val="00F07063"/>
    <w:rsid w:val="00F11635"/>
    <w:rsid w:val="00F12D86"/>
    <w:rsid w:val="00F131AA"/>
    <w:rsid w:val="00F131FD"/>
    <w:rsid w:val="00F1350B"/>
    <w:rsid w:val="00F13B05"/>
    <w:rsid w:val="00F13B5A"/>
    <w:rsid w:val="00F13EA5"/>
    <w:rsid w:val="00F13EED"/>
    <w:rsid w:val="00F14263"/>
    <w:rsid w:val="00F15AF2"/>
    <w:rsid w:val="00F1673D"/>
    <w:rsid w:val="00F21290"/>
    <w:rsid w:val="00F220D3"/>
    <w:rsid w:val="00F2299F"/>
    <w:rsid w:val="00F231F0"/>
    <w:rsid w:val="00F24787"/>
    <w:rsid w:val="00F24D39"/>
    <w:rsid w:val="00F251E2"/>
    <w:rsid w:val="00F2586D"/>
    <w:rsid w:val="00F259A5"/>
    <w:rsid w:val="00F25EF1"/>
    <w:rsid w:val="00F263E5"/>
    <w:rsid w:val="00F301E0"/>
    <w:rsid w:val="00F307CC"/>
    <w:rsid w:val="00F30BBA"/>
    <w:rsid w:val="00F31630"/>
    <w:rsid w:val="00F31A8F"/>
    <w:rsid w:val="00F320C0"/>
    <w:rsid w:val="00F32D63"/>
    <w:rsid w:val="00F34012"/>
    <w:rsid w:val="00F343A3"/>
    <w:rsid w:val="00F34C99"/>
    <w:rsid w:val="00F3531A"/>
    <w:rsid w:val="00F35F5C"/>
    <w:rsid w:val="00F36350"/>
    <w:rsid w:val="00F36E97"/>
    <w:rsid w:val="00F4173F"/>
    <w:rsid w:val="00F41DB0"/>
    <w:rsid w:val="00F42D15"/>
    <w:rsid w:val="00F439BB"/>
    <w:rsid w:val="00F43CEB"/>
    <w:rsid w:val="00F449D7"/>
    <w:rsid w:val="00F461AE"/>
    <w:rsid w:val="00F467F9"/>
    <w:rsid w:val="00F4703C"/>
    <w:rsid w:val="00F50A96"/>
    <w:rsid w:val="00F5184D"/>
    <w:rsid w:val="00F51B88"/>
    <w:rsid w:val="00F51CB2"/>
    <w:rsid w:val="00F526F5"/>
    <w:rsid w:val="00F534D3"/>
    <w:rsid w:val="00F5421D"/>
    <w:rsid w:val="00F55022"/>
    <w:rsid w:val="00F55184"/>
    <w:rsid w:val="00F560C9"/>
    <w:rsid w:val="00F56A91"/>
    <w:rsid w:val="00F5704A"/>
    <w:rsid w:val="00F57FA7"/>
    <w:rsid w:val="00F60DF3"/>
    <w:rsid w:val="00F62057"/>
    <w:rsid w:val="00F6264B"/>
    <w:rsid w:val="00F62837"/>
    <w:rsid w:val="00F6290C"/>
    <w:rsid w:val="00F64433"/>
    <w:rsid w:val="00F646C8"/>
    <w:rsid w:val="00F66721"/>
    <w:rsid w:val="00F6773C"/>
    <w:rsid w:val="00F67988"/>
    <w:rsid w:val="00F67C01"/>
    <w:rsid w:val="00F70909"/>
    <w:rsid w:val="00F70D66"/>
    <w:rsid w:val="00F7114B"/>
    <w:rsid w:val="00F714BE"/>
    <w:rsid w:val="00F721EF"/>
    <w:rsid w:val="00F72AAF"/>
    <w:rsid w:val="00F72AC2"/>
    <w:rsid w:val="00F72F17"/>
    <w:rsid w:val="00F73923"/>
    <w:rsid w:val="00F73D91"/>
    <w:rsid w:val="00F74168"/>
    <w:rsid w:val="00F742F1"/>
    <w:rsid w:val="00F7470C"/>
    <w:rsid w:val="00F74942"/>
    <w:rsid w:val="00F76037"/>
    <w:rsid w:val="00F76171"/>
    <w:rsid w:val="00F761E0"/>
    <w:rsid w:val="00F76832"/>
    <w:rsid w:val="00F76B53"/>
    <w:rsid w:val="00F7761D"/>
    <w:rsid w:val="00F77724"/>
    <w:rsid w:val="00F77839"/>
    <w:rsid w:val="00F77AF3"/>
    <w:rsid w:val="00F77CE6"/>
    <w:rsid w:val="00F77DD1"/>
    <w:rsid w:val="00F77E8E"/>
    <w:rsid w:val="00F8023F"/>
    <w:rsid w:val="00F82021"/>
    <w:rsid w:val="00F82080"/>
    <w:rsid w:val="00F82566"/>
    <w:rsid w:val="00F82A7B"/>
    <w:rsid w:val="00F8476C"/>
    <w:rsid w:val="00F850A1"/>
    <w:rsid w:val="00F855B8"/>
    <w:rsid w:val="00F85CBD"/>
    <w:rsid w:val="00F86B84"/>
    <w:rsid w:val="00F905B8"/>
    <w:rsid w:val="00F91164"/>
    <w:rsid w:val="00F91D47"/>
    <w:rsid w:val="00F92B0F"/>
    <w:rsid w:val="00F9354E"/>
    <w:rsid w:val="00F941FC"/>
    <w:rsid w:val="00F96D24"/>
    <w:rsid w:val="00F97093"/>
    <w:rsid w:val="00F97FF3"/>
    <w:rsid w:val="00FA0091"/>
    <w:rsid w:val="00FA0426"/>
    <w:rsid w:val="00FA1AA9"/>
    <w:rsid w:val="00FA2C8B"/>
    <w:rsid w:val="00FA2CE3"/>
    <w:rsid w:val="00FA3E0C"/>
    <w:rsid w:val="00FA4F9B"/>
    <w:rsid w:val="00FA4FBA"/>
    <w:rsid w:val="00FA5580"/>
    <w:rsid w:val="00FA655A"/>
    <w:rsid w:val="00FA69C3"/>
    <w:rsid w:val="00FA6AAC"/>
    <w:rsid w:val="00FA6CBC"/>
    <w:rsid w:val="00FA6D48"/>
    <w:rsid w:val="00FA7027"/>
    <w:rsid w:val="00FA7206"/>
    <w:rsid w:val="00FA7EC0"/>
    <w:rsid w:val="00FB1729"/>
    <w:rsid w:val="00FB2DB8"/>
    <w:rsid w:val="00FB30A2"/>
    <w:rsid w:val="00FB429B"/>
    <w:rsid w:val="00FB6970"/>
    <w:rsid w:val="00FC072E"/>
    <w:rsid w:val="00FC3497"/>
    <w:rsid w:val="00FC4323"/>
    <w:rsid w:val="00FC51AE"/>
    <w:rsid w:val="00FC550A"/>
    <w:rsid w:val="00FC551E"/>
    <w:rsid w:val="00FC5790"/>
    <w:rsid w:val="00FC6275"/>
    <w:rsid w:val="00FD039F"/>
    <w:rsid w:val="00FD053B"/>
    <w:rsid w:val="00FD0AF0"/>
    <w:rsid w:val="00FD1234"/>
    <w:rsid w:val="00FD18F3"/>
    <w:rsid w:val="00FD194F"/>
    <w:rsid w:val="00FD1995"/>
    <w:rsid w:val="00FD2333"/>
    <w:rsid w:val="00FD25E1"/>
    <w:rsid w:val="00FD31B5"/>
    <w:rsid w:val="00FD5688"/>
    <w:rsid w:val="00FD5725"/>
    <w:rsid w:val="00FD5E1C"/>
    <w:rsid w:val="00FD5F36"/>
    <w:rsid w:val="00FD7F6B"/>
    <w:rsid w:val="00FE0948"/>
    <w:rsid w:val="00FE0E33"/>
    <w:rsid w:val="00FE1880"/>
    <w:rsid w:val="00FE2B7B"/>
    <w:rsid w:val="00FE3256"/>
    <w:rsid w:val="00FE3B9B"/>
    <w:rsid w:val="00FE3F8E"/>
    <w:rsid w:val="00FE47ED"/>
    <w:rsid w:val="00FE5101"/>
    <w:rsid w:val="00FE61DC"/>
    <w:rsid w:val="00FE67D0"/>
    <w:rsid w:val="00FE689B"/>
    <w:rsid w:val="00FE79CE"/>
    <w:rsid w:val="00FF02D0"/>
    <w:rsid w:val="00FF081E"/>
    <w:rsid w:val="00FF1406"/>
    <w:rsid w:val="00FF145C"/>
    <w:rsid w:val="00FF26EE"/>
    <w:rsid w:val="00FF28EC"/>
    <w:rsid w:val="00FF47A3"/>
    <w:rsid w:val="00FF4B3F"/>
    <w:rsid w:val="00FF4B43"/>
    <w:rsid w:val="00FF574F"/>
    <w:rsid w:val="00FF6146"/>
    <w:rsid w:val="00FF7956"/>
    <w:rsid w:val="018F4DD0"/>
    <w:rsid w:val="02034A18"/>
    <w:rsid w:val="028A51FE"/>
    <w:rsid w:val="02A37291"/>
    <w:rsid w:val="034C4249"/>
    <w:rsid w:val="03613039"/>
    <w:rsid w:val="036202D4"/>
    <w:rsid w:val="038A236C"/>
    <w:rsid w:val="03D07714"/>
    <w:rsid w:val="041E462C"/>
    <w:rsid w:val="043B2C36"/>
    <w:rsid w:val="04712667"/>
    <w:rsid w:val="04B94B88"/>
    <w:rsid w:val="05262D76"/>
    <w:rsid w:val="056F462F"/>
    <w:rsid w:val="059004AD"/>
    <w:rsid w:val="06270849"/>
    <w:rsid w:val="06552DE0"/>
    <w:rsid w:val="067D4F9E"/>
    <w:rsid w:val="06D71535"/>
    <w:rsid w:val="07515FD1"/>
    <w:rsid w:val="07991A83"/>
    <w:rsid w:val="079943F9"/>
    <w:rsid w:val="087B2F8F"/>
    <w:rsid w:val="08CA370B"/>
    <w:rsid w:val="095C2505"/>
    <w:rsid w:val="09E86FF3"/>
    <w:rsid w:val="09F07824"/>
    <w:rsid w:val="0A0932C7"/>
    <w:rsid w:val="0A506477"/>
    <w:rsid w:val="0A8A4C86"/>
    <w:rsid w:val="0BF43322"/>
    <w:rsid w:val="0C8D726E"/>
    <w:rsid w:val="0CE05750"/>
    <w:rsid w:val="0D1077DD"/>
    <w:rsid w:val="0EA162F1"/>
    <w:rsid w:val="0F1748FB"/>
    <w:rsid w:val="0F3603C0"/>
    <w:rsid w:val="0F4F55B5"/>
    <w:rsid w:val="0F523385"/>
    <w:rsid w:val="0FA500EE"/>
    <w:rsid w:val="0FB078F3"/>
    <w:rsid w:val="10907D14"/>
    <w:rsid w:val="110658A6"/>
    <w:rsid w:val="114A387E"/>
    <w:rsid w:val="115E4D31"/>
    <w:rsid w:val="11A5684D"/>
    <w:rsid w:val="11C84F5A"/>
    <w:rsid w:val="120E7E09"/>
    <w:rsid w:val="123D4E07"/>
    <w:rsid w:val="12562AA0"/>
    <w:rsid w:val="128C51F9"/>
    <w:rsid w:val="12921A41"/>
    <w:rsid w:val="13D50C28"/>
    <w:rsid w:val="144A03E7"/>
    <w:rsid w:val="1478143A"/>
    <w:rsid w:val="147B2BAA"/>
    <w:rsid w:val="14996598"/>
    <w:rsid w:val="14A365ED"/>
    <w:rsid w:val="15080C4C"/>
    <w:rsid w:val="153A6B11"/>
    <w:rsid w:val="15525935"/>
    <w:rsid w:val="156B7273"/>
    <w:rsid w:val="156F5618"/>
    <w:rsid w:val="159B504D"/>
    <w:rsid w:val="167F40D4"/>
    <w:rsid w:val="169B65A7"/>
    <w:rsid w:val="16CB4F50"/>
    <w:rsid w:val="17853B61"/>
    <w:rsid w:val="17A710C7"/>
    <w:rsid w:val="17B13509"/>
    <w:rsid w:val="17CB121D"/>
    <w:rsid w:val="17FF5E6E"/>
    <w:rsid w:val="183A1C0C"/>
    <w:rsid w:val="18B310B8"/>
    <w:rsid w:val="199E5A21"/>
    <w:rsid w:val="19D2715C"/>
    <w:rsid w:val="1A332C1D"/>
    <w:rsid w:val="1AF86B5F"/>
    <w:rsid w:val="1B942A09"/>
    <w:rsid w:val="1BB61013"/>
    <w:rsid w:val="1BCE272A"/>
    <w:rsid w:val="1BDF7E16"/>
    <w:rsid w:val="1C4C11C0"/>
    <w:rsid w:val="1CF5584D"/>
    <w:rsid w:val="1D035455"/>
    <w:rsid w:val="1D2B1804"/>
    <w:rsid w:val="1D2D465B"/>
    <w:rsid w:val="1E3950C5"/>
    <w:rsid w:val="1E4808ED"/>
    <w:rsid w:val="1F203444"/>
    <w:rsid w:val="1FAF019C"/>
    <w:rsid w:val="20913CBA"/>
    <w:rsid w:val="20DB5404"/>
    <w:rsid w:val="210118AD"/>
    <w:rsid w:val="215B41C8"/>
    <w:rsid w:val="218349B6"/>
    <w:rsid w:val="23276058"/>
    <w:rsid w:val="23A67EEB"/>
    <w:rsid w:val="2470573C"/>
    <w:rsid w:val="25B12A01"/>
    <w:rsid w:val="25C31279"/>
    <w:rsid w:val="26101C34"/>
    <w:rsid w:val="263465BA"/>
    <w:rsid w:val="26BE3BAC"/>
    <w:rsid w:val="27034AD1"/>
    <w:rsid w:val="27AA5F75"/>
    <w:rsid w:val="280C250B"/>
    <w:rsid w:val="289E1A52"/>
    <w:rsid w:val="28CF69C0"/>
    <w:rsid w:val="28DD6E23"/>
    <w:rsid w:val="28E85E68"/>
    <w:rsid w:val="2A4F0167"/>
    <w:rsid w:val="2ADE7026"/>
    <w:rsid w:val="2C531C1D"/>
    <w:rsid w:val="2CDD21EA"/>
    <w:rsid w:val="2D8206C8"/>
    <w:rsid w:val="2DC85D15"/>
    <w:rsid w:val="2E83328F"/>
    <w:rsid w:val="2EEC40A0"/>
    <w:rsid w:val="2FD74BE1"/>
    <w:rsid w:val="307410C2"/>
    <w:rsid w:val="308D0856"/>
    <w:rsid w:val="31121EF5"/>
    <w:rsid w:val="31232B7B"/>
    <w:rsid w:val="31EF7704"/>
    <w:rsid w:val="325B727C"/>
    <w:rsid w:val="33305B83"/>
    <w:rsid w:val="338B6C3E"/>
    <w:rsid w:val="341B192F"/>
    <w:rsid w:val="342C3BEE"/>
    <w:rsid w:val="35A64E04"/>
    <w:rsid w:val="35AF558A"/>
    <w:rsid w:val="376F3ABD"/>
    <w:rsid w:val="377619BB"/>
    <w:rsid w:val="38A04AB1"/>
    <w:rsid w:val="38A46212"/>
    <w:rsid w:val="39667278"/>
    <w:rsid w:val="39E14173"/>
    <w:rsid w:val="3A410AC4"/>
    <w:rsid w:val="3A660185"/>
    <w:rsid w:val="3BDD4E74"/>
    <w:rsid w:val="3C7E4EDD"/>
    <w:rsid w:val="3C991F43"/>
    <w:rsid w:val="3D303E99"/>
    <w:rsid w:val="3D8C5F4C"/>
    <w:rsid w:val="3E824310"/>
    <w:rsid w:val="3EB53DB8"/>
    <w:rsid w:val="3F2415CF"/>
    <w:rsid w:val="405C2C22"/>
    <w:rsid w:val="4067717E"/>
    <w:rsid w:val="406C2BD8"/>
    <w:rsid w:val="40B97C69"/>
    <w:rsid w:val="41103AB3"/>
    <w:rsid w:val="411A2A57"/>
    <w:rsid w:val="414549F8"/>
    <w:rsid w:val="4185067D"/>
    <w:rsid w:val="41A2641C"/>
    <w:rsid w:val="42576B28"/>
    <w:rsid w:val="426828AB"/>
    <w:rsid w:val="42A11473"/>
    <w:rsid w:val="42D24149"/>
    <w:rsid w:val="42E51F94"/>
    <w:rsid w:val="44502E5B"/>
    <w:rsid w:val="44C558EE"/>
    <w:rsid w:val="44F600D9"/>
    <w:rsid w:val="453E0749"/>
    <w:rsid w:val="45E17242"/>
    <w:rsid w:val="46CF4FC2"/>
    <w:rsid w:val="46EC288D"/>
    <w:rsid w:val="477F19A8"/>
    <w:rsid w:val="47B6656B"/>
    <w:rsid w:val="47C44FDA"/>
    <w:rsid w:val="48C170B3"/>
    <w:rsid w:val="49044022"/>
    <w:rsid w:val="49574862"/>
    <w:rsid w:val="4A5406A2"/>
    <w:rsid w:val="4AB42F1C"/>
    <w:rsid w:val="4AC519F6"/>
    <w:rsid w:val="4B110B90"/>
    <w:rsid w:val="4B727EE4"/>
    <w:rsid w:val="4D4B1098"/>
    <w:rsid w:val="4D624570"/>
    <w:rsid w:val="4D942E8A"/>
    <w:rsid w:val="4E2B7F63"/>
    <w:rsid w:val="4E444B87"/>
    <w:rsid w:val="4EA135A7"/>
    <w:rsid w:val="4F937EAE"/>
    <w:rsid w:val="4FB34218"/>
    <w:rsid w:val="4FDB1BE4"/>
    <w:rsid w:val="504925C9"/>
    <w:rsid w:val="51AFA2F7"/>
    <w:rsid w:val="51E054FD"/>
    <w:rsid w:val="53083749"/>
    <w:rsid w:val="531B14AC"/>
    <w:rsid w:val="5355411C"/>
    <w:rsid w:val="53590226"/>
    <w:rsid w:val="54803EF9"/>
    <w:rsid w:val="555C7190"/>
    <w:rsid w:val="55891864"/>
    <w:rsid w:val="55FD133D"/>
    <w:rsid w:val="561244DD"/>
    <w:rsid w:val="562B3B54"/>
    <w:rsid w:val="563A27AE"/>
    <w:rsid w:val="56BD644F"/>
    <w:rsid w:val="56F15429"/>
    <w:rsid w:val="571B01D6"/>
    <w:rsid w:val="573F362D"/>
    <w:rsid w:val="57752C31"/>
    <w:rsid w:val="5879650B"/>
    <w:rsid w:val="58B205DA"/>
    <w:rsid w:val="59562254"/>
    <w:rsid w:val="59E601E2"/>
    <w:rsid w:val="59F36B5D"/>
    <w:rsid w:val="5A735AF1"/>
    <w:rsid w:val="5AA23067"/>
    <w:rsid w:val="5AA51AFB"/>
    <w:rsid w:val="5AB92201"/>
    <w:rsid w:val="5ACFC95A"/>
    <w:rsid w:val="5B847B74"/>
    <w:rsid w:val="5BDF2D3B"/>
    <w:rsid w:val="5C560019"/>
    <w:rsid w:val="5C7D7F79"/>
    <w:rsid w:val="5CED3FF9"/>
    <w:rsid w:val="5D4476FB"/>
    <w:rsid w:val="5D571A87"/>
    <w:rsid w:val="5E8B3C4B"/>
    <w:rsid w:val="5ED8763C"/>
    <w:rsid w:val="5EEE1718"/>
    <w:rsid w:val="5F771986"/>
    <w:rsid w:val="5F8D1439"/>
    <w:rsid w:val="5FC96642"/>
    <w:rsid w:val="5FF7A85F"/>
    <w:rsid w:val="60032513"/>
    <w:rsid w:val="601574AE"/>
    <w:rsid w:val="60257F58"/>
    <w:rsid w:val="605C2CBF"/>
    <w:rsid w:val="61250170"/>
    <w:rsid w:val="614B2DC9"/>
    <w:rsid w:val="62111B39"/>
    <w:rsid w:val="62967742"/>
    <w:rsid w:val="62C360BC"/>
    <w:rsid w:val="634925E3"/>
    <w:rsid w:val="65735661"/>
    <w:rsid w:val="65FE9626"/>
    <w:rsid w:val="664960F3"/>
    <w:rsid w:val="665E5750"/>
    <w:rsid w:val="666D6BA9"/>
    <w:rsid w:val="668D4017"/>
    <w:rsid w:val="66DC2EB8"/>
    <w:rsid w:val="67402E40"/>
    <w:rsid w:val="678877B3"/>
    <w:rsid w:val="67C706D3"/>
    <w:rsid w:val="67E1648C"/>
    <w:rsid w:val="68965FEA"/>
    <w:rsid w:val="68DA5D31"/>
    <w:rsid w:val="69A9410F"/>
    <w:rsid w:val="69C629D5"/>
    <w:rsid w:val="6B082782"/>
    <w:rsid w:val="6B100175"/>
    <w:rsid w:val="6B770FD3"/>
    <w:rsid w:val="6D0E2679"/>
    <w:rsid w:val="6D4621DE"/>
    <w:rsid w:val="6DE55656"/>
    <w:rsid w:val="6DF9A2B9"/>
    <w:rsid w:val="6E261BA7"/>
    <w:rsid w:val="6E660432"/>
    <w:rsid w:val="6E681C31"/>
    <w:rsid w:val="6E8D3E82"/>
    <w:rsid w:val="6ED7625C"/>
    <w:rsid w:val="6F135292"/>
    <w:rsid w:val="6F8215CE"/>
    <w:rsid w:val="6FFDDD19"/>
    <w:rsid w:val="701B088F"/>
    <w:rsid w:val="70722A64"/>
    <w:rsid w:val="70F50EBA"/>
    <w:rsid w:val="71266569"/>
    <w:rsid w:val="712C543B"/>
    <w:rsid w:val="715012F7"/>
    <w:rsid w:val="717C6A58"/>
    <w:rsid w:val="71D60130"/>
    <w:rsid w:val="721D0945"/>
    <w:rsid w:val="72665F23"/>
    <w:rsid w:val="73FA5E27"/>
    <w:rsid w:val="741E4FC3"/>
    <w:rsid w:val="74454183"/>
    <w:rsid w:val="7447637A"/>
    <w:rsid w:val="745F9862"/>
    <w:rsid w:val="74BF341C"/>
    <w:rsid w:val="74C667AB"/>
    <w:rsid w:val="74C876B4"/>
    <w:rsid w:val="757440A2"/>
    <w:rsid w:val="758E5037"/>
    <w:rsid w:val="75F73A2A"/>
    <w:rsid w:val="75FC7405"/>
    <w:rsid w:val="766641C7"/>
    <w:rsid w:val="769958F2"/>
    <w:rsid w:val="76E96805"/>
    <w:rsid w:val="770266B0"/>
    <w:rsid w:val="77E577FB"/>
    <w:rsid w:val="78174C2D"/>
    <w:rsid w:val="784576F8"/>
    <w:rsid w:val="78767A5E"/>
    <w:rsid w:val="7912711E"/>
    <w:rsid w:val="793D0B51"/>
    <w:rsid w:val="79C46A79"/>
    <w:rsid w:val="79D6C6E7"/>
    <w:rsid w:val="7A5F2A48"/>
    <w:rsid w:val="7B471C92"/>
    <w:rsid w:val="7CFE3D1B"/>
    <w:rsid w:val="7D697858"/>
    <w:rsid w:val="7DEB27D3"/>
    <w:rsid w:val="7E6A23E5"/>
    <w:rsid w:val="7E816BC7"/>
    <w:rsid w:val="7EF402AF"/>
    <w:rsid w:val="7F2E3DC9"/>
    <w:rsid w:val="7FE75774"/>
    <w:rsid w:val="7FF0375A"/>
    <w:rsid w:val="7FF7D760"/>
    <w:rsid w:val="9EBF045D"/>
    <w:rsid w:val="B7BD068B"/>
    <w:rsid w:val="CBFFC210"/>
    <w:rsid w:val="CEFF8C69"/>
    <w:rsid w:val="DDE956A3"/>
    <w:rsid w:val="DFFBF3F9"/>
    <w:rsid w:val="E7FF5A44"/>
    <w:rsid w:val="EBBE3653"/>
    <w:rsid w:val="F5FFACD0"/>
    <w:rsid w:val="F772A240"/>
    <w:rsid w:val="F77FC96B"/>
    <w:rsid w:val="FBE3787A"/>
    <w:rsid w:val="FBFD4EEA"/>
    <w:rsid w:val="FBFDEB46"/>
    <w:rsid w:val="FDCB3B91"/>
    <w:rsid w:val="FFFFD8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link w:val="54"/>
    <w:qFormat/>
    <w:uiPriority w:val="0"/>
    <w:pPr>
      <w:spacing w:before="340" w:after="330" w:line="360" w:lineRule="auto"/>
      <w:jc w:val="center"/>
      <w:outlineLvl w:val="0"/>
    </w:pPr>
    <w:rPr>
      <w:rFonts w:eastAsia="黑体"/>
      <w:kern w:val="44"/>
      <w:szCs w:val="44"/>
    </w:rPr>
  </w:style>
  <w:style w:type="paragraph" w:styleId="6">
    <w:name w:val="heading 2"/>
    <w:basedOn w:val="4"/>
    <w:next w:val="5"/>
    <w:link w:val="69"/>
    <w:qFormat/>
    <w:uiPriority w:val="0"/>
    <w:pPr>
      <w:adjustRightInd w:val="0"/>
      <w:jc w:val="center"/>
      <w:textAlignment w:val="baseline"/>
      <w:outlineLvl w:val="1"/>
    </w:pPr>
    <w:rPr>
      <w:kern w:val="0"/>
      <w:sz w:val="24"/>
      <w:szCs w:val="20"/>
    </w:rPr>
  </w:style>
  <w:style w:type="paragraph" w:styleId="4">
    <w:name w:val="heading 3"/>
    <w:basedOn w:val="5"/>
    <w:next w:val="1"/>
    <w:link w:val="53"/>
    <w:qFormat/>
    <w:uiPriority w:val="9"/>
    <w:pPr>
      <w:spacing w:before="260" w:after="260" w:line="240" w:lineRule="auto"/>
      <w:outlineLvl w:val="2"/>
    </w:pPr>
    <w:rPr>
      <w:rFonts w:ascii="宋体" w:hAnsi="宋体" w:eastAsia="宋体"/>
      <w:szCs w:val="32"/>
    </w:rPr>
  </w:style>
  <w:style w:type="paragraph" w:styleId="5">
    <w:name w:val="heading 4"/>
    <w:basedOn w:val="1"/>
    <w:next w:val="1"/>
    <w:link w:val="51"/>
    <w:qFormat/>
    <w:uiPriority w:val="9"/>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78"/>
    <w:qFormat/>
    <w:uiPriority w:val="0"/>
    <w:pPr>
      <w:keepNext/>
      <w:keepLines/>
      <w:spacing w:before="280" w:after="290" w:line="376" w:lineRule="auto"/>
      <w:outlineLvl w:val="4"/>
    </w:pPr>
    <w:rPr>
      <w:b/>
      <w:sz w:val="28"/>
      <w:szCs w:val="20"/>
    </w:rPr>
  </w:style>
  <w:style w:type="paragraph" w:styleId="9">
    <w:name w:val="heading 6"/>
    <w:basedOn w:val="1"/>
    <w:next w:val="8"/>
    <w:link w:val="81"/>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8"/>
    <w:link w:val="82"/>
    <w:qFormat/>
    <w:uiPriority w:val="0"/>
    <w:pPr>
      <w:keepNext/>
      <w:keepLines/>
      <w:spacing w:before="240" w:after="64" w:line="320" w:lineRule="auto"/>
      <w:outlineLvl w:val="6"/>
    </w:pPr>
    <w:rPr>
      <w:b/>
      <w:sz w:val="24"/>
      <w:szCs w:val="20"/>
    </w:rPr>
  </w:style>
  <w:style w:type="paragraph" w:styleId="11">
    <w:name w:val="heading 8"/>
    <w:basedOn w:val="1"/>
    <w:next w:val="8"/>
    <w:link w:val="83"/>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8"/>
    <w:link w:val="84"/>
    <w:qFormat/>
    <w:uiPriority w:val="0"/>
    <w:pPr>
      <w:keepNext/>
      <w:keepLines/>
      <w:spacing w:before="240" w:after="64" w:line="320" w:lineRule="auto"/>
      <w:outlineLvl w:val="8"/>
    </w:pPr>
    <w:rPr>
      <w:rFonts w:ascii="Arial" w:hAnsi="Arial" w:eastAsia="黑体"/>
      <w:szCs w:val="20"/>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90"/>
    <w:qFormat/>
    <w:uiPriority w:val="0"/>
    <w:pPr>
      <w:spacing w:line="360" w:lineRule="auto"/>
    </w:pPr>
    <w:rPr>
      <w:b/>
      <w:bCs/>
      <w:sz w:val="24"/>
    </w:rPr>
  </w:style>
  <w:style w:type="paragraph" w:styleId="8">
    <w:name w:val="Normal Indent"/>
    <w:basedOn w:val="1"/>
    <w:link w:val="55"/>
    <w:qFormat/>
    <w:uiPriority w:val="0"/>
    <w:pPr>
      <w:ind w:firstLine="420"/>
    </w:pPr>
    <w:rPr>
      <w:szCs w:val="20"/>
    </w:rPr>
  </w:style>
  <w:style w:type="paragraph" w:styleId="13">
    <w:name w:val="toc 7"/>
    <w:basedOn w:val="1"/>
    <w:next w:val="1"/>
    <w:semiHidden/>
    <w:qFormat/>
    <w:uiPriority w:val="0"/>
    <w:pPr>
      <w:ind w:left="1260"/>
      <w:jc w:val="left"/>
    </w:pPr>
    <w:rPr>
      <w:szCs w:val="21"/>
    </w:rPr>
  </w:style>
  <w:style w:type="paragraph" w:styleId="14">
    <w:name w:val="caption"/>
    <w:basedOn w:val="1"/>
    <w:next w:val="1"/>
    <w:qFormat/>
    <w:uiPriority w:val="0"/>
    <w:pPr>
      <w:widowControl/>
      <w:spacing w:line="360" w:lineRule="auto"/>
      <w:ind w:firstLine="1940" w:firstLineChars="920"/>
      <w:jc w:val="left"/>
    </w:pPr>
    <w:rPr>
      <w:rFonts w:ascii="宋体" w:hAnsi="宋体"/>
      <w:b/>
      <w:bCs/>
      <w:kern w:val="0"/>
      <w:sz w:val="20"/>
      <w:szCs w:val="20"/>
    </w:rPr>
  </w:style>
  <w:style w:type="paragraph" w:styleId="15">
    <w:name w:val="List Bullet"/>
    <w:basedOn w:val="1"/>
    <w:qFormat/>
    <w:uiPriority w:val="0"/>
    <w:pPr>
      <w:numPr>
        <w:ilvl w:val="0"/>
        <w:numId w:val="1"/>
      </w:numPr>
    </w:pPr>
    <w:rPr>
      <w:szCs w:val="20"/>
    </w:rPr>
  </w:style>
  <w:style w:type="paragraph" w:styleId="16">
    <w:name w:val="Document Map"/>
    <w:basedOn w:val="1"/>
    <w:semiHidden/>
    <w:qFormat/>
    <w:uiPriority w:val="0"/>
    <w:pPr>
      <w:shd w:val="clear" w:color="auto" w:fill="000080"/>
    </w:pPr>
  </w:style>
  <w:style w:type="paragraph" w:styleId="17">
    <w:name w:val="annotation text"/>
    <w:basedOn w:val="1"/>
    <w:link w:val="182"/>
    <w:qFormat/>
    <w:uiPriority w:val="99"/>
    <w:pPr>
      <w:autoSpaceDE w:val="0"/>
      <w:autoSpaceDN w:val="0"/>
      <w:adjustRightInd w:val="0"/>
      <w:jc w:val="left"/>
      <w:textAlignment w:val="baseline"/>
    </w:pPr>
    <w:rPr>
      <w:rFonts w:ascii="宋体"/>
      <w:kern w:val="0"/>
      <w:sz w:val="34"/>
      <w:szCs w:val="20"/>
    </w:rPr>
  </w:style>
  <w:style w:type="paragraph" w:styleId="18">
    <w:name w:val="Body Text 3"/>
    <w:basedOn w:val="1"/>
    <w:link w:val="96"/>
    <w:qFormat/>
    <w:uiPriority w:val="0"/>
    <w:pPr>
      <w:spacing w:after="120"/>
    </w:pPr>
    <w:rPr>
      <w:sz w:val="16"/>
      <w:szCs w:val="16"/>
    </w:rPr>
  </w:style>
  <w:style w:type="paragraph" w:styleId="19">
    <w:name w:val="Body Text Indent"/>
    <w:basedOn w:val="1"/>
    <w:link w:val="77"/>
    <w:qFormat/>
    <w:uiPriority w:val="0"/>
    <w:pPr>
      <w:spacing w:line="360" w:lineRule="auto"/>
      <w:ind w:firstLine="420" w:firstLineChars="200"/>
    </w:pPr>
  </w:style>
  <w:style w:type="paragraph" w:styleId="20">
    <w:name w:val="toc 5"/>
    <w:basedOn w:val="1"/>
    <w:next w:val="1"/>
    <w:semiHidden/>
    <w:qFormat/>
    <w:uiPriority w:val="0"/>
    <w:pPr>
      <w:ind w:left="840"/>
      <w:jc w:val="left"/>
    </w:pPr>
    <w:rPr>
      <w:szCs w:val="21"/>
    </w:rPr>
  </w:style>
  <w:style w:type="paragraph" w:styleId="21">
    <w:name w:val="toc 3"/>
    <w:basedOn w:val="1"/>
    <w:next w:val="1"/>
    <w:semiHidden/>
    <w:qFormat/>
    <w:uiPriority w:val="0"/>
    <w:pPr>
      <w:ind w:left="420"/>
      <w:jc w:val="left"/>
    </w:pPr>
    <w:rPr>
      <w:i/>
      <w:iCs/>
    </w:rPr>
  </w:style>
  <w:style w:type="paragraph" w:styleId="22">
    <w:name w:val="Plain Text"/>
    <w:basedOn w:val="1"/>
    <w:link w:val="88"/>
    <w:qFormat/>
    <w:uiPriority w:val="0"/>
    <w:rPr>
      <w:rFonts w:ascii="宋体" w:hAnsi="Courier New"/>
      <w:szCs w:val="20"/>
    </w:rPr>
  </w:style>
  <w:style w:type="paragraph" w:styleId="23">
    <w:name w:val="toc 8"/>
    <w:basedOn w:val="1"/>
    <w:next w:val="1"/>
    <w:semiHidden/>
    <w:qFormat/>
    <w:uiPriority w:val="0"/>
    <w:pPr>
      <w:ind w:left="1470"/>
      <w:jc w:val="left"/>
    </w:pPr>
    <w:rPr>
      <w:szCs w:val="21"/>
    </w:rPr>
  </w:style>
  <w:style w:type="paragraph" w:styleId="24">
    <w:name w:val="Date"/>
    <w:basedOn w:val="1"/>
    <w:next w:val="1"/>
    <w:link w:val="86"/>
    <w:qFormat/>
    <w:uiPriority w:val="0"/>
    <w:rPr>
      <w:rFonts w:ascii="宋体" w:hAnsi="Courier New"/>
      <w:sz w:val="32"/>
      <w:szCs w:val="20"/>
    </w:rPr>
  </w:style>
  <w:style w:type="paragraph" w:styleId="25">
    <w:name w:val="Body Text Indent 2"/>
    <w:basedOn w:val="1"/>
    <w:link w:val="91"/>
    <w:qFormat/>
    <w:uiPriority w:val="0"/>
    <w:pPr>
      <w:spacing w:beforeLines="50" w:afterLines="50" w:line="120" w:lineRule="auto"/>
      <w:ind w:firstLine="840" w:firstLineChars="400"/>
      <w:jc w:val="left"/>
    </w:pPr>
    <w:rPr>
      <w:rFonts w:ascii="宋体" w:hAnsi="宋体"/>
    </w:rPr>
  </w:style>
  <w:style w:type="paragraph" w:styleId="26">
    <w:name w:val="Balloon Text"/>
    <w:basedOn w:val="1"/>
    <w:link w:val="97"/>
    <w:semiHidden/>
    <w:qFormat/>
    <w:uiPriority w:val="99"/>
    <w:rPr>
      <w:sz w:val="18"/>
      <w:szCs w:val="18"/>
    </w:rPr>
  </w:style>
  <w:style w:type="paragraph" w:styleId="27">
    <w:name w:val="footer"/>
    <w:basedOn w:val="1"/>
    <w:link w:val="95"/>
    <w:qFormat/>
    <w:uiPriority w:val="0"/>
    <w:pPr>
      <w:tabs>
        <w:tab w:val="center" w:pos="4153"/>
        <w:tab w:val="right" w:pos="8306"/>
      </w:tabs>
      <w:snapToGrid w:val="0"/>
      <w:jc w:val="left"/>
    </w:pPr>
    <w:rPr>
      <w:sz w:val="18"/>
      <w:szCs w:val="18"/>
    </w:rPr>
  </w:style>
  <w:style w:type="paragraph" w:styleId="28">
    <w:name w:val="header"/>
    <w:basedOn w:val="1"/>
    <w:link w:val="92"/>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semiHidden/>
    <w:qFormat/>
    <w:uiPriority w:val="0"/>
    <w:pPr>
      <w:spacing w:before="120" w:after="120"/>
      <w:jc w:val="left"/>
    </w:pPr>
    <w:rPr>
      <w:b/>
      <w:bCs/>
      <w:caps/>
    </w:rPr>
  </w:style>
  <w:style w:type="paragraph" w:styleId="30">
    <w:name w:val="toc 4"/>
    <w:basedOn w:val="1"/>
    <w:next w:val="1"/>
    <w:semiHidden/>
    <w:qFormat/>
    <w:uiPriority w:val="0"/>
    <w:pPr>
      <w:ind w:left="630"/>
      <w:jc w:val="left"/>
    </w:pPr>
    <w:rPr>
      <w:szCs w:val="21"/>
    </w:rPr>
  </w:style>
  <w:style w:type="paragraph" w:styleId="31">
    <w:name w:val="toc 6"/>
    <w:basedOn w:val="1"/>
    <w:next w:val="1"/>
    <w:semiHidden/>
    <w:qFormat/>
    <w:uiPriority w:val="0"/>
    <w:pPr>
      <w:ind w:left="1050"/>
      <w:jc w:val="left"/>
    </w:pPr>
    <w:rPr>
      <w:szCs w:val="21"/>
    </w:rPr>
  </w:style>
  <w:style w:type="paragraph" w:styleId="32">
    <w:name w:val="Body Text Indent 3"/>
    <w:basedOn w:val="1"/>
    <w:link w:val="93"/>
    <w:qFormat/>
    <w:uiPriority w:val="0"/>
    <w:pPr>
      <w:spacing w:line="360" w:lineRule="auto"/>
      <w:ind w:firstLine="482" w:firstLineChars="200"/>
    </w:pPr>
    <w:rPr>
      <w:rFonts w:ascii="宋体"/>
      <w:b/>
      <w:bCs/>
      <w:sz w:val="24"/>
    </w:rPr>
  </w:style>
  <w:style w:type="paragraph" w:styleId="33">
    <w:name w:val="toc 2"/>
    <w:basedOn w:val="1"/>
    <w:next w:val="1"/>
    <w:semiHidden/>
    <w:qFormat/>
    <w:uiPriority w:val="0"/>
    <w:pPr>
      <w:tabs>
        <w:tab w:val="right" w:leader="dot" w:pos="8296"/>
      </w:tabs>
      <w:ind w:left="210"/>
      <w:jc w:val="left"/>
    </w:pPr>
    <w:rPr>
      <w:smallCaps/>
    </w:rPr>
  </w:style>
  <w:style w:type="paragraph" w:styleId="34">
    <w:name w:val="toc 9"/>
    <w:basedOn w:val="1"/>
    <w:next w:val="1"/>
    <w:semiHidden/>
    <w:qFormat/>
    <w:uiPriority w:val="0"/>
    <w:pPr>
      <w:ind w:left="1680"/>
      <w:jc w:val="left"/>
    </w:pPr>
    <w:rPr>
      <w:szCs w:val="21"/>
    </w:rPr>
  </w:style>
  <w:style w:type="paragraph" w:styleId="35">
    <w:name w:val="Body Text 2"/>
    <w:basedOn w:val="1"/>
    <w:link w:val="94"/>
    <w:qFormat/>
    <w:uiPriority w:val="0"/>
    <w:pPr>
      <w:spacing w:line="360" w:lineRule="auto"/>
    </w:pPr>
    <w:rPr>
      <w:sz w:val="24"/>
    </w:rPr>
  </w:style>
  <w:style w:type="paragraph" w:styleId="36">
    <w:name w:val="HTML Preformatted"/>
    <w:basedOn w:val="1"/>
    <w:link w:val="8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7">
    <w:name w:val="Normal (Web)"/>
    <w:basedOn w:val="1"/>
    <w:link w:val="188"/>
    <w:qFormat/>
    <w:uiPriority w:val="99"/>
    <w:rPr>
      <w:sz w:val="24"/>
    </w:rPr>
  </w:style>
  <w:style w:type="paragraph" w:styleId="38">
    <w:name w:val="index 1"/>
    <w:basedOn w:val="1"/>
    <w:next w:val="1"/>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39">
    <w:name w:val="Title"/>
    <w:basedOn w:val="1"/>
    <w:next w:val="1"/>
    <w:link w:val="85"/>
    <w:qFormat/>
    <w:uiPriority w:val="0"/>
    <w:pPr>
      <w:spacing w:before="240" w:after="60"/>
      <w:jc w:val="center"/>
      <w:outlineLvl w:val="0"/>
    </w:pPr>
    <w:rPr>
      <w:rFonts w:ascii="Arial" w:hAnsi="Arial" w:eastAsia="隶书" w:cs="Arial"/>
      <w:b/>
      <w:bCs/>
      <w:sz w:val="32"/>
      <w:szCs w:val="32"/>
    </w:rPr>
  </w:style>
  <w:style w:type="paragraph" w:styleId="40">
    <w:name w:val="annotation subject"/>
    <w:basedOn w:val="17"/>
    <w:next w:val="17"/>
    <w:link w:val="183"/>
    <w:qFormat/>
    <w:uiPriority w:val="99"/>
    <w:pPr>
      <w:autoSpaceDE/>
      <w:autoSpaceDN/>
      <w:adjustRightInd/>
      <w:textAlignment w:val="auto"/>
    </w:pPr>
    <w:rPr>
      <w:rFonts w:ascii="Times New Roman"/>
      <w:b/>
      <w:bCs/>
      <w:kern w:val="2"/>
      <w:sz w:val="21"/>
      <w:szCs w:val="24"/>
    </w:rPr>
  </w:style>
  <w:style w:type="paragraph" w:styleId="41">
    <w:name w:val="Body Text First Indent"/>
    <w:basedOn w:val="2"/>
    <w:link w:val="128"/>
    <w:qFormat/>
    <w:uiPriority w:val="0"/>
    <w:pPr>
      <w:spacing w:after="120" w:line="240" w:lineRule="auto"/>
      <w:ind w:firstLine="420" w:firstLineChars="100"/>
    </w:pPr>
    <w:rPr>
      <w:sz w:val="21"/>
    </w:rPr>
  </w:style>
  <w:style w:type="paragraph" w:styleId="42">
    <w:name w:val="Body Text First Indent 2"/>
    <w:basedOn w:val="19"/>
    <w:qFormat/>
    <w:uiPriority w:val="0"/>
    <w:pPr>
      <w:spacing w:after="120" w:line="240" w:lineRule="auto"/>
      <w:ind w:left="420" w:leftChars="200"/>
    </w:pPr>
  </w:style>
  <w:style w:type="table" w:styleId="44">
    <w:name w:val="Table Grid"/>
    <w:basedOn w:val="4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bCs/>
    </w:rPr>
  </w:style>
  <w:style w:type="character" w:styleId="47">
    <w:name w:val="page number"/>
    <w:basedOn w:val="45"/>
    <w:qFormat/>
    <w:uiPriority w:val="0"/>
  </w:style>
  <w:style w:type="character" w:styleId="48">
    <w:name w:val="FollowedHyperlink"/>
    <w:qFormat/>
    <w:uiPriority w:val="0"/>
    <w:rPr>
      <w:color w:val="800080"/>
      <w:u w:val="single"/>
    </w:rPr>
  </w:style>
  <w:style w:type="character" w:styleId="49">
    <w:name w:val="Hyperlink"/>
    <w:qFormat/>
    <w:uiPriority w:val="0"/>
    <w:rPr>
      <w:color w:val="0000FF"/>
      <w:u w:val="single"/>
    </w:rPr>
  </w:style>
  <w:style w:type="character" w:styleId="50">
    <w:name w:val="annotation reference"/>
    <w:basedOn w:val="45"/>
    <w:qFormat/>
    <w:uiPriority w:val="99"/>
    <w:rPr>
      <w:sz w:val="21"/>
      <w:szCs w:val="21"/>
    </w:rPr>
  </w:style>
  <w:style w:type="character" w:customStyle="1" w:styleId="51">
    <w:name w:val="标题 4 字符"/>
    <w:link w:val="5"/>
    <w:qFormat/>
    <w:uiPriority w:val="9"/>
    <w:rPr>
      <w:rFonts w:ascii="Arial" w:hAnsi="Arial" w:eastAsia="黑体"/>
      <w:b/>
      <w:bCs/>
      <w:kern w:val="2"/>
      <w:sz w:val="28"/>
      <w:szCs w:val="28"/>
      <w:lang w:val="en-US" w:eastAsia="zh-CN" w:bidi="ar-SA"/>
    </w:rPr>
  </w:style>
  <w:style w:type="paragraph" w:customStyle="1" w:styleId="52">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3">
    <w:name w:val="标题 3 字符"/>
    <w:link w:val="4"/>
    <w:qFormat/>
    <w:uiPriority w:val="9"/>
    <w:rPr>
      <w:rFonts w:ascii="宋体" w:hAnsi="宋体" w:eastAsia="宋体"/>
      <w:b/>
      <w:bCs/>
      <w:kern w:val="2"/>
      <w:sz w:val="28"/>
      <w:szCs w:val="32"/>
      <w:lang w:val="en-US" w:eastAsia="zh-CN" w:bidi="ar-SA"/>
    </w:rPr>
  </w:style>
  <w:style w:type="character" w:customStyle="1" w:styleId="54">
    <w:name w:val="标题 1 字符"/>
    <w:link w:val="3"/>
    <w:qFormat/>
    <w:uiPriority w:val="0"/>
    <w:rPr>
      <w:rFonts w:ascii="宋体" w:hAnsi="宋体" w:eastAsia="黑体"/>
      <w:b/>
      <w:bCs/>
      <w:kern w:val="44"/>
      <w:sz w:val="28"/>
      <w:szCs w:val="44"/>
      <w:lang w:val="en-US" w:eastAsia="zh-CN" w:bidi="ar-SA"/>
    </w:rPr>
  </w:style>
  <w:style w:type="character" w:customStyle="1" w:styleId="55">
    <w:name w:val="正文缩进 字符"/>
    <w:link w:val="8"/>
    <w:qFormat/>
    <w:uiPriority w:val="0"/>
    <w:rPr>
      <w:rFonts w:eastAsia="宋体"/>
      <w:kern w:val="2"/>
      <w:sz w:val="21"/>
      <w:lang w:val="en-US" w:eastAsia="zh-CN" w:bidi="ar-SA"/>
    </w:rPr>
  </w:style>
  <w:style w:type="character" w:customStyle="1" w:styleId="56">
    <w:name w:val="标题 3 Char"/>
    <w:qFormat/>
    <w:uiPriority w:val="0"/>
    <w:rPr>
      <w:rFonts w:ascii="黑体" w:eastAsia="黑体"/>
      <w:bCs/>
      <w:sz w:val="30"/>
    </w:rPr>
  </w:style>
  <w:style w:type="paragraph" w:customStyle="1" w:styleId="57">
    <w:name w:val="样式41"/>
    <w:basedOn w:val="1"/>
    <w:qFormat/>
    <w:uiPriority w:val="0"/>
    <w:pPr>
      <w:numPr>
        <w:ilvl w:val="0"/>
        <w:numId w:val="2"/>
      </w:numPr>
      <w:tabs>
        <w:tab w:val="left" w:pos="945"/>
      </w:tabs>
      <w:spacing w:line="360" w:lineRule="auto"/>
    </w:pPr>
    <w:rPr>
      <w:b/>
      <w:color w:val="000000"/>
      <w:sz w:val="24"/>
      <w:szCs w:val="20"/>
    </w:rPr>
  </w:style>
  <w:style w:type="paragraph" w:customStyle="1" w:styleId="58">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59">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customStyle="1" w:styleId="60">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1">
    <w:name w:val="Char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2">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64">
    <w:name w:val="自定义正文"/>
    <w:basedOn w:val="1"/>
    <w:qFormat/>
    <w:uiPriority w:val="0"/>
    <w:pPr>
      <w:spacing w:afterLines="50"/>
      <w:ind w:left="600" w:leftChars="600"/>
    </w:pPr>
  </w:style>
  <w:style w:type="paragraph" w:customStyle="1" w:styleId="65">
    <w:name w:val="Char Char Char Char Char"/>
    <w:basedOn w:val="1"/>
    <w:qFormat/>
    <w:uiPriority w:val="0"/>
    <w:rPr>
      <w:rFonts w:ascii="Tahoma" w:hAnsi="Tahoma"/>
      <w:sz w:val="24"/>
      <w:szCs w:val="20"/>
    </w:rPr>
  </w:style>
  <w:style w:type="paragraph" w:customStyle="1" w:styleId="66">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67">
    <w:name w:val="Char Char"/>
    <w:basedOn w:val="1"/>
    <w:qFormat/>
    <w:uiPriority w:val="0"/>
    <w:rPr>
      <w:rFonts w:ascii="Tahoma" w:hAnsi="Tahoma"/>
      <w:sz w:val="24"/>
      <w:szCs w:val="20"/>
    </w:rPr>
  </w:style>
  <w:style w:type="paragraph" w:customStyle="1" w:styleId="68">
    <w:name w:val="È±Ê¡ÎÄ±¾"/>
    <w:basedOn w:val="1"/>
    <w:qFormat/>
    <w:uiPriority w:val="0"/>
    <w:pPr>
      <w:widowControl/>
      <w:overflowPunct w:val="0"/>
      <w:autoSpaceDE w:val="0"/>
      <w:autoSpaceDN w:val="0"/>
      <w:adjustRightInd w:val="0"/>
      <w:jc w:val="left"/>
      <w:textAlignment w:val="baseline"/>
    </w:pPr>
    <w:rPr>
      <w:kern w:val="0"/>
      <w:sz w:val="24"/>
      <w:szCs w:val="20"/>
    </w:rPr>
  </w:style>
  <w:style w:type="character" w:customStyle="1" w:styleId="69">
    <w:name w:val="标题 2 字符"/>
    <w:link w:val="6"/>
    <w:qFormat/>
    <w:uiPriority w:val="0"/>
    <w:rPr>
      <w:rFonts w:ascii="宋体" w:hAnsi="宋体" w:eastAsia="宋体"/>
      <w:b/>
      <w:bCs/>
      <w:sz w:val="24"/>
      <w:lang w:val="en-US" w:eastAsia="zh-CN" w:bidi="ar-SA"/>
    </w:rPr>
  </w:style>
  <w:style w:type="paragraph" w:customStyle="1" w:styleId="7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styleId="71">
    <w:name w:val="List Paragraph"/>
    <w:basedOn w:val="1"/>
    <w:qFormat/>
    <w:uiPriority w:val="34"/>
    <w:pPr>
      <w:ind w:firstLine="420" w:firstLineChars="200"/>
    </w:pPr>
    <w:rPr>
      <w:rFonts w:ascii="Calibri" w:hAnsi="Calibri"/>
      <w:szCs w:val="22"/>
    </w:rPr>
  </w:style>
  <w:style w:type="paragraph" w:customStyle="1" w:styleId="72">
    <w:name w:val="USE 1"/>
    <w:basedOn w:val="1"/>
    <w:qFormat/>
    <w:uiPriority w:val="0"/>
    <w:pPr>
      <w:spacing w:line="200" w:lineRule="atLeast"/>
      <w:jc w:val="left"/>
    </w:pPr>
    <w:rPr>
      <w:rFonts w:ascii="宋体" w:hAnsi="宋体"/>
      <w:b/>
      <w:sz w:val="24"/>
      <w:szCs w:val="28"/>
    </w:rPr>
  </w:style>
  <w:style w:type="paragraph" w:customStyle="1" w:styleId="73">
    <w:name w:val="RFI text from 3rd Level"/>
    <w:basedOn w:val="1"/>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74">
    <w:name w:val="正文文字缩进项目"/>
    <w:basedOn w:val="19"/>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75">
    <w:name w:val="样式 标题 2 + 段前: 13 磅 段后: 13 磅 行距: 单倍行距"/>
    <w:basedOn w:val="6"/>
    <w:qFormat/>
    <w:uiPriority w:val="0"/>
    <w:pPr>
      <w:adjustRightInd/>
      <w:spacing w:before="0" w:after="0"/>
      <w:jc w:val="both"/>
      <w:textAlignment w:val="auto"/>
    </w:pPr>
    <w:rPr>
      <w:rFonts w:ascii="Cambria" w:hAnsi="Cambria" w:cs="宋体"/>
      <w:kern w:val="2"/>
      <w:sz w:val="32"/>
    </w:rPr>
  </w:style>
  <w:style w:type="character" w:customStyle="1" w:styleId="76">
    <w:name w:val="H4 Char2"/>
    <w:qFormat/>
    <w:uiPriority w:val="0"/>
    <w:rPr>
      <w:rFonts w:ascii="Arial" w:hAnsi="Arial" w:eastAsia="黑体"/>
      <w:b/>
      <w:bCs/>
      <w:kern w:val="2"/>
      <w:sz w:val="28"/>
      <w:szCs w:val="28"/>
      <w:lang w:val="en-US" w:eastAsia="zh-CN" w:bidi="ar-SA"/>
    </w:rPr>
  </w:style>
  <w:style w:type="character" w:customStyle="1" w:styleId="77">
    <w:name w:val="正文文本缩进 字符"/>
    <w:link w:val="19"/>
    <w:qFormat/>
    <w:uiPriority w:val="0"/>
    <w:rPr>
      <w:rFonts w:eastAsia="宋体"/>
      <w:kern w:val="2"/>
      <w:sz w:val="21"/>
      <w:szCs w:val="24"/>
      <w:lang w:val="en-US" w:eastAsia="zh-CN" w:bidi="ar-SA"/>
    </w:rPr>
  </w:style>
  <w:style w:type="character" w:customStyle="1" w:styleId="78">
    <w:name w:val="标题 5 字符"/>
    <w:link w:val="7"/>
    <w:qFormat/>
    <w:uiPriority w:val="0"/>
    <w:rPr>
      <w:rFonts w:eastAsia="宋体"/>
      <w:b/>
      <w:kern w:val="2"/>
      <w:sz w:val="28"/>
      <w:lang w:val="en-US" w:eastAsia="zh-CN" w:bidi="ar-SA"/>
    </w:rPr>
  </w:style>
  <w:style w:type="character" w:customStyle="1" w:styleId="79">
    <w:name w:val="第*章 Char"/>
    <w:qFormat/>
    <w:uiPriority w:val="0"/>
    <w:rPr>
      <w:rFonts w:ascii="Arial" w:hAnsi="Arial" w:eastAsia="黑体"/>
      <w:b/>
      <w:bCs/>
      <w:kern w:val="2"/>
      <w:sz w:val="32"/>
      <w:szCs w:val="32"/>
    </w:rPr>
  </w:style>
  <w:style w:type="character" w:customStyle="1" w:styleId="80">
    <w:name w:val="章标题1 Char"/>
    <w:qFormat/>
    <w:uiPriority w:val="0"/>
    <w:rPr>
      <w:rFonts w:eastAsia="宋体"/>
      <w:b/>
      <w:bCs/>
      <w:kern w:val="2"/>
      <w:sz w:val="32"/>
      <w:szCs w:val="32"/>
      <w:lang w:val="en-US" w:eastAsia="zh-CN" w:bidi="ar-SA"/>
    </w:rPr>
  </w:style>
  <w:style w:type="character" w:customStyle="1" w:styleId="81">
    <w:name w:val="标题 6 字符"/>
    <w:link w:val="9"/>
    <w:qFormat/>
    <w:uiPriority w:val="0"/>
    <w:rPr>
      <w:rFonts w:ascii="Arial" w:hAnsi="Arial" w:eastAsia="黑体"/>
      <w:b/>
      <w:kern w:val="2"/>
      <w:sz w:val="24"/>
      <w:lang w:val="en-US" w:eastAsia="zh-CN" w:bidi="ar-SA"/>
    </w:rPr>
  </w:style>
  <w:style w:type="character" w:customStyle="1" w:styleId="82">
    <w:name w:val="标题 7 字符"/>
    <w:link w:val="10"/>
    <w:qFormat/>
    <w:uiPriority w:val="0"/>
    <w:rPr>
      <w:rFonts w:eastAsia="宋体"/>
      <w:b/>
      <w:kern w:val="2"/>
      <w:sz w:val="24"/>
      <w:lang w:val="en-US" w:eastAsia="zh-CN" w:bidi="ar-SA"/>
    </w:rPr>
  </w:style>
  <w:style w:type="character" w:customStyle="1" w:styleId="83">
    <w:name w:val="标题 8 字符"/>
    <w:link w:val="11"/>
    <w:qFormat/>
    <w:uiPriority w:val="0"/>
    <w:rPr>
      <w:rFonts w:ascii="Arial" w:hAnsi="Arial" w:eastAsia="黑体"/>
      <w:kern w:val="2"/>
      <w:sz w:val="24"/>
      <w:lang w:val="en-US" w:eastAsia="zh-CN" w:bidi="ar-SA"/>
    </w:rPr>
  </w:style>
  <w:style w:type="character" w:customStyle="1" w:styleId="84">
    <w:name w:val="标题 9 字符"/>
    <w:link w:val="12"/>
    <w:qFormat/>
    <w:uiPriority w:val="0"/>
    <w:rPr>
      <w:rFonts w:ascii="Arial" w:hAnsi="Arial" w:eastAsia="黑体"/>
      <w:kern w:val="2"/>
      <w:sz w:val="21"/>
      <w:lang w:val="en-US" w:eastAsia="zh-CN" w:bidi="ar-SA"/>
    </w:rPr>
  </w:style>
  <w:style w:type="character" w:customStyle="1" w:styleId="85">
    <w:name w:val="标题 字符"/>
    <w:link w:val="39"/>
    <w:qFormat/>
    <w:uiPriority w:val="0"/>
    <w:rPr>
      <w:rFonts w:ascii="Arial" w:hAnsi="Arial" w:eastAsia="隶书" w:cs="Arial"/>
      <w:b/>
      <w:bCs/>
      <w:kern w:val="2"/>
      <w:sz w:val="32"/>
      <w:szCs w:val="32"/>
      <w:lang w:val="en-US" w:eastAsia="zh-CN" w:bidi="ar-SA"/>
    </w:rPr>
  </w:style>
  <w:style w:type="character" w:customStyle="1" w:styleId="86">
    <w:name w:val="日期 字符"/>
    <w:link w:val="24"/>
    <w:qFormat/>
    <w:uiPriority w:val="0"/>
    <w:rPr>
      <w:rFonts w:ascii="宋体" w:hAnsi="Courier New" w:eastAsia="宋体"/>
      <w:kern w:val="2"/>
      <w:sz w:val="32"/>
      <w:lang w:val="en-US" w:eastAsia="zh-CN" w:bidi="ar-SA"/>
    </w:rPr>
  </w:style>
  <w:style w:type="character" w:customStyle="1" w:styleId="87">
    <w:name w:val="HTML 预设格式 字符"/>
    <w:link w:val="36"/>
    <w:qFormat/>
    <w:uiPriority w:val="0"/>
    <w:rPr>
      <w:rFonts w:ascii="Arial Unicode MS" w:hAnsi="Arial Unicode MS" w:eastAsia="Arial Unicode MS"/>
      <w:color w:val="000000"/>
      <w:lang w:val="en-US" w:eastAsia="zh-CN" w:bidi="ar-SA"/>
    </w:rPr>
  </w:style>
  <w:style w:type="character" w:customStyle="1" w:styleId="88">
    <w:name w:val="纯文本 字符"/>
    <w:link w:val="22"/>
    <w:qFormat/>
    <w:uiPriority w:val="0"/>
    <w:rPr>
      <w:rFonts w:ascii="宋体" w:hAnsi="Courier New" w:eastAsia="宋体"/>
      <w:kern w:val="2"/>
      <w:sz w:val="21"/>
      <w:lang w:val="en-US" w:eastAsia="zh-CN" w:bidi="ar-SA"/>
    </w:rPr>
  </w:style>
  <w:style w:type="character" w:customStyle="1" w:styleId="89">
    <w:name w:val="正文文字首行缩进 Char"/>
    <w:qFormat/>
    <w:uiPriority w:val="0"/>
    <w:rPr>
      <w:kern w:val="2"/>
      <w:sz w:val="21"/>
      <w:szCs w:val="24"/>
    </w:rPr>
  </w:style>
  <w:style w:type="character" w:customStyle="1" w:styleId="90">
    <w:name w:val="正文文本 字符"/>
    <w:link w:val="2"/>
    <w:qFormat/>
    <w:uiPriority w:val="0"/>
    <w:rPr>
      <w:rFonts w:eastAsia="宋体"/>
      <w:b/>
      <w:bCs/>
      <w:kern w:val="2"/>
      <w:sz w:val="24"/>
      <w:szCs w:val="24"/>
      <w:lang w:val="en-US" w:eastAsia="zh-CN" w:bidi="ar-SA"/>
    </w:rPr>
  </w:style>
  <w:style w:type="character" w:customStyle="1" w:styleId="91">
    <w:name w:val="正文文本缩进 2 字符"/>
    <w:link w:val="25"/>
    <w:qFormat/>
    <w:uiPriority w:val="0"/>
    <w:rPr>
      <w:rFonts w:ascii="宋体" w:hAnsi="宋体" w:eastAsia="宋体"/>
      <w:kern w:val="2"/>
      <w:sz w:val="21"/>
      <w:szCs w:val="24"/>
      <w:lang w:val="en-US" w:eastAsia="zh-CN" w:bidi="ar-SA"/>
    </w:rPr>
  </w:style>
  <w:style w:type="character" w:customStyle="1" w:styleId="92">
    <w:name w:val="页眉 字符"/>
    <w:link w:val="28"/>
    <w:qFormat/>
    <w:uiPriority w:val="99"/>
    <w:rPr>
      <w:rFonts w:eastAsia="宋体"/>
      <w:kern w:val="2"/>
      <w:sz w:val="18"/>
      <w:szCs w:val="18"/>
      <w:lang w:val="en-US" w:eastAsia="zh-CN" w:bidi="ar-SA"/>
    </w:rPr>
  </w:style>
  <w:style w:type="character" w:customStyle="1" w:styleId="93">
    <w:name w:val="正文文本缩进 3 字符"/>
    <w:link w:val="32"/>
    <w:qFormat/>
    <w:uiPriority w:val="0"/>
    <w:rPr>
      <w:rFonts w:ascii="宋体" w:eastAsia="宋体"/>
      <w:b/>
      <w:bCs/>
      <w:kern w:val="2"/>
      <w:sz w:val="24"/>
      <w:szCs w:val="24"/>
      <w:lang w:val="en-US" w:eastAsia="zh-CN" w:bidi="ar-SA"/>
    </w:rPr>
  </w:style>
  <w:style w:type="character" w:customStyle="1" w:styleId="94">
    <w:name w:val="正文文本 2 字符"/>
    <w:link w:val="35"/>
    <w:qFormat/>
    <w:uiPriority w:val="0"/>
    <w:rPr>
      <w:rFonts w:eastAsia="宋体"/>
      <w:kern w:val="2"/>
      <w:sz w:val="24"/>
      <w:szCs w:val="24"/>
      <w:lang w:val="en-US" w:eastAsia="zh-CN" w:bidi="ar-SA"/>
    </w:rPr>
  </w:style>
  <w:style w:type="character" w:customStyle="1" w:styleId="95">
    <w:name w:val="页脚 字符"/>
    <w:link w:val="27"/>
    <w:qFormat/>
    <w:uiPriority w:val="0"/>
    <w:rPr>
      <w:rFonts w:eastAsia="宋体"/>
      <w:kern w:val="2"/>
      <w:sz w:val="18"/>
      <w:szCs w:val="18"/>
      <w:lang w:val="en-US" w:eastAsia="zh-CN" w:bidi="ar-SA"/>
    </w:rPr>
  </w:style>
  <w:style w:type="character" w:customStyle="1" w:styleId="96">
    <w:name w:val="正文文本 3 字符"/>
    <w:link w:val="18"/>
    <w:qFormat/>
    <w:uiPriority w:val="0"/>
    <w:rPr>
      <w:rFonts w:eastAsia="宋体"/>
      <w:kern w:val="2"/>
      <w:sz w:val="16"/>
      <w:szCs w:val="16"/>
      <w:lang w:val="en-US" w:eastAsia="zh-CN" w:bidi="ar-SA"/>
    </w:rPr>
  </w:style>
  <w:style w:type="character" w:customStyle="1" w:styleId="97">
    <w:name w:val="批注框文本 字符"/>
    <w:link w:val="26"/>
    <w:semiHidden/>
    <w:qFormat/>
    <w:uiPriority w:val="99"/>
    <w:rPr>
      <w:rFonts w:eastAsia="宋体"/>
      <w:kern w:val="2"/>
      <w:sz w:val="18"/>
      <w:szCs w:val="18"/>
      <w:lang w:val="en-US" w:eastAsia="zh-CN" w:bidi="ar-SA"/>
    </w:rPr>
  </w:style>
  <w:style w:type="paragraph" w:customStyle="1" w:styleId="98">
    <w:name w:val="样式1"/>
    <w:basedOn w:val="39"/>
    <w:qFormat/>
    <w:uiPriority w:val="0"/>
    <w:pPr>
      <w:spacing w:before="120" w:after="120"/>
    </w:pPr>
    <w:rPr>
      <w:rFonts w:eastAsia="黑体"/>
      <w:b w:val="0"/>
      <w:sz w:val="30"/>
      <w:szCs w:val="21"/>
    </w:rPr>
  </w:style>
  <w:style w:type="paragraph" w:customStyle="1" w:styleId="99">
    <w:name w:val="样式2"/>
    <w:basedOn w:val="39"/>
    <w:next w:val="98"/>
    <w:qFormat/>
    <w:uiPriority w:val="0"/>
    <w:pPr>
      <w:spacing w:before="120" w:after="120"/>
    </w:pPr>
    <w:rPr>
      <w:rFonts w:eastAsia="黑体"/>
      <w:b w:val="0"/>
      <w:sz w:val="30"/>
      <w:szCs w:val="30"/>
    </w:rPr>
  </w:style>
  <w:style w:type="character" w:customStyle="1" w:styleId="100">
    <w:name w:val="标题 3 Char Char"/>
    <w:qFormat/>
    <w:uiPriority w:val="0"/>
    <w:rPr>
      <w:rFonts w:eastAsia="宋体"/>
      <w:b/>
      <w:bCs/>
      <w:kern w:val="2"/>
      <w:sz w:val="32"/>
      <w:szCs w:val="32"/>
      <w:lang w:val="en-US" w:eastAsia="zh-CN" w:bidi="ar-SA"/>
    </w:rPr>
  </w:style>
  <w:style w:type="paragraph" w:customStyle="1" w:styleId="101">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02">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03">
    <w:name w:val="--规划正文"/>
    <w:basedOn w:val="1"/>
    <w:qFormat/>
    <w:uiPriority w:val="0"/>
    <w:pPr>
      <w:spacing w:line="360" w:lineRule="auto"/>
      <w:ind w:firstLine="200" w:firstLineChars="200"/>
    </w:pPr>
    <w:rPr>
      <w:szCs w:val="20"/>
    </w:rPr>
  </w:style>
  <w:style w:type="paragraph" w:customStyle="1" w:styleId="104">
    <w:name w:val="设计依据"/>
    <w:basedOn w:val="2"/>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05">
    <w:name w:val="方案要点"/>
    <w:basedOn w:val="1"/>
    <w:qFormat/>
    <w:uiPriority w:val="0"/>
    <w:pPr>
      <w:numPr>
        <w:ilvl w:val="0"/>
        <w:numId w:val="4"/>
      </w:numPr>
      <w:spacing w:line="360" w:lineRule="auto"/>
    </w:pPr>
    <w:rPr>
      <w:rFonts w:ascii="仿宋_GB2312" w:hAnsi="宋体" w:eastAsia="仿宋_GB2312"/>
      <w:color w:val="000000"/>
      <w:sz w:val="28"/>
      <w:szCs w:val="28"/>
    </w:rPr>
  </w:style>
  <w:style w:type="paragraph" w:customStyle="1" w:styleId="106">
    <w:name w:val="样式4"/>
    <w:basedOn w:val="1"/>
    <w:qFormat/>
    <w:uiPriority w:val="0"/>
    <w:pPr>
      <w:tabs>
        <w:tab w:val="left" w:pos="842"/>
      </w:tabs>
      <w:spacing w:line="360" w:lineRule="auto"/>
      <w:ind w:left="842" w:hanging="420"/>
    </w:pPr>
    <w:rPr>
      <w:sz w:val="24"/>
    </w:rPr>
  </w:style>
  <w:style w:type="paragraph" w:customStyle="1" w:styleId="107">
    <w:name w:val="文字"/>
    <w:basedOn w:val="1"/>
    <w:qFormat/>
    <w:uiPriority w:val="0"/>
    <w:pPr>
      <w:tabs>
        <w:tab w:val="left" w:pos="8520"/>
      </w:tabs>
      <w:spacing w:line="312" w:lineRule="auto"/>
      <w:ind w:right="-210" w:firstLine="556"/>
    </w:pPr>
    <w:rPr>
      <w:rFonts w:ascii="宋体"/>
      <w:sz w:val="28"/>
      <w:szCs w:val="20"/>
    </w:rPr>
  </w:style>
  <w:style w:type="paragraph" w:customStyle="1" w:styleId="108">
    <w:name w:val="--规划-表格-居左"/>
    <w:basedOn w:val="103"/>
    <w:qFormat/>
    <w:uiPriority w:val="0"/>
    <w:pPr>
      <w:spacing w:line="240" w:lineRule="auto"/>
      <w:ind w:firstLine="0" w:firstLineChars="0"/>
    </w:pPr>
    <w:rPr>
      <w:sz w:val="20"/>
    </w:rPr>
  </w:style>
  <w:style w:type="paragraph" w:customStyle="1" w:styleId="109">
    <w:name w:val="--规划-表格-居中"/>
    <w:basedOn w:val="103"/>
    <w:qFormat/>
    <w:uiPriority w:val="0"/>
    <w:pPr>
      <w:spacing w:line="240" w:lineRule="auto"/>
      <w:ind w:firstLine="0" w:firstLineChars="0"/>
      <w:jc w:val="center"/>
    </w:pPr>
    <w:rPr>
      <w:sz w:val="20"/>
    </w:rPr>
  </w:style>
  <w:style w:type="paragraph" w:customStyle="1" w:styleId="110">
    <w:name w:val="--编号内缩进"/>
    <w:basedOn w:val="1"/>
    <w:qFormat/>
    <w:uiPriority w:val="0"/>
    <w:pPr>
      <w:spacing w:line="360" w:lineRule="auto"/>
      <w:ind w:left="420" w:firstLine="200" w:firstLineChars="200"/>
    </w:pPr>
    <w:rPr>
      <w:szCs w:val="21"/>
    </w:rPr>
  </w:style>
  <w:style w:type="paragraph" w:customStyle="1" w:styleId="111">
    <w:name w:val="--规划-题注"/>
    <w:basedOn w:val="1"/>
    <w:next w:val="103"/>
    <w:qFormat/>
    <w:uiPriority w:val="0"/>
    <w:pPr>
      <w:spacing w:line="360" w:lineRule="auto"/>
      <w:jc w:val="center"/>
    </w:pPr>
    <w:rPr>
      <w:rFonts w:eastAsia="黑体"/>
    </w:rPr>
  </w:style>
  <w:style w:type="paragraph" w:customStyle="1" w:styleId="112">
    <w:name w:val="--规划-图和表"/>
    <w:next w:val="103"/>
    <w:qFormat/>
    <w:uiPriority w:val="0"/>
    <w:pPr>
      <w:jc w:val="center"/>
    </w:pPr>
    <w:rPr>
      <w:rFonts w:ascii="Times New Roman" w:hAnsi="Times New Roman" w:eastAsia="宋体" w:cs="Times New Roman"/>
      <w:kern w:val="2"/>
      <w:sz w:val="21"/>
      <w:lang w:val="en-US" w:eastAsia="zh-CN" w:bidi="ar-SA"/>
    </w:rPr>
  </w:style>
  <w:style w:type="paragraph" w:customStyle="1" w:styleId="113">
    <w:name w:val="--规划-小标题"/>
    <w:basedOn w:val="1"/>
    <w:next w:val="103"/>
    <w:qFormat/>
    <w:uiPriority w:val="0"/>
    <w:pPr>
      <w:keepNext/>
      <w:keepLines/>
      <w:spacing w:line="360" w:lineRule="auto"/>
      <w:outlineLvl w:val="4"/>
    </w:pPr>
    <w:rPr>
      <w:rFonts w:eastAsia="黑体"/>
    </w:rPr>
  </w:style>
  <w:style w:type="paragraph" w:customStyle="1" w:styleId="114">
    <w:name w:val="--规划正文 Char"/>
    <w:basedOn w:val="1"/>
    <w:qFormat/>
    <w:uiPriority w:val="0"/>
    <w:pPr>
      <w:spacing w:line="360" w:lineRule="auto"/>
      <w:ind w:firstLine="200" w:firstLineChars="200"/>
    </w:pPr>
    <w:rPr>
      <w:sz w:val="24"/>
    </w:rPr>
  </w:style>
  <w:style w:type="paragraph" w:customStyle="1" w:styleId="115">
    <w:name w:val="缺省文本"/>
    <w:basedOn w:val="1"/>
    <w:qFormat/>
    <w:uiPriority w:val="0"/>
    <w:pPr>
      <w:autoSpaceDE w:val="0"/>
      <w:autoSpaceDN w:val="0"/>
      <w:adjustRightInd w:val="0"/>
      <w:jc w:val="left"/>
    </w:pPr>
    <w:rPr>
      <w:kern w:val="0"/>
    </w:rPr>
  </w:style>
  <w:style w:type="paragraph" w:customStyle="1" w:styleId="116">
    <w:name w:val="封面文档标题"/>
    <w:basedOn w:val="1"/>
    <w:qFormat/>
    <w:uiPriority w:val="0"/>
    <w:pPr>
      <w:autoSpaceDE w:val="0"/>
      <w:autoSpaceDN w:val="0"/>
      <w:adjustRightInd w:val="0"/>
      <w:spacing w:line="360" w:lineRule="auto"/>
      <w:jc w:val="center"/>
    </w:pPr>
    <w:rPr>
      <w:rFonts w:ascii="Arial" w:hAnsi="Arial"/>
      <w:b/>
      <w:kern w:val="0"/>
      <w:sz w:val="56"/>
    </w:rPr>
  </w:style>
  <w:style w:type="character" w:customStyle="1" w:styleId="117">
    <w:name w:val="--规划正文 Char Char"/>
    <w:qFormat/>
    <w:uiPriority w:val="0"/>
    <w:rPr>
      <w:rFonts w:eastAsia="宋体"/>
      <w:kern w:val="2"/>
      <w:sz w:val="24"/>
      <w:szCs w:val="24"/>
      <w:lang w:val="en-US" w:eastAsia="zh-CN" w:bidi="ar-SA"/>
    </w:rPr>
  </w:style>
  <w:style w:type="paragraph" w:customStyle="1" w:styleId="118">
    <w:name w:val="样式3"/>
    <w:basedOn w:val="3"/>
    <w:qFormat/>
    <w:uiPriority w:val="0"/>
    <w:pPr>
      <w:numPr>
        <w:ilvl w:val="0"/>
        <w:numId w:val="5"/>
      </w:numPr>
      <w:spacing w:before="240" w:after="240" w:line="480" w:lineRule="auto"/>
      <w:ind w:right="210" w:rightChars="100"/>
      <w:jc w:val="left"/>
    </w:pPr>
    <w:rPr>
      <w:rFonts w:ascii="Times New Roman" w:hAnsi="Times New Roman"/>
      <w:sz w:val="32"/>
    </w:rPr>
  </w:style>
  <w:style w:type="character" w:customStyle="1" w:styleId="119">
    <w:name w:val="--规划正文 Char1"/>
    <w:qFormat/>
    <w:uiPriority w:val="0"/>
    <w:rPr>
      <w:rFonts w:eastAsia="宋体"/>
      <w:kern w:val="2"/>
      <w:sz w:val="21"/>
      <w:lang w:val="en-US" w:eastAsia="zh-CN" w:bidi="ar-SA"/>
    </w:rPr>
  </w:style>
  <w:style w:type="paragraph" w:customStyle="1" w:styleId="120">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1">
    <w:name w:val="列表项目"/>
    <w:basedOn w:val="1"/>
    <w:qFormat/>
    <w:uiPriority w:val="0"/>
    <w:pPr>
      <w:tabs>
        <w:tab w:val="left" w:pos="420"/>
        <w:tab w:val="left" w:pos="1080"/>
      </w:tabs>
      <w:spacing w:line="288" w:lineRule="auto"/>
      <w:ind w:left="1080" w:hanging="360"/>
    </w:pPr>
    <w:rPr>
      <w:sz w:val="24"/>
      <w:szCs w:val="20"/>
    </w:rPr>
  </w:style>
  <w:style w:type="character" w:customStyle="1" w:styleId="122">
    <w:name w:val="content1"/>
    <w:qFormat/>
    <w:uiPriority w:val="0"/>
    <w:rPr>
      <w:rFonts w:hint="default" w:ascii="??" w:hAnsi="??"/>
      <w:sz w:val="16"/>
      <w:szCs w:val="16"/>
      <w:u w:val="none"/>
    </w:rPr>
  </w:style>
  <w:style w:type="character" w:customStyle="1" w:styleId="123">
    <w:name w:val="unnamed4"/>
    <w:basedOn w:val="45"/>
    <w:qFormat/>
    <w:uiPriority w:val="0"/>
  </w:style>
  <w:style w:type="character" w:customStyle="1" w:styleId="124">
    <w:name w:val="font2"/>
    <w:basedOn w:val="45"/>
    <w:qFormat/>
    <w:uiPriority w:val="0"/>
  </w:style>
  <w:style w:type="character" w:customStyle="1" w:styleId="125">
    <w:name w:val="font41"/>
    <w:qFormat/>
    <w:uiPriority w:val="0"/>
    <w:rPr>
      <w:color w:val="000000"/>
      <w:spacing w:val="260"/>
      <w:sz w:val="18"/>
      <w:szCs w:val="18"/>
      <w:u w:val="none"/>
    </w:rPr>
  </w:style>
  <w:style w:type="paragraph" w:customStyle="1" w:styleId="126">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27">
    <w:name w:val="xl72"/>
    <w:basedOn w:val="1"/>
    <w:qFormat/>
    <w:uiPriority w:val="0"/>
    <w:pPr>
      <w:widowControl/>
      <w:spacing w:before="100" w:beforeAutospacing="1" w:after="100" w:afterAutospacing="1"/>
      <w:jc w:val="left"/>
    </w:pPr>
    <w:rPr>
      <w:rFonts w:ascii="宋体" w:hAnsi="宋体"/>
      <w:b/>
      <w:bCs/>
      <w:kern w:val="0"/>
      <w:sz w:val="28"/>
      <w:szCs w:val="28"/>
    </w:rPr>
  </w:style>
  <w:style w:type="character" w:customStyle="1" w:styleId="128">
    <w:name w:val="正文文本首行缩进 字符"/>
    <w:link w:val="41"/>
    <w:qFormat/>
    <w:uiPriority w:val="0"/>
    <w:rPr>
      <w:rFonts w:eastAsia="宋体"/>
      <w:b/>
      <w:bCs/>
      <w:kern w:val="2"/>
      <w:sz w:val="21"/>
      <w:szCs w:val="24"/>
      <w:lang w:val="en-US" w:eastAsia="zh-CN" w:bidi="ar-SA"/>
    </w:rPr>
  </w:style>
  <w:style w:type="paragraph" w:customStyle="1" w:styleId="129">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30">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1">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32">
    <w:name w:val="mode"/>
    <w:basedOn w:val="45"/>
    <w:qFormat/>
    <w:uiPriority w:val="0"/>
  </w:style>
  <w:style w:type="paragraph" w:customStyle="1" w:styleId="133">
    <w:name w:val="9"/>
    <w:basedOn w:val="1"/>
    <w:next w:val="8"/>
    <w:qFormat/>
    <w:uiPriority w:val="0"/>
    <w:pPr>
      <w:autoSpaceDE w:val="0"/>
      <w:autoSpaceDN w:val="0"/>
      <w:adjustRightInd w:val="0"/>
      <w:ind w:firstLine="420"/>
      <w:jc w:val="left"/>
      <w:textAlignment w:val="baseline"/>
    </w:pPr>
    <w:rPr>
      <w:rFonts w:ascii="宋体"/>
      <w:kern w:val="0"/>
      <w:sz w:val="34"/>
      <w:szCs w:val="20"/>
    </w:rPr>
  </w:style>
  <w:style w:type="character" w:customStyle="1" w:styleId="134">
    <w:name w:val="unnamed3"/>
    <w:basedOn w:val="45"/>
    <w:qFormat/>
    <w:uiPriority w:val="0"/>
  </w:style>
  <w:style w:type="paragraph" w:customStyle="1" w:styleId="135">
    <w:name w:val="8"/>
    <w:basedOn w:val="1"/>
    <w:next w:val="19"/>
    <w:qFormat/>
    <w:uiPriority w:val="0"/>
    <w:pPr>
      <w:spacing w:after="120"/>
      <w:ind w:left="420" w:leftChars="200"/>
    </w:pPr>
  </w:style>
  <w:style w:type="paragraph" w:customStyle="1" w:styleId="136">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137">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138">
    <w:name w:val="5"/>
    <w:basedOn w:val="1"/>
    <w:qFormat/>
    <w:uiPriority w:val="0"/>
    <w:pPr>
      <w:autoSpaceDE w:val="0"/>
      <w:autoSpaceDN w:val="0"/>
      <w:adjustRightInd w:val="0"/>
      <w:jc w:val="left"/>
    </w:pPr>
    <w:rPr>
      <w:rFonts w:ascii="宋体"/>
      <w:b/>
      <w:bCs/>
      <w:kern w:val="0"/>
      <w:sz w:val="18"/>
      <w:szCs w:val="18"/>
    </w:rPr>
  </w:style>
  <w:style w:type="paragraph" w:customStyle="1" w:styleId="139">
    <w:name w:val="6"/>
    <w:basedOn w:val="138"/>
    <w:qFormat/>
    <w:uiPriority w:val="0"/>
    <w:pPr>
      <w:spacing w:line="270" w:lineRule="atLeast"/>
      <w:jc w:val="both"/>
    </w:pPr>
    <w:rPr>
      <w:b w:val="0"/>
      <w:bCs w:val="0"/>
    </w:rPr>
  </w:style>
  <w:style w:type="paragraph" w:customStyle="1" w:styleId="140">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1">
    <w:name w:val="姜文清定义的正文"/>
    <w:basedOn w:val="1"/>
    <w:qFormat/>
    <w:uiPriority w:val="0"/>
    <w:pPr>
      <w:spacing w:line="240" w:lineRule="atLeast"/>
      <w:ind w:firstLine="567"/>
    </w:pPr>
    <w:rPr>
      <w:szCs w:val="20"/>
    </w:rPr>
  </w:style>
  <w:style w:type="paragraph" w:customStyle="1" w:styleId="142">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43">
    <w:name w:val="CM2"/>
    <w:basedOn w:val="142"/>
    <w:next w:val="142"/>
    <w:qFormat/>
    <w:uiPriority w:val="0"/>
    <w:pPr>
      <w:spacing w:line="200" w:lineRule="atLeast"/>
    </w:pPr>
    <w:rPr>
      <w:rFonts w:ascii="Arial" w:hAnsi="Arial" w:eastAsia="宋体" w:cs="Times New Roman"/>
      <w:color w:val="auto"/>
    </w:rPr>
  </w:style>
  <w:style w:type="paragraph" w:customStyle="1" w:styleId="144">
    <w:name w:val="Normal Paragraph"/>
    <w:basedOn w:val="1"/>
    <w:qFormat/>
    <w:uiPriority w:val="0"/>
    <w:pPr>
      <w:widowControl/>
      <w:spacing w:before="120" w:line="360" w:lineRule="auto"/>
      <w:ind w:firstLine="425"/>
    </w:pPr>
    <w:rPr>
      <w:kern w:val="0"/>
      <w:sz w:val="24"/>
    </w:rPr>
  </w:style>
  <w:style w:type="character" w:customStyle="1" w:styleId="145">
    <w:name w:val="blue"/>
    <w:basedOn w:val="45"/>
    <w:qFormat/>
    <w:uiPriority w:val="0"/>
  </w:style>
  <w:style w:type="paragraph" w:customStyle="1" w:styleId="146">
    <w:name w:val="blue1"/>
    <w:basedOn w:val="1"/>
    <w:qFormat/>
    <w:uiPriority w:val="0"/>
    <w:pPr>
      <w:widowControl/>
      <w:spacing w:before="100" w:beforeAutospacing="1" w:after="100" w:afterAutospacing="1"/>
      <w:jc w:val="left"/>
    </w:pPr>
    <w:rPr>
      <w:rFonts w:ascii="宋体" w:hAnsi="宋体" w:cs="宋体"/>
      <w:kern w:val="0"/>
      <w:sz w:val="24"/>
    </w:rPr>
  </w:style>
  <w:style w:type="character" w:customStyle="1" w:styleId="147">
    <w:name w:val="font"/>
    <w:basedOn w:val="45"/>
    <w:qFormat/>
    <w:uiPriority w:val="0"/>
  </w:style>
  <w:style w:type="character" w:customStyle="1" w:styleId="148">
    <w:name w:val="font11"/>
    <w:qFormat/>
    <w:uiPriority w:val="0"/>
    <w:rPr>
      <w:rFonts w:hint="default" w:ascii="ˎ̥" w:hAnsi="ˎ̥"/>
    </w:rPr>
  </w:style>
  <w:style w:type="paragraph" w:customStyle="1" w:styleId="149">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50">
    <w:name w:val="proddescription"/>
    <w:basedOn w:val="45"/>
    <w:qFormat/>
    <w:uiPriority w:val="0"/>
  </w:style>
  <w:style w:type="character" w:customStyle="1" w:styleId="151">
    <w:name w:val="prodheadlines"/>
    <w:basedOn w:val="45"/>
    <w:qFormat/>
    <w:uiPriority w:val="0"/>
  </w:style>
  <w:style w:type="character" w:customStyle="1" w:styleId="152">
    <w:name w:val="text"/>
    <w:basedOn w:val="45"/>
    <w:qFormat/>
    <w:uiPriority w:val="0"/>
  </w:style>
  <w:style w:type="paragraph" w:customStyle="1" w:styleId="153">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154">
    <w:name w:val="z-窗体顶端1"/>
    <w:basedOn w:val="1"/>
    <w:next w:val="1"/>
    <w:hidden/>
    <w:qFormat/>
    <w:uiPriority w:val="0"/>
    <w:pPr>
      <w:widowControl/>
      <w:pBdr>
        <w:bottom w:val="single" w:color="auto" w:sz="6" w:space="1"/>
      </w:pBdr>
      <w:jc w:val="center"/>
    </w:pPr>
    <w:rPr>
      <w:rFonts w:ascii="Arial" w:hAnsi="Arial" w:cs="Arial"/>
      <w:vanish/>
      <w:kern w:val="0"/>
      <w:sz w:val="16"/>
      <w:szCs w:val="16"/>
    </w:rPr>
  </w:style>
  <w:style w:type="paragraph" w:customStyle="1" w:styleId="155">
    <w:name w:val="z-窗体底端1"/>
    <w:basedOn w:val="1"/>
    <w:next w:val="1"/>
    <w:hidden/>
    <w:qFormat/>
    <w:uiPriority w:val="0"/>
    <w:pPr>
      <w:widowControl/>
      <w:pBdr>
        <w:top w:val="single" w:color="auto" w:sz="6" w:space="1"/>
      </w:pBdr>
      <w:jc w:val="center"/>
    </w:pPr>
    <w:rPr>
      <w:rFonts w:ascii="Arial" w:hAnsi="Arial" w:cs="Arial"/>
      <w:vanish/>
      <w:kern w:val="0"/>
      <w:sz w:val="16"/>
      <w:szCs w:val="16"/>
    </w:rPr>
  </w:style>
  <w:style w:type="paragraph" w:customStyle="1" w:styleId="156">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57">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58">
    <w:name w:val="段落正文"/>
    <w:basedOn w:val="22"/>
    <w:qFormat/>
    <w:uiPriority w:val="0"/>
    <w:pPr>
      <w:ind w:firstLine="560" w:firstLineChars="200"/>
    </w:pPr>
    <w:rPr>
      <w:sz w:val="28"/>
    </w:rPr>
  </w:style>
  <w:style w:type="character" w:customStyle="1" w:styleId="159">
    <w:name w:val="gray6"/>
    <w:basedOn w:val="45"/>
    <w:qFormat/>
    <w:uiPriority w:val="0"/>
  </w:style>
  <w:style w:type="character" w:customStyle="1" w:styleId="160">
    <w:name w:val="style9"/>
    <w:basedOn w:val="45"/>
    <w:qFormat/>
    <w:uiPriority w:val="0"/>
  </w:style>
  <w:style w:type="paragraph" w:customStyle="1" w:styleId="161">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162">
    <w:name w:val="grame"/>
    <w:basedOn w:val="45"/>
    <w:qFormat/>
    <w:uiPriority w:val="0"/>
  </w:style>
  <w:style w:type="paragraph" w:customStyle="1" w:styleId="163">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4">
    <w:name w:val="Char1"/>
    <w:basedOn w:val="1"/>
    <w:qFormat/>
    <w:uiPriority w:val="0"/>
    <w:pPr>
      <w:jc w:val="left"/>
    </w:pPr>
    <w:rPr>
      <w:rFonts w:ascii="Tahoma" w:hAnsi="Tahoma"/>
      <w:sz w:val="24"/>
      <w:szCs w:val="20"/>
    </w:rPr>
  </w:style>
  <w:style w:type="paragraph" w:customStyle="1" w:styleId="165">
    <w:name w:val="编号1"/>
    <w:basedOn w:val="1"/>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66">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67">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68">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69">
    <w:name w:val="font6"/>
    <w:basedOn w:val="1"/>
    <w:qFormat/>
    <w:uiPriority w:val="0"/>
    <w:pPr>
      <w:widowControl/>
      <w:spacing w:before="100" w:beforeAutospacing="1" w:after="100" w:afterAutospacing="1"/>
      <w:jc w:val="left"/>
    </w:pPr>
    <w:rPr>
      <w:kern w:val="0"/>
      <w:sz w:val="24"/>
    </w:rPr>
  </w:style>
  <w:style w:type="paragraph" w:customStyle="1" w:styleId="17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2">
    <w:name w:val="表格字"/>
    <w:basedOn w:val="1"/>
    <w:qFormat/>
    <w:uiPriority w:val="0"/>
    <w:pPr>
      <w:adjustRightInd w:val="0"/>
      <w:jc w:val="center"/>
    </w:pPr>
    <w:rPr>
      <w:rFonts w:ascii="宋体"/>
      <w:sz w:val="24"/>
      <w:szCs w:val="20"/>
    </w:rPr>
  </w:style>
  <w:style w:type="character" w:customStyle="1" w:styleId="173">
    <w:name w:val="样式 小三 加粗"/>
    <w:qFormat/>
    <w:uiPriority w:val="0"/>
    <w:rPr>
      <w:rFonts w:eastAsia="宋体"/>
      <w:b/>
      <w:bCs/>
      <w:sz w:val="32"/>
    </w:rPr>
  </w:style>
  <w:style w:type="paragraph" w:customStyle="1" w:styleId="17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5">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76">
    <w:name w:val="Char Char Char"/>
    <w:basedOn w:val="1"/>
    <w:qFormat/>
    <w:uiPriority w:val="0"/>
    <w:rPr>
      <w:rFonts w:ascii="Tahoma" w:hAnsi="Tahoma"/>
      <w:sz w:val="24"/>
      <w:szCs w:val="20"/>
    </w:rPr>
  </w:style>
  <w:style w:type="paragraph" w:customStyle="1" w:styleId="177">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78">
    <w:name w:val="info4"/>
    <w:basedOn w:val="45"/>
    <w:qFormat/>
    <w:uiPriority w:val="0"/>
  </w:style>
  <w:style w:type="paragraph" w:customStyle="1" w:styleId="179">
    <w:name w:val="缩进正文"/>
    <w:basedOn w:val="1"/>
    <w:link w:val="180"/>
    <w:qFormat/>
    <w:uiPriority w:val="0"/>
    <w:pPr>
      <w:ind w:firstLine="560" w:firstLineChars="200"/>
    </w:pPr>
    <w:rPr>
      <w:rFonts w:eastAsia="仿宋_GB2312" w:cs="宋体"/>
      <w:sz w:val="28"/>
      <w:szCs w:val="20"/>
    </w:rPr>
  </w:style>
  <w:style w:type="character" w:customStyle="1" w:styleId="180">
    <w:name w:val="缩进正文 Char"/>
    <w:link w:val="179"/>
    <w:qFormat/>
    <w:uiPriority w:val="0"/>
    <w:rPr>
      <w:rFonts w:eastAsia="仿宋_GB2312" w:cs="宋体"/>
      <w:kern w:val="2"/>
      <w:sz w:val="28"/>
      <w:lang w:val="en-US" w:eastAsia="zh-CN" w:bidi="ar-SA"/>
    </w:rPr>
  </w:style>
  <w:style w:type="paragraph" w:customStyle="1" w:styleId="181">
    <w:name w:val="列出段落1"/>
    <w:basedOn w:val="1"/>
    <w:qFormat/>
    <w:uiPriority w:val="0"/>
    <w:pPr>
      <w:ind w:firstLine="420" w:firstLineChars="200"/>
    </w:pPr>
    <w:rPr>
      <w:rFonts w:ascii="Calibri" w:hAnsi="Calibri" w:cs="Calibri"/>
      <w:szCs w:val="21"/>
    </w:rPr>
  </w:style>
  <w:style w:type="character" w:customStyle="1" w:styleId="182">
    <w:name w:val="批注文字 字符"/>
    <w:basedOn w:val="45"/>
    <w:link w:val="17"/>
    <w:qFormat/>
    <w:uiPriority w:val="99"/>
    <w:rPr>
      <w:rFonts w:ascii="宋体"/>
      <w:sz w:val="34"/>
    </w:rPr>
  </w:style>
  <w:style w:type="character" w:customStyle="1" w:styleId="183">
    <w:name w:val="批注主题 字符"/>
    <w:basedOn w:val="182"/>
    <w:link w:val="40"/>
    <w:qFormat/>
    <w:uiPriority w:val="99"/>
    <w:rPr>
      <w:rFonts w:ascii="宋体"/>
      <w:sz w:val="34"/>
    </w:rPr>
  </w:style>
  <w:style w:type="paragraph" w:customStyle="1" w:styleId="184">
    <w:name w:val="评价"/>
    <w:basedOn w:val="1"/>
    <w:qFormat/>
    <w:uiPriority w:val="0"/>
    <w:pPr>
      <w:spacing w:afterLines="20"/>
      <w:ind w:firstLine="1446" w:firstLineChars="200"/>
    </w:pPr>
    <w:rPr>
      <w:rFonts w:ascii="Calibri" w:hAnsi="Calibri"/>
      <w:sz w:val="24"/>
    </w:rPr>
  </w:style>
  <w:style w:type="paragraph" w:customStyle="1" w:styleId="185">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86">
    <w:name w:val="alt-edited1"/>
    <w:qFormat/>
    <w:uiPriority w:val="0"/>
    <w:rPr>
      <w:color w:val="4D90F0"/>
    </w:rPr>
  </w:style>
  <w:style w:type="character" w:customStyle="1" w:styleId="187">
    <w:name w:val="body text Char1"/>
    <w:qFormat/>
    <w:uiPriority w:val="0"/>
    <w:rPr>
      <w:rFonts w:eastAsia="宋体"/>
      <w:kern w:val="2"/>
      <w:sz w:val="21"/>
      <w:lang w:val="en-US" w:eastAsia="zh-CN" w:bidi="ar-SA"/>
    </w:rPr>
  </w:style>
  <w:style w:type="character" w:customStyle="1" w:styleId="188">
    <w:name w:val="普通(网站) 字符"/>
    <w:link w:val="37"/>
    <w:qFormat/>
    <w:uiPriority w:val="0"/>
    <w:rPr>
      <w:kern w:val="2"/>
      <w:sz w:val="24"/>
      <w:szCs w:val="24"/>
    </w:rPr>
  </w:style>
  <w:style w:type="character" w:customStyle="1" w:styleId="189">
    <w:name w:val="批注文字 Char1"/>
    <w:qFormat/>
    <w:uiPriority w:val="99"/>
    <w:rPr>
      <w:rFonts w:ascii="宋体"/>
      <w:sz w:val="34"/>
    </w:rPr>
  </w:style>
  <w:style w:type="character" w:customStyle="1" w:styleId="190">
    <w:name w:val="正文缩进 Char1"/>
    <w:qFormat/>
    <w:uiPriority w:val="0"/>
    <w:rPr>
      <w:rFonts w:eastAsia="宋体"/>
      <w:kern w:val="2"/>
      <w:sz w:val="21"/>
      <w:lang w:val="en-US" w:eastAsia="zh-CN" w:bidi="ar-SA"/>
    </w:rPr>
  </w:style>
  <w:style w:type="table" w:customStyle="1" w:styleId="191">
    <w:name w:val="网格型1"/>
    <w:basedOn w:val="43"/>
    <w:qFormat/>
    <w:uiPriority w:val="0"/>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2">
    <w:name w:val="修订2"/>
    <w:hidden/>
    <w:unhideWhenUsed/>
    <w:qFormat/>
    <w:uiPriority w:val="99"/>
    <w:rPr>
      <w:rFonts w:ascii="Times New Roman" w:hAnsi="Times New Roman" w:eastAsia="宋体" w:cs="Times New Roman"/>
      <w:kern w:val="2"/>
      <w:sz w:val="21"/>
      <w:szCs w:val="24"/>
      <w:lang w:val="en-US" w:eastAsia="zh-CN" w:bidi="ar-SA"/>
    </w:rPr>
  </w:style>
  <w:style w:type="paragraph" w:styleId="193">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94">
    <w:name w:val="Revision"/>
    <w:hidden/>
    <w:unhideWhenUsed/>
    <w:qFormat/>
    <w:uiPriority w:val="99"/>
    <w:rPr>
      <w:rFonts w:ascii="Times New Roman" w:hAnsi="Times New Roman" w:eastAsia="宋体" w:cs="Times New Roman"/>
      <w:kern w:val="2"/>
      <w:sz w:val="21"/>
      <w:szCs w:val="24"/>
      <w:lang w:val="en-US" w:eastAsia="zh-CN" w:bidi="ar-SA"/>
    </w:rPr>
  </w:style>
  <w:style w:type="table" w:customStyle="1" w:styleId="195">
    <w:name w:val="网格型2"/>
    <w:basedOn w:val="4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42</Pages>
  <Words>2224</Words>
  <Characters>2230</Characters>
  <Lines>1418</Lines>
  <Paragraphs>1355</Paragraphs>
  <TotalTime>88</TotalTime>
  <ScaleCrop>false</ScaleCrop>
  <LinksUpToDate>false</LinksUpToDate>
  <CharactersWithSpaces>2233</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2021-04-22T16:29:00Z</dcterms:created>
  <dc:creator>thsware</dc:creator>
  <cp:lastModifiedBy>ytdrm</cp:lastModifiedBy>
  <cp:lastPrinted>2021-05-12T16:02:00Z</cp:lastPrinted>
  <dcterms:modified xsi:type="dcterms:W3CDTF">2026-09-08T11:15:00Z</dcterms:modified>
  <dc:title>招  标　文　件</dc:title>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10986182776C473E8C9309DF1FC16A0C_13</vt:lpwstr>
  </property>
  <property fmtid="{D5CDD505-2E9C-101B-9397-08002B2CF9AE}" pid="4" name="KSOTemplateDocerSaveRecord">
    <vt:lpwstr>eyJoZGlkIjoiOGFmZmZkNzUwOTAxOWMyMmE5MGJlMDdmOWVlYTQ5MGMiLCJ1c2VySWQiOiIxNjc4Nzc1ODAwIn0=</vt:lpwstr>
  </property>
</Properties>
</file>