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pageBreakBefore w:val="0"/>
        <w:tabs>
          <w:tab w:val="left" w:pos="0"/>
          <w:tab w:val="left" w:pos="3165"/>
          <w:tab w:val="center" w:pos="4153"/>
        </w:tabs>
        <w:kinsoku/>
        <w:wordWrap/>
        <w:overflowPunct/>
        <w:topLinePunct w:val="0"/>
        <w:autoSpaceDE w:val="0"/>
        <w:autoSpaceDN w:val="0"/>
        <w:bidi w:val="0"/>
        <w:adjustRightInd w:val="0"/>
        <w:snapToGrid/>
        <w:spacing w:before="0" w:after="0" w:line="560" w:lineRule="exact"/>
        <w:ind w:left="0" w:leftChars="0" w:firstLine="0" w:firstLineChars="0"/>
        <w:jc w:val="center"/>
        <w:textAlignment w:val="auto"/>
        <w:rPr>
          <w:rFonts w:hint="eastAsia" w:ascii="方正小标宋简体" w:hAnsi="方正小标宋简体" w:eastAsia="方正小标宋简体" w:cs="方正小标宋简体"/>
          <w:b w:val="0"/>
          <w:bCs w:val="0"/>
          <w:color w:val="auto"/>
          <w:sz w:val="44"/>
          <w:szCs w:val="44"/>
          <w:lang w:eastAsia="zh-CN"/>
        </w:rPr>
      </w:pPr>
      <w:bookmarkStart w:id="0" w:name="_GoBack"/>
      <w:r>
        <w:rPr>
          <w:rFonts w:hint="eastAsia" w:ascii="方正小标宋简体" w:hAnsi="方正小标宋简体" w:eastAsia="方正小标宋简体" w:cs="方正小标宋简体"/>
          <w:b w:val="0"/>
          <w:bCs w:val="0"/>
          <w:color w:val="auto"/>
          <w:sz w:val="44"/>
          <w:szCs w:val="44"/>
          <w:lang w:eastAsia="zh-CN"/>
        </w:rPr>
        <w:t>自行采购公告</w:t>
      </w:r>
    </w:p>
    <w:bookmarkEnd w:id="0"/>
    <w:p>
      <w:pPr>
        <w:rPr>
          <w:rFonts w:hint="eastAsia"/>
          <w:lang w:eastAsia="zh-CN"/>
        </w:rPr>
      </w:pPr>
    </w:p>
    <w:p>
      <w:pPr>
        <w:pStyle w:val="5"/>
        <w:pageBreakBefore w:val="0"/>
        <w:kinsoku/>
        <w:wordWrap/>
        <w:overflowPunct/>
        <w:topLinePunct w:val="0"/>
        <w:autoSpaceDE/>
        <w:autoSpaceDN/>
        <w:bidi w:val="0"/>
        <w:adjustRightInd/>
        <w:snapToGrid/>
        <w:spacing w:before="0" w:after="0" w:line="560" w:lineRule="exact"/>
        <w:ind w:left="0" w:leftChars="0" w:firstLine="640" w:firstLineChars="200"/>
        <w:jc w:val="both"/>
        <w:textAlignment w:val="auto"/>
        <w:rPr>
          <w:rFonts w:ascii="黑体" w:hAnsi="黑体" w:cs="宋体"/>
          <w:b w:val="0"/>
          <w:color w:val="auto"/>
          <w:sz w:val="32"/>
          <w:szCs w:val="32"/>
        </w:rPr>
      </w:pPr>
      <w:r>
        <w:rPr>
          <w:rFonts w:hint="eastAsia" w:ascii="黑体" w:hAnsi="黑体" w:cs="宋体"/>
          <w:b w:val="0"/>
          <w:color w:val="auto"/>
          <w:sz w:val="32"/>
          <w:szCs w:val="32"/>
        </w:rPr>
        <w:t>一、项目基本情况</w:t>
      </w:r>
    </w:p>
    <w:p>
      <w:pPr>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项目名称：梅沙街道202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年森林资源管护服务项目</w:t>
      </w:r>
    </w:p>
    <w:p>
      <w:pPr>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预算金额</w:t>
      </w:r>
      <w:r>
        <w:rPr>
          <w:rFonts w:hint="eastAsia" w:ascii="仿宋_GB2312" w:hAnsi="仿宋_GB2312" w:eastAsia="仿宋_GB2312" w:cs="仿宋_GB2312"/>
          <w:color w:val="auto"/>
          <w:sz w:val="32"/>
          <w:szCs w:val="32"/>
          <w:lang w:eastAsia="zh-CN"/>
        </w:rPr>
        <w:t>（超出预算金额或最高限价的采购文件无效）</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000000"/>
          <w:sz w:val="32"/>
          <w:szCs w:val="32"/>
          <w:highlight w:val="none"/>
          <w:lang w:val="en-US" w:eastAsia="zh-CN"/>
        </w:rPr>
        <w:t>27.5万元</w:t>
      </w:r>
    </w:p>
    <w:p>
      <w:pPr>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i w:val="0"/>
          <w:iCs w:val="0"/>
          <w:color w:val="auto"/>
          <w:sz w:val="32"/>
          <w:szCs w:val="32"/>
        </w:rPr>
      </w:pPr>
      <w:r>
        <w:rPr>
          <w:rFonts w:hint="eastAsia" w:ascii="仿宋_GB2312" w:hAnsi="仿宋_GB2312" w:eastAsia="仿宋_GB2312" w:cs="仿宋_GB2312"/>
          <w:color w:val="auto"/>
          <w:sz w:val="32"/>
          <w:szCs w:val="32"/>
        </w:rPr>
        <w:t>采购需求：协助</w:t>
      </w:r>
      <w:r>
        <w:rPr>
          <w:rFonts w:hint="eastAsia" w:ascii="仿宋_GB2312" w:hAnsi="仿宋_GB2312" w:eastAsia="仿宋_GB2312" w:cs="仿宋_GB2312"/>
          <w:color w:val="auto"/>
          <w:sz w:val="32"/>
          <w:szCs w:val="32"/>
          <w:lang w:eastAsia="zh-CN"/>
        </w:rPr>
        <w:t>梅沙</w:t>
      </w:r>
      <w:r>
        <w:rPr>
          <w:rFonts w:hint="eastAsia" w:ascii="仿宋_GB2312" w:hAnsi="仿宋_GB2312" w:eastAsia="仿宋_GB2312" w:cs="仿宋_GB2312"/>
          <w:color w:val="auto"/>
          <w:sz w:val="32"/>
          <w:szCs w:val="32"/>
        </w:rPr>
        <w:t>街道</w:t>
      </w:r>
      <w:r>
        <w:rPr>
          <w:rFonts w:hint="eastAsia" w:ascii="仿宋_GB2312" w:hAnsi="仿宋_GB2312" w:eastAsia="仿宋_GB2312" w:cs="仿宋_GB2312"/>
          <w:color w:val="auto"/>
          <w:sz w:val="32"/>
          <w:szCs w:val="32"/>
          <w:lang w:eastAsia="zh-CN"/>
        </w:rPr>
        <w:t>开展</w:t>
      </w:r>
      <w:r>
        <w:rPr>
          <w:rFonts w:hint="eastAsia" w:ascii="仿宋_GB2312" w:hAnsi="仿宋_GB2312" w:eastAsia="仿宋_GB2312" w:cs="仿宋_GB2312"/>
          <w:color w:val="000000"/>
          <w:sz w:val="32"/>
          <w:szCs w:val="32"/>
          <w:highlight w:val="none"/>
          <w:lang w:eastAsia="zh-CN"/>
        </w:rPr>
        <w:t>辖区</w:t>
      </w:r>
      <w:r>
        <w:rPr>
          <w:rFonts w:hint="eastAsia" w:ascii="仿宋_GB2312" w:hAnsi="仿宋_GB2312" w:eastAsia="仿宋_GB2312" w:cs="仿宋_GB2312"/>
          <w:color w:val="000000"/>
          <w:sz w:val="32"/>
          <w:szCs w:val="32"/>
          <w:highlight w:val="none"/>
        </w:rPr>
        <w:t>森林资源管护工作</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auto"/>
          <w:sz w:val="32"/>
          <w:szCs w:val="32"/>
        </w:rPr>
        <w:t>项目主要服务内容包括：（一）森林巡护与火险处理:工作日每天9至18时安排2人、非工作日每天9至18时安排1人协助街道驻点巡视、监测和巡逻森林，发现和处理火险、盗伐等违法行为，保护森林安全和生态环境。（二）森林生态与防火设施维护:协助街道维护森林生态系统的稳定，促进森林资源的恢复和发展，同时认真检查和维护防火设施。（三）应急备勤：每天18时至第二天9时，安排1人驻点梅沙开展应急备勤工作，保持24小时电话畅通，出现突发事故第一时间到场协助街道处置。（四）公益宣传和教育:协助街道组织和开展森林公益宣传和教育活动8场，普及森林保护知识，提高社会大众对森林保护的认识和意识。</w:t>
      </w:r>
    </w:p>
    <w:p>
      <w:pPr>
        <w:pStyle w:val="2"/>
        <w:pageBreakBefore w:val="0"/>
        <w:kinsoku/>
        <w:wordWrap/>
        <w:overflowPunct/>
        <w:topLinePunct w:val="0"/>
        <w:autoSpaceDE/>
        <w:autoSpaceDN/>
        <w:bidi w:val="0"/>
        <w:adjustRightInd/>
        <w:snapToGrid/>
        <w:ind w:leftChars="0" w:firstLine="640" w:firstLineChars="200"/>
        <w:textAlignment w:val="auto"/>
        <w:rPr>
          <w:rFonts w:hint="eastAsia" w:ascii="仿宋_GB2312" w:hAnsi="仿宋_GB2312" w:eastAsia="仿宋_GB2312" w:cs="仿宋_GB2312"/>
          <w:color w:val="auto"/>
          <w:lang w:eastAsia="zh-CN"/>
        </w:rPr>
      </w:pPr>
      <w:r>
        <w:rPr>
          <w:rFonts w:hint="eastAsia" w:ascii="仿宋_GB2312" w:hAnsi="仿宋_GB2312" w:eastAsia="仿宋_GB2312" w:cs="仿宋_GB2312"/>
          <w:i w:val="0"/>
          <w:iCs w:val="0"/>
          <w:color w:val="auto"/>
          <w:sz w:val="32"/>
          <w:szCs w:val="32"/>
          <w:lang w:eastAsia="zh-CN"/>
        </w:rPr>
        <w:t>采购方式：</w:t>
      </w:r>
      <w:r>
        <w:rPr>
          <w:rFonts w:hint="eastAsia" w:ascii="仿宋_GB2312" w:hAnsi="仿宋_GB2312" w:eastAsia="仿宋_GB2312" w:cs="仿宋_GB2312"/>
          <w:sz w:val="32"/>
          <w:szCs w:val="32"/>
          <w:lang w:eastAsia="zh-CN"/>
        </w:rPr>
        <w:t>公开征集。</w:t>
      </w:r>
    </w:p>
    <w:p>
      <w:pPr>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auto"/>
          <w:sz w:val="32"/>
          <w:szCs w:val="32"/>
          <w:u w:val="single"/>
        </w:rPr>
      </w:pPr>
      <w:r>
        <w:rPr>
          <w:rFonts w:hint="eastAsia" w:ascii="仿宋_GB2312" w:hAnsi="仿宋_GB2312" w:eastAsia="仿宋_GB2312" w:cs="仿宋_GB2312"/>
          <w:color w:val="auto"/>
          <w:sz w:val="32"/>
          <w:szCs w:val="32"/>
        </w:rPr>
        <w:t>合同履行期限：</w:t>
      </w:r>
      <w:r>
        <w:rPr>
          <w:rFonts w:hint="eastAsia" w:ascii="仿宋_GB2312" w:hAnsi="仿宋_GB2312" w:eastAsia="仿宋_GB2312" w:cs="仿宋_GB2312"/>
          <w:sz w:val="32"/>
          <w:szCs w:val="32"/>
          <w:lang w:val="en-US" w:eastAsia="zh-CN"/>
        </w:rPr>
        <w:t>2026年11月1日至2027年10月31日。</w:t>
      </w:r>
    </w:p>
    <w:p>
      <w:pPr>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本项目</w:t>
      </w:r>
      <w:r>
        <w:rPr>
          <w:rFonts w:hint="eastAsia" w:ascii="仿宋_GB2312" w:hAnsi="仿宋_GB2312" w:eastAsia="仿宋_GB2312" w:cs="仿宋_GB2312"/>
          <w:i w:val="0"/>
          <w:iCs w:val="0"/>
          <w:color w:val="auto"/>
          <w:sz w:val="32"/>
          <w:szCs w:val="32"/>
          <w:lang w:eastAsia="zh-CN"/>
        </w:rPr>
        <w:t>不</w:t>
      </w:r>
      <w:r>
        <w:rPr>
          <w:rFonts w:hint="eastAsia" w:ascii="仿宋_GB2312" w:hAnsi="仿宋_GB2312" w:eastAsia="仿宋_GB2312" w:cs="仿宋_GB2312"/>
          <w:color w:val="auto"/>
          <w:sz w:val="32"/>
          <w:szCs w:val="32"/>
        </w:rPr>
        <w:t>接受联合体投标。</w:t>
      </w:r>
    </w:p>
    <w:p>
      <w:pPr>
        <w:pStyle w:val="5"/>
        <w:pageBreakBefore w:val="0"/>
        <w:numPr>
          <w:ilvl w:val="0"/>
          <w:numId w:val="1"/>
        </w:numPr>
        <w:kinsoku/>
        <w:wordWrap/>
        <w:overflowPunct/>
        <w:topLinePunct w:val="0"/>
        <w:autoSpaceDE/>
        <w:autoSpaceDN/>
        <w:bidi w:val="0"/>
        <w:adjustRightInd/>
        <w:snapToGrid/>
        <w:spacing w:before="0" w:after="0" w:line="560" w:lineRule="exact"/>
        <w:ind w:left="0" w:leftChars="0" w:firstLine="640" w:firstLineChars="200"/>
        <w:jc w:val="both"/>
        <w:textAlignment w:val="auto"/>
        <w:rPr>
          <w:rFonts w:hint="eastAsia" w:ascii="黑体" w:hAnsi="黑体" w:cs="宋体"/>
          <w:b w:val="0"/>
          <w:color w:val="auto"/>
          <w:sz w:val="32"/>
          <w:szCs w:val="32"/>
        </w:rPr>
      </w:pPr>
      <w:r>
        <w:rPr>
          <w:rFonts w:hint="eastAsia" w:ascii="黑体" w:hAnsi="黑体" w:cs="宋体"/>
          <w:b w:val="0"/>
          <w:color w:val="auto"/>
          <w:sz w:val="32"/>
          <w:szCs w:val="32"/>
          <w:lang w:eastAsia="zh-CN"/>
        </w:rPr>
        <w:t>供应商</w:t>
      </w:r>
      <w:r>
        <w:rPr>
          <w:rFonts w:hint="eastAsia" w:ascii="黑体" w:hAnsi="黑体" w:cs="宋体"/>
          <w:b w:val="0"/>
          <w:color w:val="auto"/>
          <w:sz w:val="32"/>
          <w:szCs w:val="32"/>
        </w:rPr>
        <w:t>的资格要求</w:t>
      </w:r>
    </w:p>
    <w:p>
      <w:pPr>
        <w:keepNext w:val="0"/>
        <w:keepLines w:val="0"/>
        <w:widowControl/>
        <w:suppressLineNumbers w:val="0"/>
        <w:ind w:firstLine="640" w:firstLineChars="200"/>
        <w:jc w:val="left"/>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（一）符合《中华人民共和国政府采购法》第二十二条规定的资质要求（由供应商作出承诺声明）；</w:t>
      </w:r>
    </w:p>
    <w:p>
      <w:pPr>
        <w:keepNext w:val="0"/>
        <w:keepLines w:val="0"/>
        <w:widowControl/>
        <w:suppressLineNumbers w:val="0"/>
        <w:ind w:firstLine="640" w:firstLineChars="200"/>
        <w:jc w:val="left"/>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 xml:space="preserve">（二）具有独立法人资格或具有独立承担民事责任的能力（提供营业执照或事业单位法人证等法人证明扫描件，原件备查;分支机构参与投标的，须同时提供总公司授权文件且授权书载明其民事责任由总公司承担）； </w:t>
      </w:r>
    </w:p>
    <w:p>
      <w:pPr>
        <w:keepNext w:val="0"/>
        <w:keepLines w:val="0"/>
        <w:widowControl/>
        <w:suppressLineNumbers w:val="0"/>
        <w:ind w:firstLine="640" w:firstLineChars="200"/>
        <w:jc w:val="left"/>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 xml:space="preserve">（三）参与本项目政府采购活动时不存在被有关部门禁止参与政府采购活动且在有效期内的情况（由供应商作出承诺声明）； </w:t>
      </w:r>
    </w:p>
    <w:p>
      <w:pPr>
        <w:keepNext w:val="0"/>
        <w:keepLines w:val="0"/>
        <w:widowControl/>
        <w:suppressLineNumbers w:val="0"/>
        <w:ind w:firstLine="640" w:firstLineChars="200"/>
        <w:jc w:val="left"/>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 xml:space="preserve">（四）未被列入失信被执行人、重大税收违法案件当事人名单、政府采购严重违法失信行为记录名单（由供应商作出承诺声明）； </w:t>
      </w:r>
    </w:p>
    <w:p>
      <w:pPr>
        <w:keepNext w:val="0"/>
        <w:keepLines w:val="0"/>
        <w:widowControl/>
        <w:suppressLineNumbers w:val="0"/>
        <w:ind w:firstLine="640" w:firstLineChars="200"/>
        <w:jc w:val="left"/>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（五）不存在《深圳市财政局政府采购供应商信用信息管理办法》（深财规</w:t>
      </w:r>
      <w:r>
        <w:rPr>
          <w:rFonts w:hint="default" w:ascii="华康海报体W12" w:hAnsi="华康海报体W12" w:eastAsia="仿宋_GB2312" w:cs="华康海报体W12"/>
          <w:kern w:val="0"/>
          <w:sz w:val="32"/>
          <w:szCs w:val="32"/>
          <w:lang w:val="en-US" w:eastAsia="zh-CN" w:bidi="ar"/>
        </w:rPr>
        <w:t>〔</w:t>
      </w:r>
      <w:r>
        <w:rPr>
          <w:rFonts w:hint="eastAsia" w:ascii="仿宋_GB2312" w:hAnsi="仿宋_GB2312" w:eastAsia="仿宋_GB2312" w:cs="仿宋_GB2312"/>
          <w:kern w:val="0"/>
          <w:sz w:val="32"/>
          <w:szCs w:val="32"/>
          <w:lang w:val="en-US" w:eastAsia="zh-CN" w:bidi="ar"/>
        </w:rPr>
        <w:t xml:space="preserve">2023〕3号）列明的严重违法失信行为（由供应商作出承诺声明）； </w:t>
      </w:r>
    </w:p>
    <w:p>
      <w:pPr>
        <w:keepNext w:val="0"/>
        <w:keepLines w:val="0"/>
        <w:widowControl/>
        <w:suppressLineNumbers w:val="0"/>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六）单位负责人为同一人或者存在直接控股、管理关系的不同供应商，不得参加同一合同项下的政府采购活动；为采购项目提供整体设计、规范编制或者项目管理、监理、检测等服务的供应商，不得再参加该采购项目的其他采购活动（由供应商作出承诺声明）。</w:t>
      </w:r>
    </w:p>
    <w:p>
      <w:pPr>
        <w:pStyle w:val="5"/>
        <w:pageBreakBefore w:val="0"/>
        <w:kinsoku/>
        <w:wordWrap/>
        <w:overflowPunct/>
        <w:topLinePunct w:val="0"/>
        <w:autoSpaceDE/>
        <w:autoSpaceDN/>
        <w:bidi w:val="0"/>
        <w:adjustRightInd/>
        <w:snapToGrid/>
        <w:spacing w:before="0" w:after="0" w:line="560" w:lineRule="exact"/>
        <w:ind w:left="0" w:leftChars="0" w:firstLine="640" w:firstLineChars="200"/>
        <w:jc w:val="both"/>
        <w:textAlignment w:val="auto"/>
        <w:rPr>
          <w:rFonts w:hint="eastAsia" w:ascii="黑体" w:hAnsi="黑体" w:eastAsia="黑体" w:cs="宋体"/>
          <w:b w:val="0"/>
          <w:color w:val="auto"/>
          <w:sz w:val="32"/>
          <w:szCs w:val="32"/>
          <w:lang w:eastAsia="zh-CN"/>
        </w:rPr>
      </w:pPr>
      <w:r>
        <w:rPr>
          <w:rFonts w:hint="eastAsia" w:ascii="黑体" w:hAnsi="黑体" w:cs="宋体"/>
          <w:b w:val="0"/>
          <w:color w:val="auto"/>
          <w:sz w:val="32"/>
          <w:szCs w:val="32"/>
        </w:rPr>
        <w:t>三、</w:t>
      </w:r>
      <w:r>
        <w:rPr>
          <w:rFonts w:hint="eastAsia" w:ascii="黑体" w:hAnsi="黑体" w:cs="宋体"/>
          <w:b w:val="0"/>
          <w:color w:val="auto"/>
          <w:sz w:val="32"/>
          <w:szCs w:val="32"/>
          <w:lang w:eastAsia="zh-CN"/>
        </w:rPr>
        <w:t>其他服务要求</w:t>
      </w:r>
    </w:p>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z w:val="32"/>
          <w:szCs w:val="32"/>
          <w:highlight w:val="none"/>
          <w:lang w:val="en-US" w:eastAsia="zh-CN"/>
        </w:rPr>
        <w:t>供应商需提供一个4人以上的项目服务团队，其中1人为项目负责人，主要负责项目对接和项目管理，团队成员</w:t>
      </w:r>
      <w:r>
        <w:rPr>
          <w:rFonts w:hint="eastAsia" w:ascii="仿宋_GB2312" w:hAnsi="仿宋_GB2312" w:eastAsia="仿宋_GB2312" w:cs="仿宋_GB2312"/>
          <w:color w:val="000000"/>
          <w:sz w:val="32"/>
          <w:szCs w:val="32"/>
          <w:highlight w:val="none"/>
          <w:vertAlign w:val="baseline"/>
          <w:lang w:val="en-US" w:eastAsia="zh-CN"/>
        </w:rPr>
        <w:t>（项目负责人除外）不少于3人。</w:t>
      </w:r>
    </w:p>
    <w:p>
      <w:pPr>
        <w:pStyle w:val="5"/>
        <w:pageBreakBefore w:val="0"/>
        <w:kinsoku/>
        <w:wordWrap/>
        <w:overflowPunct/>
        <w:topLinePunct w:val="0"/>
        <w:autoSpaceDE/>
        <w:autoSpaceDN/>
        <w:bidi w:val="0"/>
        <w:adjustRightInd/>
        <w:snapToGrid/>
        <w:spacing w:before="0" w:after="0" w:line="560" w:lineRule="exact"/>
        <w:ind w:left="0" w:leftChars="0" w:firstLine="640" w:firstLineChars="200"/>
        <w:jc w:val="both"/>
        <w:textAlignment w:val="auto"/>
        <w:rPr>
          <w:rFonts w:hint="eastAsia" w:ascii="黑体" w:hAnsi="黑体" w:cs="宋体"/>
          <w:b w:val="0"/>
          <w:color w:val="auto"/>
          <w:sz w:val="32"/>
          <w:szCs w:val="32"/>
          <w:lang w:eastAsia="zh-CN"/>
        </w:rPr>
      </w:pPr>
      <w:r>
        <w:rPr>
          <w:rFonts w:hint="eastAsia" w:ascii="黑体" w:hAnsi="黑体" w:cs="宋体"/>
          <w:b w:val="0"/>
          <w:color w:val="auto"/>
          <w:sz w:val="32"/>
          <w:szCs w:val="32"/>
          <w:lang w:eastAsia="zh-CN"/>
        </w:rPr>
        <w:t>四、供应商提供采购文件主要内容</w:t>
      </w:r>
      <w:r>
        <w:rPr>
          <w:rFonts w:hint="eastAsia" w:ascii="黑体" w:hAnsi="黑体" w:eastAsia="黑体" w:cs="黑体"/>
          <w:b w:val="0"/>
          <w:color w:val="auto"/>
          <w:sz w:val="32"/>
          <w:szCs w:val="32"/>
          <w:lang w:eastAsia="zh-CN"/>
        </w:rPr>
        <w:t>（需盖公章）</w:t>
      </w:r>
    </w:p>
    <w:p>
      <w:pPr>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b w:val="0"/>
          <w:color w:val="000000"/>
          <w:sz w:val="32"/>
          <w:szCs w:val="32"/>
          <w:highlight w:val="none"/>
          <w:lang w:eastAsia="zh-CN"/>
        </w:rPr>
      </w:pPr>
      <w:r>
        <w:rPr>
          <w:rFonts w:hint="eastAsia" w:ascii="仿宋_GB2312" w:hAnsi="仿宋_GB2312" w:eastAsia="仿宋_GB2312" w:cs="仿宋_GB2312"/>
          <w:b w:val="0"/>
          <w:color w:val="000000"/>
          <w:sz w:val="32"/>
          <w:szCs w:val="32"/>
          <w:highlight w:val="none"/>
          <w:lang w:eastAsia="zh-CN"/>
        </w:rPr>
        <w:t>（一）采购方案（含供应商基本情况介绍、履行采购项目的工作方式、内容及费用明细等）</w:t>
      </w:r>
    </w:p>
    <w:p>
      <w:pPr>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b w:val="0"/>
          <w:color w:val="000000"/>
          <w:sz w:val="32"/>
          <w:szCs w:val="32"/>
          <w:highlight w:val="none"/>
          <w:lang w:eastAsia="zh-CN"/>
        </w:rPr>
      </w:pPr>
      <w:r>
        <w:rPr>
          <w:rFonts w:hint="eastAsia" w:ascii="仿宋_GB2312" w:hAnsi="仿宋_GB2312" w:eastAsia="仿宋_GB2312" w:cs="仿宋_GB2312"/>
          <w:b w:val="0"/>
          <w:color w:val="000000"/>
          <w:sz w:val="32"/>
          <w:szCs w:val="32"/>
          <w:highlight w:val="none"/>
          <w:lang w:eastAsia="zh-CN"/>
        </w:rPr>
        <w:t>（二）供应商资质证明材料及联系方式</w:t>
      </w:r>
    </w:p>
    <w:p>
      <w:pPr>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b w:val="0"/>
          <w:color w:val="000000"/>
          <w:kern w:val="2"/>
          <w:sz w:val="32"/>
          <w:szCs w:val="32"/>
          <w:highlight w:val="none"/>
          <w:lang w:val="en-US" w:eastAsia="zh-CN" w:bidi="ar-SA"/>
        </w:rPr>
      </w:pPr>
      <w:r>
        <w:rPr>
          <w:rFonts w:hint="eastAsia" w:ascii="仿宋_GB2312" w:hAnsi="仿宋_GB2312" w:eastAsia="仿宋_GB2312" w:cs="仿宋_GB2312"/>
          <w:b w:val="0"/>
          <w:color w:val="000000"/>
          <w:kern w:val="2"/>
          <w:sz w:val="32"/>
          <w:szCs w:val="32"/>
          <w:highlight w:val="none"/>
          <w:lang w:val="en-US" w:eastAsia="zh-CN" w:bidi="ar-SA"/>
        </w:rPr>
        <w:t>（三）公司法定代表人的身份证复印件</w:t>
      </w:r>
    </w:p>
    <w:p>
      <w:pPr>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b w:val="0"/>
          <w:color w:val="000000"/>
          <w:kern w:val="2"/>
          <w:sz w:val="32"/>
          <w:szCs w:val="32"/>
          <w:highlight w:val="none"/>
          <w:lang w:val="en-US" w:eastAsia="zh-CN" w:bidi="ar-SA"/>
        </w:rPr>
      </w:pPr>
      <w:r>
        <w:rPr>
          <w:rFonts w:hint="eastAsia" w:ascii="仿宋_GB2312" w:hAnsi="仿宋_GB2312" w:eastAsia="仿宋_GB2312" w:cs="仿宋_GB2312"/>
          <w:b w:val="0"/>
          <w:color w:val="000000"/>
          <w:kern w:val="2"/>
          <w:sz w:val="32"/>
          <w:szCs w:val="32"/>
          <w:highlight w:val="none"/>
          <w:lang w:val="en-US" w:eastAsia="zh-CN" w:bidi="ar-SA"/>
        </w:rPr>
        <w:t>（四）法定代表人授权委托书</w:t>
      </w:r>
    </w:p>
    <w:p>
      <w:pPr>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b w:val="0"/>
          <w:color w:val="000000"/>
          <w:kern w:val="2"/>
          <w:sz w:val="32"/>
          <w:szCs w:val="32"/>
          <w:highlight w:val="none"/>
          <w:lang w:val="en-US" w:eastAsia="zh-CN" w:bidi="ar-SA"/>
        </w:rPr>
      </w:pPr>
      <w:r>
        <w:rPr>
          <w:rFonts w:hint="eastAsia" w:ascii="仿宋_GB2312" w:hAnsi="仿宋_GB2312" w:eastAsia="仿宋_GB2312" w:cs="仿宋_GB2312"/>
          <w:b w:val="0"/>
          <w:color w:val="000000"/>
          <w:kern w:val="2"/>
          <w:sz w:val="32"/>
          <w:szCs w:val="32"/>
          <w:highlight w:val="none"/>
          <w:lang w:val="en-US" w:eastAsia="zh-CN" w:bidi="ar-SA"/>
        </w:rPr>
        <w:t>（五）符合资质要求的承诺函</w:t>
      </w:r>
    </w:p>
    <w:p>
      <w:pPr>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b w:val="0"/>
          <w:color w:val="000000"/>
          <w:kern w:val="2"/>
          <w:sz w:val="32"/>
          <w:szCs w:val="32"/>
          <w:highlight w:val="none"/>
          <w:lang w:val="en-US" w:eastAsia="zh-CN" w:bidi="ar-SA"/>
        </w:rPr>
      </w:pPr>
      <w:r>
        <w:rPr>
          <w:rFonts w:hint="eastAsia" w:ascii="仿宋_GB2312" w:hAnsi="仿宋_GB2312" w:eastAsia="仿宋_GB2312" w:cs="仿宋_GB2312"/>
          <w:b w:val="0"/>
          <w:color w:val="000000"/>
          <w:kern w:val="2"/>
          <w:sz w:val="32"/>
          <w:szCs w:val="32"/>
          <w:highlight w:val="none"/>
          <w:lang w:val="en-US" w:eastAsia="zh-CN" w:bidi="ar-SA"/>
        </w:rPr>
        <w:t>（六）符合项目服务要求的证明材料等</w:t>
      </w:r>
    </w:p>
    <w:p>
      <w:pPr>
        <w:pStyle w:val="2"/>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auto"/>
          <w:lang w:eastAsia="zh-CN"/>
        </w:rPr>
      </w:pPr>
      <w:r>
        <w:rPr>
          <w:rFonts w:hint="eastAsia" w:ascii="仿宋_GB2312" w:hAnsi="仿宋_GB2312" w:eastAsia="仿宋_GB2312" w:cs="仿宋_GB2312"/>
          <w:b w:val="0"/>
          <w:color w:val="000000"/>
          <w:kern w:val="2"/>
          <w:sz w:val="32"/>
          <w:szCs w:val="32"/>
          <w:highlight w:val="none"/>
          <w:lang w:val="en-US" w:eastAsia="zh-CN" w:bidi="ar-SA"/>
        </w:rPr>
        <w:t>（七）供应商基本情况信息表（详见附件）</w:t>
      </w:r>
    </w:p>
    <w:p>
      <w:pPr>
        <w:pStyle w:val="5"/>
        <w:pageBreakBefore w:val="0"/>
        <w:kinsoku/>
        <w:wordWrap/>
        <w:overflowPunct/>
        <w:topLinePunct w:val="0"/>
        <w:autoSpaceDE/>
        <w:autoSpaceDN/>
        <w:bidi w:val="0"/>
        <w:adjustRightInd/>
        <w:snapToGrid/>
        <w:spacing w:before="0" w:after="0" w:line="560" w:lineRule="exact"/>
        <w:ind w:left="0" w:leftChars="0" w:firstLine="640" w:firstLineChars="200"/>
        <w:jc w:val="both"/>
        <w:textAlignment w:val="auto"/>
        <w:rPr>
          <w:rFonts w:hint="default" w:ascii="黑体" w:hAnsi="黑体" w:cs="宋体"/>
          <w:b w:val="0"/>
          <w:color w:val="auto"/>
          <w:sz w:val="32"/>
          <w:szCs w:val="32"/>
          <w:lang w:val="en-US" w:eastAsia="zh-CN"/>
        </w:rPr>
      </w:pPr>
      <w:r>
        <w:rPr>
          <w:rFonts w:hint="eastAsia" w:ascii="黑体" w:hAnsi="黑体" w:cs="宋体"/>
          <w:b w:val="0"/>
          <w:color w:val="auto"/>
          <w:sz w:val="32"/>
          <w:szCs w:val="32"/>
          <w:lang w:eastAsia="zh-CN"/>
        </w:rPr>
        <w:t>五、评定方式</w:t>
      </w:r>
      <w:r>
        <w:rPr>
          <w:rFonts w:hint="eastAsia" w:ascii="黑体" w:hAnsi="黑体" w:cs="宋体"/>
          <w:b w:val="0"/>
          <w:color w:val="auto"/>
          <w:sz w:val="32"/>
          <w:szCs w:val="32"/>
          <w:lang w:val="en-US" w:eastAsia="zh-CN"/>
        </w:rPr>
        <w:t>:</w:t>
      </w:r>
      <w:r>
        <w:rPr>
          <w:rFonts w:hint="eastAsia" w:ascii="仿宋_GB2312" w:hAnsi="仿宋_GB2312" w:eastAsia="仿宋_GB2312" w:cs="仿宋_GB2312"/>
          <w:b w:val="0"/>
          <w:bCs w:val="0"/>
          <w:color w:val="000000"/>
          <w:kern w:val="2"/>
          <w:sz w:val="32"/>
          <w:szCs w:val="32"/>
          <w:highlight w:val="none"/>
          <w:lang w:val="en-US" w:eastAsia="zh-CN" w:bidi="ar-SA"/>
        </w:rPr>
        <w:t>本项目采用公开征集方式采购，定标方法采用综合评分法，综合考虑价格、项目实施方案、项目重点难点分析及应对措施、项目负责人和团队成员的能力、经验，公司同类项目业绩、诚信情况等因素。</w:t>
      </w:r>
    </w:p>
    <w:p>
      <w:pPr>
        <w:pStyle w:val="5"/>
        <w:pageBreakBefore w:val="0"/>
        <w:kinsoku/>
        <w:wordWrap/>
        <w:overflowPunct/>
        <w:topLinePunct w:val="0"/>
        <w:autoSpaceDE/>
        <w:autoSpaceDN/>
        <w:bidi w:val="0"/>
        <w:adjustRightInd/>
        <w:snapToGrid/>
        <w:spacing w:before="0" w:after="0" w:line="560" w:lineRule="exact"/>
        <w:ind w:left="0" w:leftChars="0" w:firstLine="640" w:firstLineChars="200"/>
        <w:jc w:val="both"/>
        <w:textAlignment w:val="auto"/>
        <w:rPr>
          <w:rFonts w:ascii="黑体" w:hAnsi="黑体" w:cs="宋体"/>
          <w:b w:val="0"/>
          <w:color w:val="auto"/>
          <w:sz w:val="32"/>
          <w:szCs w:val="32"/>
        </w:rPr>
      </w:pPr>
      <w:r>
        <w:rPr>
          <w:rFonts w:hint="eastAsia" w:ascii="黑体" w:hAnsi="黑体" w:cs="宋体"/>
          <w:b w:val="0"/>
          <w:color w:val="auto"/>
          <w:sz w:val="32"/>
          <w:szCs w:val="32"/>
          <w:lang w:eastAsia="zh-CN"/>
        </w:rPr>
        <w:t>六</w:t>
      </w:r>
      <w:r>
        <w:rPr>
          <w:rFonts w:hint="eastAsia" w:ascii="黑体" w:hAnsi="黑体" w:cs="宋体"/>
          <w:b w:val="0"/>
          <w:color w:val="auto"/>
          <w:sz w:val="32"/>
          <w:szCs w:val="32"/>
        </w:rPr>
        <w:t>、公告期限</w:t>
      </w:r>
    </w:p>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b w:val="0"/>
          <w:color w:val="auto"/>
          <w:sz w:val="32"/>
          <w:szCs w:val="32"/>
          <w:lang w:eastAsia="zh-CN"/>
        </w:rPr>
      </w:pPr>
      <w:r>
        <w:rPr>
          <w:rFonts w:hint="eastAsia" w:ascii="仿宋_GB2312" w:hAnsi="仿宋_GB2312" w:eastAsia="仿宋_GB2312" w:cs="仿宋_GB2312"/>
          <w:color w:val="auto"/>
          <w:sz w:val="32"/>
          <w:szCs w:val="32"/>
          <w:lang w:val="en-US" w:eastAsia="zh-CN"/>
        </w:rPr>
        <w:t>2026年9月1</w:t>
      </w:r>
      <w:r>
        <w:rPr>
          <w:rFonts w:hint="default"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lang w:val="en-US" w:eastAsia="zh-CN"/>
        </w:rPr>
        <w:t>日至2026年9月17日。</w:t>
      </w:r>
    </w:p>
    <w:p>
      <w:pPr>
        <w:pStyle w:val="5"/>
        <w:pageBreakBefore w:val="0"/>
        <w:kinsoku/>
        <w:wordWrap/>
        <w:overflowPunct/>
        <w:topLinePunct w:val="0"/>
        <w:autoSpaceDE/>
        <w:autoSpaceDN/>
        <w:bidi w:val="0"/>
        <w:adjustRightInd/>
        <w:snapToGrid/>
        <w:spacing w:before="0" w:after="0" w:line="560" w:lineRule="exact"/>
        <w:ind w:left="0" w:leftChars="0" w:firstLine="640" w:firstLineChars="200"/>
        <w:jc w:val="both"/>
        <w:textAlignment w:val="auto"/>
        <w:rPr>
          <w:rFonts w:ascii="黑体" w:hAnsi="黑体" w:cs="宋体"/>
          <w:b w:val="0"/>
          <w:color w:val="auto"/>
          <w:sz w:val="32"/>
          <w:szCs w:val="32"/>
        </w:rPr>
      </w:pPr>
      <w:r>
        <w:rPr>
          <w:rFonts w:hint="eastAsia" w:ascii="黑体" w:hAnsi="黑体" w:cs="宋体"/>
          <w:b w:val="0"/>
          <w:color w:val="auto"/>
          <w:sz w:val="32"/>
          <w:szCs w:val="32"/>
          <w:lang w:eastAsia="zh-CN"/>
        </w:rPr>
        <w:t>七</w:t>
      </w:r>
      <w:r>
        <w:rPr>
          <w:rFonts w:hint="eastAsia" w:ascii="黑体" w:hAnsi="黑体" w:cs="宋体"/>
          <w:b w:val="0"/>
          <w:color w:val="auto"/>
          <w:sz w:val="32"/>
          <w:szCs w:val="32"/>
        </w:rPr>
        <w:t>、</w:t>
      </w:r>
      <w:r>
        <w:rPr>
          <w:rFonts w:hint="eastAsia" w:ascii="黑体" w:hAnsi="黑体" w:cs="宋体"/>
          <w:b w:val="0"/>
          <w:color w:val="auto"/>
          <w:sz w:val="32"/>
          <w:szCs w:val="32"/>
          <w:lang w:eastAsia="zh-CN"/>
        </w:rPr>
        <w:t>供应商</w:t>
      </w:r>
      <w:r>
        <w:rPr>
          <w:rFonts w:hint="eastAsia" w:ascii="黑体" w:hAnsi="黑体" w:cs="宋体"/>
          <w:b w:val="0"/>
          <w:color w:val="auto"/>
          <w:sz w:val="32"/>
          <w:szCs w:val="32"/>
        </w:rPr>
        <w:t>提交</w:t>
      </w:r>
      <w:r>
        <w:rPr>
          <w:rFonts w:hint="eastAsia" w:ascii="黑体" w:hAnsi="黑体" w:cs="宋体"/>
          <w:b w:val="0"/>
          <w:color w:val="auto"/>
          <w:sz w:val="32"/>
          <w:szCs w:val="32"/>
          <w:lang w:eastAsia="zh-CN"/>
        </w:rPr>
        <w:t>采购</w:t>
      </w:r>
      <w:r>
        <w:rPr>
          <w:rFonts w:hint="eastAsia" w:ascii="黑体" w:hAnsi="黑体" w:cs="宋体"/>
          <w:b w:val="0"/>
          <w:color w:val="auto"/>
          <w:sz w:val="32"/>
          <w:szCs w:val="32"/>
        </w:rPr>
        <w:t>文件截止时间、</w:t>
      </w:r>
      <w:r>
        <w:rPr>
          <w:rFonts w:hint="eastAsia" w:ascii="黑体" w:hAnsi="黑体" w:cs="宋体"/>
          <w:b w:val="0"/>
          <w:color w:val="auto"/>
          <w:sz w:val="32"/>
          <w:szCs w:val="32"/>
          <w:lang w:eastAsia="zh-CN"/>
        </w:rPr>
        <w:t>评审</w:t>
      </w:r>
      <w:r>
        <w:rPr>
          <w:rFonts w:hint="eastAsia" w:ascii="黑体" w:hAnsi="黑体" w:cs="宋体"/>
          <w:b w:val="0"/>
          <w:color w:val="auto"/>
          <w:sz w:val="32"/>
          <w:szCs w:val="32"/>
        </w:rPr>
        <w:t>时间和地点</w:t>
      </w:r>
    </w:p>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1.提交采购文件截止时间：2026年9月17日18</w:t>
      </w:r>
      <w:r>
        <w:rPr>
          <w:rFonts w:hint="eastAsia" w:ascii="仿宋_GB2312" w:hAnsi="仿宋_GB2312" w:eastAsia="仿宋_GB2312" w:cs="仿宋_GB2312"/>
          <w:color w:val="000000"/>
          <w:sz w:val="32"/>
          <w:szCs w:val="32"/>
          <w:highlight w:val="none"/>
          <w:lang w:val="en-US" w:eastAsia="zh-CN"/>
        </w:rPr>
        <w:t>点</w:t>
      </w:r>
      <w:r>
        <w:rPr>
          <w:rFonts w:hint="eastAsia" w:ascii="仿宋_GB2312" w:hAnsi="仿宋_GB2312" w:eastAsia="仿宋_GB2312" w:cs="仿宋_GB2312"/>
          <w:color w:val="auto"/>
          <w:sz w:val="32"/>
          <w:szCs w:val="32"/>
          <w:lang w:val="en-US" w:eastAsia="zh-CN"/>
        </w:rPr>
        <w:t>00</w:t>
      </w:r>
      <w:r>
        <w:rPr>
          <w:rFonts w:hint="eastAsia" w:ascii="仿宋_GB2312" w:hAnsi="仿宋_GB2312" w:eastAsia="仿宋_GB2312" w:cs="仿宋_GB2312"/>
          <w:color w:val="000000"/>
          <w:sz w:val="32"/>
          <w:szCs w:val="32"/>
          <w:highlight w:val="none"/>
          <w:lang w:val="en-US" w:eastAsia="zh-CN"/>
        </w:rPr>
        <w:t>分（北京时间）</w:t>
      </w:r>
    </w:p>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2.采购文件提交方式：</w:t>
      </w:r>
      <w:r>
        <w:rPr>
          <w:rFonts w:hint="eastAsia" w:ascii="仿宋_GB2312" w:hAnsi="仿宋_GB2312" w:eastAsia="仿宋_GB2312" w:cs="仿宋_GB2312"/>
          <w:color w:val="auto"/>
          <w:sz w:val="32"/>
          <w:szCs w:val="32"/>
          <w:highlight w:val="none"/>
          <w:lang w:val="en-US" w:eastAsia="zh-CN"/>
        </w:rPr>
        <w:t>电子版文件（</w:t>
      </w:r>
      <w:r>
        <w:rPr>
          <w:rFonts w:hint="eastAsia" w:ascii="仿宋_GB2312" w:hAnsi="仿宋_GB2312" w:eastAsia="仿宋_GB2312" w:cs="仿宋_GB2312"/>
          <w:color w:val="000000"/>
          <w:sz w:val="32"/>
          <w:szCs w:val="32"/>
          <w:highlight w:val="none"/>
          <w:lang w:val="en-US" w:eastAsia="zh-CN"/>
        </w:rPr>
        <w:t>加盖公章的扫描件）发送至</w:t>
      </w:r>
      <w:r>
        <w:rPr>
          <w:rFonts w:hint="eastAsia" w:ascii="Batang" w:hAnsi="Batang" w:eastAsia="Batang" w:cs="Batang"/>
          <w:i w:val="0"/>
          <w:iCs w:val="0"/>
          <w:caps w:val="0"/>
          <w:color w:val="000000"/>
          <w:spacing w:val="0"/>
          <w:sz w:val="32"/>
          <w:szCs w:val="32"/>
          <w:u w:val="single" w:color="FFFFFF" w:themeColor="background1"/>
          <w:shd w:val="clear" w:fill="FFFFFF"/>
        </w:rPr>
        <w:t>msjdyjglbgs</w:t>
      </w:r>
      <w:r>
        <w:rPr>
          <w:rFonts w:hint="eastAsia" w:ascii="Batang" w:hAnsi="Batang" w:eastAsia="Batang" w:cs="Batang"/>
          <w:i w:val="0"/>
          <w:iCs w:val="0"/>
          <w:caps w:val="0"/>
          <w:color w:val="000000"/>
          <w:spacing w:val="0"/>
          <w:sz w:val="32"/>
          <w:szCs w:val="32"/>
          <w:shd w:val="clear" w:fill="FFFFFF"/>
        </w:rPr>
        <w:t>@163.com</w:t>
      </w:r>
      <w:r>
        <w:rPr>
          <w:rFonts w:hint="eastAsia" w:ascii="仿宋_GB2312" w:hAnsi="仿宋_GB2312" w:eastAsia="仿宋_GB2312" w:cs="仿宋_GB2312"/>
          <w:color w:val="000000"/>
          <w:sz w:val="32"/>
          <w:szCs w:val="32"/>
          <w:highlight w:val="none"/>
          <w:lang w:val="en-US" w:eastAsia="zh-CN"/>
        </w:rPr>
        <w:t>，纸质版文件（加盖公章，密封并在封口处加盖公章）邮寄或送至深圳市盐田区盐梅路88号梅沙街道办事处1楼应急指挥中心（收件人：李工；联系电话：0755-25060828）。</w:t>
      </w:r>
    </w:p>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b w:val="0"/>
          <w:color w:val="auto"/>
          <w:sz w:val="32"/>
          <w:szCs w:val="32"/>
          <w:lang w:eastAsia="zh-CN"/>
        </w:rPr>
      </w:pPr>
      <w:r>
        <w:rPr>
          <w:rFonts w:hint="eastAsia" w:ascii="仿宋_GB2312" w:hAnsi="仿宋_GB2312" w:eastAsia="仿宋_GB2312" w:cs="仿宋_GB2312"/>
          <w:color w:val="auto"/>
          <w:sz w:val="32"/>
          <w:szCs w:val="32"/>
          <w:lang w:val="en-US" w:eastAsia="zh-CN"/>
        </w:rPr>
        <w:t>3.采购评审时间和地点：定于2026年9月18日10点30分（北京时间）在</w:t>
      </w:r>
      <w:r>
        <w:rPr>
          <w:rFonts w:hint="eastAsia" w:ascii="仿宋_GB2312" w:hAnsi="仿宋_GB2312" w:eastAsia="仿宋_GB2312" w:cs="仿宋_GB2312"/>
          <w:i w:val="0"/>
          <w:iCs w:val="0"/>
          <w:caps w:val="0"/>
          <w:color w:val="000000"/>
          <w:spacing w:val="0"/>
          <w:sz w:val="32"/>
          <w:szCs w:val="32"/>
          <w:shd w:val="clear" w:fill="FFFFFF"/>
        </w:rPr>
        <w:t>深圳市盐田区盐梅路88号梅沙街道办事处1楼应急指挥中心</w:t>
      </w:r>
      <w:r>
        <w:rPr>
          <w:rFonts w:hint="eastAsia" w:ascii="仿宋_GB2312" w:hAnsi="仿宋_GB2312" w:eastAsia="仿宋_GB2312" w:cs="仿宋_GB2312"/>
          <w:color w:val="auto"/>
          <w:sz w:val="32"/>
          <w:szCs w:val="32"/>
          <w:lang w:val="en-US" w:eastAsia="zh-CN"/>
        </w:rPr>
        <w:t>进行项目评审。</w:t>
      </w:r>
    </w:p>
    <w:p>
      <w:pPr>
        <w:pStyle w:val="5"/>
        <w:pageBreakBefore w:val="0"/>
        <w:kinsoku/>
        <w:wordWrap/>
        <w:overflowPunct/>
        <w:topLinePunct w:val="0"/>
        <w:autoSpaceDE/>
        <w:autoSpaceDN/>
        <w:bidi w:val="0"/>
        <w:adjustRightInd/>
        <w:snapToGrid/>
        <w:spacing w:before="0" w:after="0" w:line="560" w:lineRule="exact"/>
        <w:ind w:left="0" w:leftChars="0" w:firstLine="640" w:firstLineChars="200"/>
        <w:jc w:val="both"/>
        <w:textAlignment w:val="auto"/>
        <w:rPr>
          <w:rFonts w:ascii="黑体" w:hAnsi="黑体" w:cs="宋体"/>
          <w:b w:val="0"/>
          <w:color w:val="auto"/>
          <w:sz w:val="32"/>
          <w:szCs w:val="32"/>
        </w:rPr>
      </w:pPr>
      <w:r>
        <w:rPr>
          <w:rFonts w:hint="eastAsia" w:ascii="黑体" w:hAnsi="黑体" w:cs="宋体"/>
          <w:b w:val="0"/>
          <w:color w:val="auto"/>
          <w:sz w:val="32"/>
          <w:szCs w:val="32"/>
          <w:lang w:eastAsia="zh-CN"/>
        </w:rPr>
        <w:t>八</w:t>
      </w:r>
      <w:r>
        <w:rPr>
          <w:rFonts w:hint="eastAsia" w:ascii="黑体" w:hAnsi="黑体" w:cs="宋体"/>
          <w:b w:val="0"/>
          <w:color w:val="auto"/>
          <w:sz w:val="32"/>
          <w:szCs w:val="32"/>
        </w:rPr>
        <w:t>、</w:t>
      </w:r>
      <w:r>
        <w:rPr>
          <w:rFonts w:hint="eastAsia" w:ascii="黑体" w:hAnsi="黑体" w:eastAsia="黑体" w:cs="宋体"/>
          <w:b w:val="0"/>
          <w:bCs/>
          <w:color w:val="auto"/>
          <w:kern w:val="2"/>
          <w:sz w:val="32"/>
          <w:szCs w:val="32"/>
          <w:lang w:val="en-US" w:eastAsia="zh-CN" w:bidi="ar-SA"/>
        </w:rPr>
        <w:t>如对本次公示内容有异议，请按以下方式联系</w:t>
      </w:r>
      <w:r>
        <w:rPr>
          <w:rFonts w:hint="eastAsia" w:ascii="黑体" w:hAnsi="黑体" w:cs="宋体"/>
          <w:b w:val="0"/>
          <w:color w:val="auto"/>
          <w:sz w:val="32"/>
          <w:szCs w:val="32"/>
          <w:lang w:eastAsia="zh-CN"/>
        </w:rPr>
        <w:t>。</w:t>
      </w:r>
    </w:p>
    <w:p>
      <w:pPr>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lang w:eastAsia="zh-CN"/>
        </w:rPr>
        <w:t>联系人</w:t>
      </w:r>
      <w:r>
        <w:rPr>
          <w:rFonts w:hint="eastAsia" w:ascii="仿宋_GB2312" w:hAnsi="仿宋_GB2312" w:eastAsia="仿宋_GB2312" w:cs="仿宋_GB2312"/>
          <w:color w:val="000000"/>
          <w:sz w:val="32"/>
          <w:szCs w:val="32"/>
          <w:highlight w:val="none"/>
        </w:rPr>
        <w:t>：</w:t>
      </w:r>
      <w:r>
        <w:rPr>
          <w:rFonts w:hint="eastAsia" w:ascii="仿宋_GB2312" w:hAnsi="仿宋_GB2312" w:eastAsia="仿宋_GB2312" w:cs="仿宋_GB2312"/>
          <w:color w:val="000000"/>
          <w:sz w:val="32"/>
          <w:szCs w:val="32"/>
          <w:highlight w:val="none"/>
          <w:u w:val="single"/>
        </w:rPr>
        <w:t>　</w:t>
      </w:r>
      <w:r>
        <w:rPr>
          <w:rFonts w:hint="eastAsia" w:ascii="仿宋_GB2312" w:hAnsi="仿宋_GB2312" w:eastAsia="仿宋_GB2312" w:cs="仿宋_GB2312"/>
          <w:color w:val="000000"/>
          <w:sz w:val="32"/>
          <w:szCs w:val="32"/>
          <w:highlight w:val="none"/>
          <w:u w:val="single"/>
          <w:lang w:val="en-US" w:eastAsia="zh-CN"/>
        </w:rPr>
        <w:t xml:space="preserve">     </w:t>
      </w:r>
      <w:r>
        <w:rPr>
          <w:rFonts w:hint="eastAsia" w:ascii="仿宋_GB2312" w:hAnsi="仿宋_GB2312" w:eastAsia="仿宋_GB2312" w:cs="仿宋_GB2312"/>
          <w:color w:val="000000"/>
          <w:sz w:val="32"/>
          <w:szCs w:val="32"/>
          <w:highlight w:val="none"/>
          <w:u w:val="single"/>
        </w:rPr>
        <w:t>　</w:t>
      </w:r>
      <w:r>
        <w:rPr>
          <w:rFonts w:hint="eastAsia" w:ascii="仿宋_GB2312" w:hAnsi="仿宋_GB2312" w:eastAsia="仿宋_GB2312" w:cs="仿宋_GB2312"/>
          <w:color w:val="000000"/>
          <w:sz w:val="32"/>
          <w:szCs w:val="32"/>
          <w:highlight w:val="none"/>
          <w:u w:val="single"/>
          <w:lang w:eastAsia="zh-CN"/>
        </w:rPr>
        <w:t>李工</w:t>
      </w:r>
      <w:r>
        <w:rPr>
          <w:rFonts w:hint="eastAsia" w:ascii="仿宋_GB2312" w:hAnsi="仿宋_GB2312" w:eastAsia="仿宋_GB2312" w:cs="仿宋_GB2312"/>
          <w:color w:val="000000"/>
          <w:sz w:val="32"/>
          <w:szCs w:val="32"/>
          <w:highlight w:val="none"/>
          <w:u w:val="single"/>
          <w:lang w:val="en-US" w:eastAsia="zh-CN"/>
        </w:rPr>
        <w:t xml:space="preserve">   </w:t>
      </w:r>
      <w:r>
        <w:rPr>
          <w:rFonts w:hint="eastAsia" w:ascii="仿宋_GB2312" w:hAnsi="仿宋_GB2312" w:eastAsia="仿宋_GB2312" w:cs="仿宋_GB2312"/>
          <w:color w:val="000000"/>
          <w:sz w:val="32"/>
          <w:szCs w:val="32"/>
          <w:highlight w:val="none"/>
          <w:u w:val="single"/>
        </w:rPr>
        <w:t>　　　</w:t>
      </w:r>
    </w:p>
    <w:p>
      <w:pPr>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000000"/>
          <w:sz w:val="32"/>
          <w:szCs w:val="32"/>
          <w:highlight w:val="none"/>
          <w:u w:val="single"/>
          <w:lang w:val="en-US" w:eastAsia="zh-CN"/>
        </w:rPr>
      </w:pPr>
      <w:r>
        <w:rPr>
          <w:rFonts w:hint="eastAsia" w:ascii="仿宋_GB2312" w:hAnsi="仿宋_GB2312" w:eastAsia="仿宋_GB2312" w:cs="仿宋_GB2312"/>
          <w:color w:val="000000"/>
          <w:sz w:val="32"/>
          <w:szCs w:val="32"/>
          <w:highlight w:val="none"/>
        </w:rPr>
        <w:t>联系方式：</w:t>
      </w:r>
      <w:r>
        <w:rPr>
          <w:rFonts w:hint="eastAsia" w:ascii="仿宋_GB2312" w:hAnsi="仿宋_GB2312" w:eastAsia="仿宋_GB2312" w:cs="仿宋_GB2312"/>
          <w:color w:val="000000"/>
          <w:sz w:val="32"/>
          <w:szCs w:val="32"/>
          <w:highlight w:val="none"/>
          <w:u w:val="single"/>
        </w:rPr>
        <w:t>　</w:t>
      </w:r>
      <w:r>
        <w:rPr>
          <w:rFonts w:hint="eastAsia" w:ascii="仿宋_GB2312" w:hAnsi="仿宋_GB2312" w:eastAsia="仿宋_GB2312" w:cs="仿宋_GB2312"/>
          <w:color w:val="000000"/>
          <w:sz w:val="32"/>
          <w:szCs w:val="32"/>
          <w:highlight w:val="none"/>
          <w:u w:val="single"/>
          <w:lang w:val="en-US" w:eastAsia="zh-CN"/>
        </w:rPr>
        <w:t>0755-25060828</w:t>
      </w:r>
      <w:r>
        <w:rPr>
          <w:rFonts w:hint="eastAsia" w:ascii="仿宋_GB2312" w:hAnsi="仿宋_GB2312" w:eastAsia="仿宋_GB2312" w:cs="仿宋_GB2312"/>
          <w:color w:val="000000"/>
          <w:sz w:val="32"/>
          <w:szCs w:val="32"/>
          <w:highlight w:val="none"/>
          <w:u w:val="single"/>
        </w:rPr>
        <w:t>　　　</w:t>
      </w:r>
      <w:r>
        <w:rPr>
          <w:rFonts w:hint="eastAsia" w:ascii="仿宋_GB2312" w:hAnsi="仿宋_GB2312" w:eastAsia="仿宋_GB2312" w:cs="仿宋_GB2312"/>
          <w:color w:val="000000"/>
          <w:sz w:val="32"/>
          <w:szCs w:val="32"/>
          <w:highlight w:val="none"/>
          <w:u w:val="single"/>
          <w:lang w:val="en-US" w:eastAsia="zh-CN"/>
        </w:rPr>
        <w:t xml:space="preserve"> </w:t>
      </w:r>
    </w:p>
    <w:p>
      <w:pPr>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000000"/>
          <w:sz w:val="32"/>
          <w:szCs w:val="32"/>
          <w:highlight w:val="none"/>
          <w:lang w:eastAsia="zh-CN"/>
        </w:rPr>
      </w:pPr>
      <w:r>
        <w:rPr>
          <w:rFonts w:hint="eastAsia" w:ascii="仿宋_GB2312" w:hAnsi="仿宋_GB2312" w:eastAsia="仿宋_GB2312" w:cs="仿宋_GB2312"/>
          <w:color w:val="000000"/>
          <w:sz w:val="32"/>
          <w:szCs w:val="32"/>
          <w:highlight w:val="none"/>
        </w:rPr>
        <w:t>地　址：</w:t>
      </w:r>
      <w:r>
        <w:rPr>
          <w:rFonts w:hint="eastAsia" w:ascii="仿宋_GB2312" w:hAnsi="仿宋_GB2312" w:eastAsia="仿宋_GB2312" w:cs="仿宋_GB2312"/>
          <w:color w:val="000000"/>
          <w:sz w:val="32"/>
          <w:szCs w:val="32"/>
          <w:highlight w:val="none"/>
          <w:u w:val="single"/>
          <w:lang w:eastAsia="zh-CN"/>
        </w:rPr>
        <w:t>深圳市盐田区盐梅路</w:t>
      </w:r>
      <w:r>
        <w:rPr>
          <w:rFonts w:hint="eastAsia" w:ascii="仿宋_GB2312" w:hAnsi="仿宋_GB2312" w:eastAsia="仿宋_GB2312" w:cs="仿宋_GB2312"/>
          <w:color w:val="000000"/>
          <w:sz w:val="32"/>
          <w:szCs w:val="32"/>
          <w:highlight w:val="none"/>
          <w:u w:val="single"/>
          <w:lang w:val="en-US" w:eastAsia="zh-CN"/>
        </w:rPr>
        <w:t>88号</w:t>
      </w:r>
      <w:r>
        <w:rPr>
          <w:rFonts w:hint="eastAsia" w:ascii="仿宋_GB2312" w:hAnsi="仿宋_GB2312" w:eastAsia="仿宋_GB2312" w:cs="仿宋_GB2312"/>
          <w:color w:val="000000"/>
          <w:sz w:val="32"/>
          <w:szCs w:val="32"/>
          <w:highlight w:val="none"/>
          <w:u w:val="single"/>
          <w:lang w:eastAsia="zh-CN"/>
        </w:rPr>
        <w:t>梅沙街道办事处</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Chars="0" w:firstLine="640" w:firstLineChars="200"/>
        <w:jc w:val="left"/>
        <w:textAlignment w:val="auto"/>
        <w:rPr>
          <w:rFonts w:hint="eastAsia" w:ascii="黑体" w:hAnsi="黑体" w:eastAsia="黑体" w:cs="黑体"/>
          <w:color w:val="auto"/>
          <w:sz w:val="32"/>
          <w:szCs w:val="32"/>
          <w:u w:val="none"/>
          <w:lang w:eastAsia="zh-CN"/>
        </w:rPr>
      </w:pPr>
      <w:r>
        <w:rPr>
          <w:rFonts w:hint="eastAsia" w:ascii="黑体" w:hAnsi="黑体" w:eastAsia="黑体" w:cs="黑体"/>
          <w:color w:val="auto"/>
          <w:sz w:val="32"/>
          <w:szCs w:val="32"/>
          <w:u w:val="none"/>
          <w:lang w:eastAsia="zh-CN"/>
        </w:rPr>
        <w:t>评审评分规则</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5"/>
        <w:gridCol w:w="6281"/>
        <w:gridCol w:w="463"/>
        <w:gridCol w:w="4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0" w:type="auto"/>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仿宋_GB2312" w:hAnsi="仿宋_GB2312" w:eastAsia="仿宋_GB2312" w:cs="仿宋_GB2312"/>
                <w:b/>
                <w:bCs/>
                <w:color w:val="000000"/>
                <w:sz w:val="21"/>
                <w:szCs w:val="21"/>
                <w:highlight w:val="none"/>
                <w:vertAlign w:val="baseline"/>
                <w:lang w:eastAsia="zh-CN"/>
              </w:rPr>
            </w:pPr>
            <w:r>
              <w:rPr>
                <w:rFonts w:hint="eastAsia" w:ascii="仿宋_GB2312" w:hAnsi="仿宋_GB2312" w:eastAsia="仿宋_GB2312" w:cs="仿宋_GB2312"/>
                <w:b/>
                <w:bCs/>
                <w:color w:val="000000"/>
                <w:sz w:val="21"/>
                <w:szCs w:val="21"/>
                <w:highlight w:val="none"/>
                <w:vertAlign w:val="baseline"/>
                <w:lang w:eastAsia="zh-CN"/>
              </w:rPr>
              <w:t>评分因素</w:t>
            </w:r>
          </w:p>
        </w:tc>
        <w:tc>
          <w:tcPr>
            <w:tcW w:w="0" w:type="auto"/>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仿宋_GB2312" w:hAnsi="仿宋_GB2312" w:eastAsia="仿宋_GB2312" w:cs="仿宋_GB2312"/>
                <w:b/>
                <w:bCs/>
                <w:color w:val="000000"/>
                <w:sz w:val="21"/>
                <w:szCs w:val="21"/>
                <w:highlight w:val="none"/>
                <w:vertAlign w:val="baseline"/>
                <w:lang w:eastAsia="zh-CN"/>
              </w:rPr>
            </w:pPr>
            <w:r>
              <w:rPr>
                <w:rFonts w:hint="eastAsia" w:ascii="仿宋_GB2312" w:hAnsi="仿宋_GB2312" w:eastAsia="仿宋_GB2312" w:cs="仿宋_GB2312"/>
                <w:b/>
                <w:bCs/>
                <w:color w:val="000000"/>
                <w:sz w:val="21"/>
                <w:szCs w:val="21"/>
                <w:highlight w:val="none"/>
                <w:vertAlign w:val="baseline"/>
                <w:lang w:eastAsia="zh-CN"/>
              </w:rPr>
              <w:t>评分规则</w:t>
            </w:r>
          </w:p>
        </w:tc>
        <w:tc>
          <w:tcPr>
            <w:tcW w:w="0" w:type="auto"/>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仿宋_GB2312" w:hAnsi="仿宋_GB2312" w:eastAsia="仿宋_GB2312" w:cs="仿宋_GB2312"/>
                <w:b/>
                <w:bCs/>
                <w:color w:val="000000"/>
                <w:sz w:val="21"/>
                <w:szCs w:val="21"/>
                <w:highlight w:val="none"/>
                <w:vertAlign w:val="baseline"/>
                <w:lang w:eastAsia="zh-CN"/>
              </w:rPr>
            </w:pPr>
            <w:r>
              <w:rPr>
                <w:rFonts w:hint="eastAsia" w:ascii="仿宋_GB2312" w:hAnsi="仿宋_GB2312" w:eastAsia="仿宋_GB2312" w:cs="仿宋_GB2312"/>
                <w:b/>
                <w:bCs/>
                <w:color w:val="000000"/>
                <w:sz w:val="21"/>
                <w:szCs w:val="21"/>
                <w:highlight w:val="none"/>
                <w:vertAlign w:val="baseline"/>
                <w:lang w:eastAsia="zh-CN"/>
              </w:rPr>
              <w:t>权重</w:t>
            </w:r>
          </w:p>
        </w:tc>
        <w:tc>
          <w:tcPr>
            <w:tcW w:w="0" w:type="auto"/>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仿宋_GB2312" w:hAnsi="仿宋_GB2312" w:eastAsia="仿宋_GB2312" w:cs="仿宋_GB2312"/>
                <w:b/>
                <w:bCs/>
                <w:color w:val="000000"/>
                <w:sz w:val="21"/>
                <w:szCs w:val="21"/>
                <w:highlight w:val="none"/>
                <w:vertAlign w:val="baseline"/>
                <w:lang w:eastAsia="zh-CN"/>
              </w:rPr>
            </w:pPr>
            <w:r>
              <w:rPr>
                <w:rFonts w:hint="eastAsia" w:ascii="仿宋_GB2312" w:hAnsi="仿宋_GB2312" w:eastAsia="仿宋_GB2312" w:cs="仿宋_GB2312"/>
                <w:b/>
                <w:bCs/>
                <w:color w:val="000000"/>
                <w:sz w:val="21"/>
                <w:szCs w:val="21"/>
                <w:highlight w:val="none"/>
                <w:vertAlign w:val="baseline"/>
                <w:lang w:eastAsia="zh-CN"/>
              </w:rPr>
              <w:t>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trPr>
        <w:tc>
          <w:tcPr>
            <w:tcW w:w="0" w:type="auto"/>
            <w:noWrap w:val="0"/>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240" w:lineRule="auto"/>
              <w:ind w:left="0" w:right="0" w:firstLine="0" w:firstLineChars="0"/>
              <w:jc w:val="center"/>
              <w:textAlignment w:val="top"/>
              <w:rPr>
                <w:rFonts w:hint="eastAsia" w:ascii="仿宋_GB2312" w:hAnsi="仿宋_GB2312" w:eastAsia="仿宋_GB2312" w:cs="仿宋_GB2312"/>
                <w:color w:val="000000"/>
                <w:kern w:val="0"/>
                <w:sz w:val="21"/>
                <w:szCs w:val="21"/>
                <w:lang w:eastAsia="zh-CN"/>
              </w:rPr>
            </w:pPr>
            <w:r>
              <w:rPr>
                <w:rFonts w:hint="eastAsia" w:ascii="仿宋_GB2312" w:hAnsi="仿宋_GB2312" w:eastAsia="仿宋_GB2312" w:cs="仿宋_GB2312"/>
                <w:color w:val="000000"/>
                <w:kern w:val="0"/>
                <w:sz w:val="21"/>
                <w:szCs w:val="21"/>
                <w:lang w:eastAsia="zh-CN"/>
              </w:rPr>
              <w:t>价格</w:t>
            </w:r>
          </w:p>
        </w:tc>
        <w:tc>
          <w:tcPr>
            <w:tcW w:w="0" w:type="auto"/>
            <w:noWrap w:val="0"/>
            <w:vAlign w:val="top"/>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240" w:lineRule="auto"/>
              <w:ind w:left="0" w:right="0" w:firstLine="0" w:firstLineChars="0"/>
              <w:jc w:val="left"/>
              <w:textAlignment w:val="top"/>
              <w:rPr>
                <w:rFonts w:hint="eastAsia" w:ascii="仿宋_GB2312" w:hAnsi="仿宋_GB2312" w:eastAsia="仿宋_GB2312" w:cs="仿宋_GB2312"/>
                <w:color w:val="000000"/>
                <w:kern w:val="0"/>
                <w:sz w:val="21"/>
                <w:szCs w:val="21"/>
                <w:lang w:eastAsia="zh-CN"/>
              </w:rPr>
            </w:pPr>
            <w:r>
              <w:rPr>
                <w:rFonts w:hint="eastAsia" w:ascii="仿宋_GB2312" w:hAnsi="仿宋_GB2312" w:eastAsia="仿宋_GB2312" w:cs="仿宋_GB2312"/>
                <w:color w:val="000000"/>
                <w:kern w:val="0"/>
                <w:sz w:val="21"/>
                <w:szCs w:val="21"/>
                <w:lang w:eastAsia="zh-CN"/>
              </w:rPr>
              <w:t>采用低价优先法计算，即满足招标文件要求且投标价格最低的投标报价为评标</w:t>
            </w:r>
            <w:r>
              <w:rPr>
                <w:rFonts w:hint="eastAsia" w:ascii="仿宋_GB2312" w:hAnsi="仿宋_GB2312" w:eastAsia="仿宋_GB2312" w:cs="仿宋_GB2312"/>
                <w:color w:val="000000"/>
                <w:kern w:val="0"/>
                <w:sz w:val="21"/>
                <w:szCs w:val="21"/>
                <w:lang w:val="en-US" w:eastAsia="zh-CN"/>
              </w:rPr>
              <w:t>基准价，其价格分为满分。其他投标人</w:t>
            </w:r>
            <w:r>
              <w:rPr>
                <w:rFonts w:hint="eastAsia" w:ascii="仿宋_GB2312" w:hAnsi="仿宋_GB2312" w:eastAsia="仿宋_GB2312" w:cs="仿宋_GB2312"/>
                <w:color w:val="000000"/>
                <w:kern w:val="0"/>
                <w:sz w:val="21"/>
                <w:szCs w:val="21"/>
                <w:lang w:eastAsia="zh-CN"/>
              </w:rPr>
              <w:t>的价格分统一按照下列公式计算：</w:t>
            </w:r>
          </w:p>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240" w:lineRule="auto"/>
              <w:ind w:left="0" w:right="0" w:firstLine="0" w:firstLineChars="0"/>
              <w:jc w:val="left"/>
              <w:textAlignment w:val="top"/>
              <w:rPr>
                <w:rFonts w:hint="eastAsia" w:ascii="仿宋_GB2312" w:hAnsi="仿宋_GB2312" w:eastAsia="仿宋_GB2312" w:cs="仿宋_GB2312"/>
                <w:color w:val="000000"/>
                <w:kern w:val="0"/>
                <w:sz w:val="21"/>
                <w:szCs w:val="21"/>
                <w:lang w:eastAsia="zh-CN"/>
              </w:rPr>
            </w:pPr>
            <w:r>
              <w:rPr>
                <w:rFonts w:hint="eastAsia" w:ascii="仿宋_GB2312" w:hAnsi="仿宋_GB2312" w:eastAsia="仿宋_GB2312" w:cs="仿宋_GB2312"/>
                <w:color w:val="000000"/>
                <w:kern w:val="0"/>
                <w:sz w:val="21"/>
                <w:szCs w:val="21"/>
                <w:lang w:eastAsia="zh-CN"/>
              </w:rPr>
              <w:t>投标报价得分=（评标基准价/投标报价）×100</w:t>
            </w:r>
          </w:p>
        </w:tc>
        <w:tc>
          <w:tcPr>
            <w:tcW w:w="0" w:type="auto"/>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仿宋_GB2312" w:hAnsi="仿宋_GB2312" w:eastAsia="仿宋_GB2312" w:cs="仿宋_GB2312"/>
                <w:color w:val="auto"/>
                <w:sz w:val="21"/>
                <w:szCs w:val="21"/>
                <w:highlight w:val="none"/>
                <w:vertAlign w:val="baseline"/>
                <w:lang w:val="en-US" w:eastAsia="zh-CN"/>
              </w:rPr>
            </w:pPr>
            <w:r>
              <w:rPr>
                <w:rFonts w:hint="eastAsia" w:ascii="仿宋_GB2312" w:hAnsi="仿宋_GB2312" w:eastAsia="仿宋_GB2312" w:cs="仿宋_GB2312"/>
                <w:color w:val="auto"/>
                <w:sz w:val="21"/>
                <w:szCs w:val="21"/>
                <w:highlight w:val="none"/>
                <w:vertAlign w:val="baseline"/>
                <w:lang w:val="en-US" w:eastAsia="zh-CN"/>
              </w:rPr>
              <w:t>30</w:t>
            </w:r>
          </w:p>
        </w:tc>
        <w:tc>
          <w:tcPr>
            <w:tcW w:w="0" w:type="auto"/>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仿宋_GB2312" w:hAnsi="仿宋_GB2312" w:eastAsia="仿宋_GB2312" w:cs="仿宋_GB2312"/>
                <w:color w:val="000000"/>
                <w:sz w:val="21"/>
                <w:szCs w:val="21"/>
                <w:highlight w:val="none"/>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5" w:hRule="atLeast"/>
        </w:trPr>
        <w:tc>
          <w:tcPr>
            <w:tcW w:w="0" w:type="auto"/>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仿宋_GB2312" w:hAnsi="仿宋_GB2312" w:eastAsia="仿宋_GB2312" w:cs="仿宋_GB2312"/>
                <w:color w:val="auto"/>
                <w:sz w:val="21"/>
                <w:szCs w:val="21"/>
                <w:highlight w:val="none"/>
                <w:vertAlign w:val="baseline"/>
                <w:lang w:eastAsia="zh-CN"/>
              </w:rPr>
            </w:pPr>
            <w:r>
              <w:rPr>
                <w:rFonts w:hint="eastAsia" w:ascii="仿宋_GB2312" w:hAnsi="仿宋_GB2312" w:eastAsia="仿宋_GB2312" w:cs="仿宋_GB2312"/>
                <w:color w:val="000000"/>
                <w:kern w:val="0"/>
                <w:sz w:val="21"/>
                <w:szCs w:val="21"/>
                <w:lang w:eastAsia="zh-CN"/>
              </w:rPr>
              <w:t>项目实施方案</w:t>
            </w:r>
          </w:p>
        </w:tc>
        <w:tc>
          <w:tcPr>
            <w:tcW w:w="0" w:type="auto"/>
            <w:noWrap w:val="0"/>
            <w:vAlign w:val="top"/>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240" w:lineRule="auto"/>
              <w:ind w:left="0" w:right="0" w:firstLine="0" w:firstLineChars="0"/>
              <w:jc w:val="left"/>
              <w:textAlignment w:val="top"/>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color w:val="000000"/>
                <w:kern w:val="2"/>
                <w:sz w:val="21"/>
                <w:szCs w:val="21"/>
                <w:lang w:val="en-US" w:eastAsia="zh-CN" w:bidi="ar-SA"/>
              </w:rPr>
              <w:t>1.评审内容：</w:t>
            </w:r>
          </w:p>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240" w:lineRule="auto"/>
              <w:ind w:left="0" w:right="0" w:firstLine="0" w:firstLineChars="0"/>
              <w:jc w:val="left"/>
              <w:textAlignment w:val="top"/>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color w:val="000000"/>
                <w:kern w:val="2"/>
                <w:sz w:val="21"/>
                <w:szCs w:val="21"/>
                <w:lang w:val="en-US" w:eastAsia="zh-CN" w:bidi="ar-SA"/>
              </w:rPr>
              <w:t>投标人提供的项目方案包括：</w:t>
            </w:r>
          </w:p>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240" w:lineRule="auto"/>
              <w:ind w:left="0" w:right="0" w:firstLine="0" w:firstLineChars="0"/>
              <w:jc w:val="left"/>
              <w:textAlignment w:val="top"/>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color w:val="000000"/>
                <w:kern w:val="2"/>
                <w:sz w:val="21"/>
                <w:szCs w:val="21"/>
                <w:lang w:val="en-US" w:eastAsia="zh-CN" w:bidi="ar-SA"/>
              </w:rPr>
              <w:t>（1）工作措施；</w:t>
            </w:r>
          </w:p>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240" w:lineRule="auto"/>
              <w:ind w:left="0" w:right="0" w:firstLine="0" w:firstLineChars="0"/>
              <w:jc w:val="left"/>
              <w:textAlignment w:val="top"/>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color w:val="000000"/>
                <w:kern w:val="2"/>
                <w:sz w:val="21"/>
                <w:szCs w:val="21"/>
                <w:lang w:val="en-US" w:eastAsia="zh-CN" w:bidi="ar-SA"/>
              </w:rPr>
              <w:t>（2）工作方法；</w:t>
            </w:r>
          </w:p>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240" w:lineRule="auto"/>
              <w:ind w:left="0" w:right="0" w:firstLine="0" w:firstLineChars="0"/>
              <w:jc w:val="left"/>
              <w:textAlignment w:val="top"/>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color w:val="000000"/>
                <w:kern w:val="2"/>
                <w:sz w:val="21"/>
                <w:szCs w:val="21"/>
                <w:lang w:val="en-US" w:eastAsia="zh-CN" w:bidi="ar-SA"/>
              </w:rPr>
              <w:t>（3）工作手段；</w:t>
            </w:r>
          </w:p>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240" w:lineRule="auto"/>
              <w:ind w:left="0" w:right="0" w:firstLine="0" w:firstLineChars="0"/>
              <w:jc w:val="left"/>
              <w:textAlignment w:val="top"/>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color w:val="000000"/>
                <w:kern w:val="2"/>
                <w:sz w:val="21"/>
                <w:szCs w:val="21"/>
                <w:lang w:val="en-US" w:eastAsia="zh-CN" w:bidi="ar-SA"/>
              </w:rPr>
              <w:t>（4）工作流程。</w:t>
            </w:r>
          </w:p>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240" w:lineRule="auto"/>
              <w:ind w:left="0" w:right="0" w:firstLine="0" w:firstLineChars="0"/>
              <w:jc w:val="left"/>
              <w:textAlignment w:val="top"/>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color w:val="000000"/>
                <w:kern w:val="2"/>
                <w:sz w:val="21"/>
                <w:szCs w:val="21"/>
                <w:lang w:val="en-US" w:eastAsia="zh-CN" w:bidi="ar-SA"/>
              </w:rPr>
              <w:t>2.评审依据：</w:t>
            </w:r>
          </w:p>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240" w:lineRule="auto"/>
              <w:ind w:left="0" w:right="0" w:firstLine="0" w:firstLineChars="0"/>
              <w:jc w:val="left"/>
              <w:textAlignment w:val="top"/>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color w:val="000000"/>
                <w:kern w:val="2"/>
                <w:sz w:val="21"/>
                <w:szCs w:val="21"/>
                <w:lang w:val="en-US" w:eastAsia="zh-CN" w:bidi="ar-SA"/>
              </w:rPr>
              <w:t>考察以上服务方案，每提供任意一项得10分，最高得40分。</w:t>
            </w:r>
          </w:p>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240" w:lineRule="auto"/>
              <w:ind w:left="0" w:right="0" w:firstLine="0" w:firstLineChars="0"/>
              <w:jc w:val="left"/>
              <w:textAlignment w:val="top"/>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color w:val="000000"/>
                <w:kern w:val="2"/>
                <w:sz w:val="21"/>
                <w:szCs w:val="21"/>
                <w:lang w:val="en-US" w:eastAsia="zh-CN" w:bidi="ar-SA"/>
              </w:rPr>
              <w:t>在此基础上，评审人员根据各供应商的具体响应内容按照量化的评审因素指标进一步评审。</w:t>
            </w:r>
          </w:p>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240" w:lineRule="auto"/>
              <w:ind w:left="0" w:right="0" w:firstLine="0" w:firstLineChars="0"/>
              <w:jc w:val="left"/>
              <w:textAlignment w:val="top"/>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color w:val="000000"/>
                <w:kern w:val="2"/>
                <w:sz w:val="21"/>
                <w:szCs w:val="21"/>
                <w:lang w:val="en-US" w:eastAsia="zh-CN" w:bidi="ar-SA"/>
              </w:rPr>
              <w:t>评审为优（服务方案完善可行、内容全面具体、针对性强、可操作性强）的加60分；</w:t>
            </w:r>
          </w:p>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240" w:lineRule="auto"/>
              <w:ind w:left="0" w:right="0" w:firstLine="0" w:firstLineChars="0"/>
              <w:jc w:val="left"/>
              <w:textAlignment w:val="top"/>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color w:val="000000"/>
                <w:kern w:val="2"/>
                <w:sz w:val="21"/>
                <w:szCs w:val="21"/>
                <w:lang w:val="en-US" w:eastAsia="zh-CN" w:bidi="ar-SA"/>
              </w:rPr>
              <w:t>评价为良（服务方案内容较全面、针对性较强、可操作性较强）的加40分；</w:t>
            </w:r>
          </w:p>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240" w:lineRule="auto"/>
              <w:ind w:left="0" w:right="0" w:firstLine="0" w:firstLineChars="0"/>
              <w:jc w:val="left"/>
              <w:textAlignment w:val="top"/>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color w:val="000000"/>
                <w:kern w:val="2"/>
                <w:sz w:val="21"/>
                <w:szCs w:val="21"/>
                <w:lang w:val="en-US" w:eastAsia="zh-CN" w:bidi="ar-SA"/>
              </w:rPr>
              <w:t>评价为中（服务方案内容完整性、针对性、可操作性均一般）的加20分；</w:t>
            </w:r>
          </w:p>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240" w:lineRule="auto"/>
              <w:ind w:left="0" w:right="0" w:firstLine="0" w:firstLineChars="0"/>
              <w:jc w:val="left"/>
              <w:textAlignment w:val="top"/>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color w:val="000000"/>
                <w:kern w:val="2"/>
                <w:sz w:val="21"/>
                <w:szCs w:val="21"/>
                <w:lang w:val="en-US" w:eastAsia="zh-CN" w:bidi="ar-SA"/>
              </w:rPr>
              <w:t>评价为差（服务方案内容不科学、不完整、针对性较弱）的不加分。</w:t>
            </w:r>
          </w:p>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240" w:lineRule="auto"/>
              <w:ind w:left="0" w:right="0" w:firstLine="0" w:firstLineChars="0"/>
              <w:jc w:val="left"/>
              <w:textAlignment w:val="top"/>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color w:val="000000"/>
                <w:kern w:val="2"/>
                <w:sz w:val="21"/>
                <w:szCs w:val="21"/>
                <w:lang w:val="en-US" w:eastAsia="zh-CN" w:bidi="ar-SA"/>
              </w:rPr>
              <w:t>未提供方案的本项不得分。</w:t>
            </w:r>
          </w:p>
        </w:tc>
        <w:tc>
          <w:tcPr>
            <w:tcW w:w="0" w:type="auto"/>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仿宋_GB2312" w:hAnsi="仿宋_GB2312" w:eastAsia="仿宋_GB2312" w:cs="仿宋_GB2312"/>
                <w:color w:val="auto"/>
                <w:sz w:val="21"/>
                <w:szCs w:val="21"/>
                <w:highlight w:val="none"/>
                <w:vertAlign w:val="baseline"/>
                <w:lang w:val="en-US" w:eastAsia="zh-CN"/>
              </w:rPr>
            </w:pPr>
            <w:r>
              <w:rPr>
                <w:rFonts w:hint="eastAsia" w:ascii="仿宋_GB2312" w:hAnsi="仿宋_GB2312" w:eastAsia="仿宋_GB2312" w:cs="仿宋_GB2312"/>
                <w:color w:val="auto"/>
                <w:sz w:val="21"/>
                <w:szCs w:val="21"/>
                <w:highlight w:val="none"/>
                <w:vertAlign w:val="baseline"/>
                <w:lang w:val="en-US" w:eastAsia="zh-CN"/>
              </w:rPr>
              <w:t>25</w:t>
            </w:r>
          </w:p>
        </w:tc>
        <w:tc>
          <w:tcPr>
            <w:tcW w:w="0" w:type="auto"/>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仿宋_GB2312" w:hAnsi="仿宋_GB2312" w:eastAsia="仿宋_GB2312" w:cs="仿宋_GB2312"/>
                <w:color w:val="000000"/>
                <w:sz w:val="21"/>
                <w:szCs w:val="21"/>
                <w:highlight w:val="none"/>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0" w:type="auto"/>
            <w:noWrap w:val="0"/>
            <w:vAlign w:val="center"/>
          </w:tcPr>
          <w:p>
            <w:pPr>
              <w:keepNext w:val="0"/>
              <w:keepLines w:val="0"/>
              <w:pageBreakBefore w:val="0"/>
              <w:suppressLineNumbers w:val="0"/>
              <w:kinsoku/>
              <w:overflowPunct/>
              <w:topLinePunct w:val="0"/>
              <w:autoSpaceDE/>
              <w:autoSpaceDN/>
              <w:bidi w:val="0"/>
              <w:adjustRightInd/>
              <w:snapToGrid/>
              <w:spacing w:before="0" w:beforeAutospacing="0" w:after="0" w:afterAutospacing="0" w:line="240" w:lineRule="auto"/>
              <w:ind w:left="0" w:right="0" w:firstLine="0" w:firstLineChars="0"/>
              <w:jc w:val="center"/>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color w:val="000000"/>
                <w:sz w:val="21"/>
                <w:szCs w:val="21"/>
              </w:rPr>
              <w:t>项目重点难点分析及应对措施、合理化建议</w:t>
            </w:r>
          </w:p>
        </w:tc>
        <w:tc>
          <w:tcPr>
            <w:tcW w:w="0" w:type="auto"/>
            <w:noWrap w:val="0"/>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240" w:lineRule="auto"/>
              <w:ind w:left="0" w:right="0" w:firstLine="0" w:firstLineChars="0"/>
              <w:jc w:val="left"/>
              <w:textAlignment w:val="top"/>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color w:val="000000"/>
                <w:kern w:val="2"/>
                <w:sz w:val="21"/>
                <w:szCs w:val="21"/>
                <w:lang w:val="en-US" w:eastAsia="zh-CN" w:bidi="ar-SA"/>
              </w:rPr>
              <w:t>1．评审内容</w:t>
            </w:r>
          </w:p>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240" w:lineRule="auto"/>
              <w:ind w:left="0" w:right="0" w:firstLine="0" w:firstLineChars="0"/>
              <w:jc w:val="left"/>
              <w:textAlignment w:val="top"/>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color w:val="000000"/>
                <w:kern w:val="2"/>
                <w:sz w:val="21"/>
                <w:szCs w:val="21"/>
                <w:lang w:val="en-US" w:eastAsia="zh-CN" w:bidi="ar-SA"/>
              </w:rPr>
              <w:t xml:space="preserve">投标人提供的项目重点难点分析、应对措施及相关的合理化建议包含以下内容： </w:t>
            </w:r>
          </w:p>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240" w:lineRule="auto"/>
              <w:ind w:left="0" w:right="0" w:firstLine="0" w:firstLineChars="0"/>
              <w:jc w:val="left"/>
              <w:textAlignment w:val="top"/>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color w:val="000000"/>
                <w:kern w:val="2"/>
                <w:sz w:val="21"/>
                <w:szCs w:val="21"/>
                <w:lang w:val="en-US" w:eastAsia="zh-CN" w:bidi="ar-SA"/>
              </w:rPr>
              <w:t>（1）对项目重难点理解；</w:t>
            </w:r>
          </w:p>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240" w:lineRule="auto"/>
              <w:ind w:left="0" w:right="0" w:firstLine="0" w:firstLineChars="0"/>
              <w:jc w:val="left"/>
              <w:textAlignment w:val="top"/>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color w:val="000000"/>
                <w:kern w:val="2"/>
                <w:sz w:val="21"/>
                <w:szCs w:val="21"/>
                <w:lang w:val="en-US" w:eastAsia="zh-CN" w:bidi="ar-SA"/>
              </w:rPr>
              <w:t>（2）应对措施；</w:t>
            </w:r>
          </w:p>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240" w:lineRule="auto"/>
              <w:ind w:left="0" w:right="0" w:firstLine="0" w:firstLineChars="0"/>
              <w:jc w:val="left"/>
              <w:textAlignment w:val="top"/>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color w:val="000000"/>
                <w:kern w:val="2"/>
                <w:sz w:val="21"/>
                <w:szCs w:val="21"/>
                <w:lang w:val="en-US" w:eastAsia="zh-CN" w:bidi="ar-SA"/>
              </w:rPr>
              <w:t>（3）合理化建议。</w:t>
            </w:r>
          </w:p>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240" w:lineRule="auto"/>
              <w:ind w:left="0" w:right="0" w:firstLine="0" w:firstLineChars="0"/>
              <w:jc w:val="left"/>
              <w:textAlignment w:val="top"/>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color w:val="000000"/>
                <w:kern w:val="2"/>
                <w:sz w:val="21"/>
                <w:szCs w:val="21"/>
                <w:lang w:val="en-US" w:eastAsia="zh-CN" w:bidi="ar-SA"/>
              </w:rPr>
              <w:t>2．评审标准</w:t>
            </w:r>
          </w:p>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240" w:lineRule="auto"/>
              <w:ind w:left="0" w:right="0" w:firstLine="0" w:firstLineChars="0"/>
              <w:jc w:val="left"/>
              <w:textAlignment w:val="top"/>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color w:val="000000"/>
                <w:kern w:val="2"/>
                <w:sz w:val="21"/>
                <w:szCs w:val="21"/>
                <w:lang w:val="en-US" w:eastAsia="zh-CN" w:bidi="ar-SA"/>
              </w:rPr>
              <w:t>考察以上项目重点难点分析、应对措施及相关的合理化建议，如果全部满足得40分，满足任意两点得25分，满足任意一点得10分。</w:t>
            </w:r>
          </w:p>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240" w:lineRule="auto"/>
              <w:ind w:left="0" w:right="0" w:firstLine="0" w:firstLineChars="0"/>
              <w:jc w:val="left"/>
              <w:textAlignment w:val="top"/>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color w:val="000000"/>
                <w:kern w:val="2"/>
                <w:sz w:val="21"/>
                <w:szCs w:val="21"/>
                <w:lang w:val="en-US" w:eastAsia="zh-CN" w:bidi="ar-SA"/>
              </w:rPr>
              <w:t>在此基础上，评审人员根据各供应商的具体响应内容按照量化的评审因素指标进一步评审。</w:t>
            </w:r>
          </w:p>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240" w:lineRule="auto"/>
              <w:ind w:left="0" w:right="0" w:firstLine="0" w:firstLineChars="0"/>
              <w:jc w:val="left"/>
              <w:textAlignment w:val="top"/>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color w:val="000000"/>
                <w:kern w:val="2"/>
                <w:sz w:val="21"/>
                <w:szCs w:val="21"/>
                <w:lang w:val="en-US" w:eastAsia="zh-CN" w:bidi="ar-SA"/>
              </w:rPr>
              <w:t>评审为优（项目重点难点分析透彻、应对措施及相关的合理化建议完善）加60分；</w:t>
            </w:r>
          </w:p>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240" w:lineRule="auto"/>
              <w:ind w:left="0" w:right="0" w:firstLine="0" w:firstLineChars="0"/>
              <w:jc w:val="left"/>
              <w:textAlignment w:val="top"/>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color w:val="000000"/>
                <w:kern w:val="2"/>
                <w:sz w:val="21"/>
                <w:szCs w:val="21"/>
                <w:lang w:val="en-US" w:eastAsia="zh-CN" w:bidi="ar-SA"/>
              </w:rPr>
              <w:t>评审为良（目重点难点分析较透彻、应对措施及相关的合理化建议较完善）加40分；</w:t>
            </w:r>
          </w:p>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240" w:lineRule="auto"/>
              <w:ind w:left="0" w:right="0" w:firstLine="0" w:firstLineChars="0"/>
              <w:jc w:val="left"/>
              <w:textAlignment w:val="top"/>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color w:val="000000"/>
                <w:kern w:val="2"/>
                <w:sz w:val="21"/>
                <w:szCs w:val="21"/>
                <w:lang w:val="en-US" w:eastAsia="zh-CN" w:bidi="ar-SA"/>
              </w:rPr>
              <w:t>评审为中（项目重点难点分析一般、应对措施及相关的合理化建议一般）加20分；</w:t>
            </w:r>
          </w:p>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240" w:lineRule="auto"/>
              <w:ind w:left="0" w:right="0" w:firstLine="0" w:firstLineChars="0"/>
              <w:jc w:val="left"/>
              <w:textAlignment w:val="top"/>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color w:val="000000"/>
                <w:kern w:val="2"/>
                <w:sz w:val="21"/>
                <w:szCs w:val="21"/>
                <w:lang w:val="en-US" w:eastAsia="zh-CN" w:bidi="ar-SA"/>
              </w:rPr>
              <w:t>评审为差（项目重点难点分析不透彻、应对措施及相关的合理化建议不完善）不加分。</w:t>
            </w:r>
          </w:p>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240" w:lineRule="auto"/>
              <w:ind w:left="0" w:right="0" w:firstLine="0" w:firstLineChars="0"/>
              <w:jc w:val="left"/>
              <w:textAlignment w:val="top"/>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color w:val="000000"/>
                <w:kern w:val="2"/>
                <w:sz w:val="21"/>
                <w:szCs w:val="21"/>
                <w:lang w:val="en-US" w:eastAsia="zh-CN" w:bidi="ar-SA"/>
              </w:rPr>
              <w:t>不提供不得分。</w:t>
            </w:r>
          </w:p>
        </w:tc>
        <w:tc>
          <w:tcPr>
            <w:tcW w:w="0" w:type="auto"/>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仿宋_GB2312" w:hAnsi="仿宋_GB2312" w:eastAsia="仿宋_GB2312" w:cs="仿宋_GB2312"/>
                <w:color w:val="auto"/>
                <w:sz w:val="21"/>
                <w:szCs w:val="21"/>
                <w:highlight w:val="none"/>
                <w:vertAlign w:val="baseline"/>
                <w:lang w:val="en-US" w:eastAsia="zh-CN"/>
              </w:rPr>
            </w:pPr>
            <w:r>
              <w:rPr>
                <w:rFonts w:hint="eastAsia" w:ascii="仿宋_GB2312" w:hAnsi="仿宋_GB2312" w:eastAsia="仿宋_GB2312" w:cs="仿宋_GB2312"/>
                <w:color w:val="auto"/>
                <w:sz w:val="21"/>
                <w:szCs w:val="21"/>
                <w:highlight w:val="none"/>
                <w:vertAlign w:val="baseline"/>
                <w:lang w:val="en-US" w:eastAsia="zh-CN"/>
              </w:rPr>
              <w:t>20</w:t>
            </w:r>
          </w:p>
        </w:tc>
        <w:tc>
          <w:tcPr>
            <w:tcW w:w="0" w:type="auto"/>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仿宋_GB2312" w:hAnsi="仿宋_GB2312" w:eastAsia="仿宋_GB2312" w:cs="仿宋_GB2312"/>
                <w:color w:val="000000"/>
                <w:sz w:val="21"/>
                <w:szCs w:val="21"/>
                <w:highlight w:val="none"/>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0" w:type="auto"/>
            <w:noWrap w:val="0"/>
            <w:vAlign w:val="center"/>
          </w:tcPr>
          <w:p>
            <w:pPr>
              <w:keepNext w:val="0"/>
              <w:keepLines w:val="0"/>
              <w:pageBreakBefore w:val="0"/>
              <w:suppressLineNumbers w:val="0"/>
              <w:kinsoku/>
              <w:overflowPunct/>
              <w:topLinePunct w:val="0"/>
              <w:autoSpaceDE/>
              <w:autoSpaceDN/>
              <w:bidi w:val="0"/>
              <w:adjustRightInd/>
              <w:snapToGrid/>
              <w:spacing w:before="0" w:beforeAutospacing="0" w:after="0" w:afterAutospacing="0" w:line="240" w:lineRule="auto"/>
              <w:ind w:left="0" w:right="0" w:firstLine="0" w:firstLineChars="0"/>
              <w:jc w:val="center"/>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color w:val="000000"/>
                <w:sz w:val="21"/>
                <w:szCs w:val="21"/>
              </w:rPr>
              <w:t>拟安排的项目负责人情况（仅限一人）</w:t>
            </w:r>
          </w:p>
        </w:tc>
        <w:tc>
          <w:tcPr>
            <w:tcW w:w="0" w:type="auto"/>
            <w:noWrap w:val="0"/>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240" w:lineRule="auto"/>
              <w:ind w:left="0" w:right="0" w:firstLine="0" w:firstLineChars="0"/>
              <w:jc w:val="left"/>
              <w:textAlignment w:val="top"/>
              <w:rPr>
                <w:rFonts w:hint="eastAsia" w:ascii="仿宋_GB2312" w:hAnsi="仿宋_GB2312" w:eastAsia="仿宋_GB2312" w:cs="仿宋_GB2312"/>
                <w:color w:val="000000"/>
                <w:kern w:val="2"/>
                <w:sz w:val="21"/>
                <w:szCs w:val="21"/>
                <w:lang w:val="en" w:eastAsia="zh-CN" w:bidi="ar-SA"/>
              </w:rPr>
            </w:pPr>
            <w:r>
              <w:rPr>
                <w:rFonts w:hint="eastAsia" w:ascii="仿宋_GB2312" w:hAnsi="仿宋_GB2312" w:eastAsia="仿宋_GB2312" w:cs="仿宋_GB2312"/>
                <w:color w:val="000000"/>
                <w:kern w:val="2"/>
                <w:sz w:val="21"/>
                <w:szCs w:val="21"/>
                <w:lang w:val="en" w:eastAsia="zh-CN" w:bidi="ar-SA"/>
              </w:rPr>
              <w:t>1.评审内容：</w:t>
            </w:r>
          </w:p>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240" w:lineRule="auto"/>
              <w:ind w:left="0" w:right="0" w:firstLine="0" w:firstLineChars="0"/>
              <w:jc w:val="left"/>
              <w:textAlignment w:val="top"/>
              <w:rPr>
                <w:rFonts w:hint="eastAsia" w:ascii="仿宋_GB2312" w:hAnsi="仿宋_GB2312" w:eastAsia="仿宋_GB2312" w:cs="仿宋_GB2312"/>
                <w:color w:val="000000"/>
                <w:kern w:val="2"/>
                <w:sz w:val="21"/>
                <w:szCs w:val="21"/>
                <w:lang w:val="en" w:eastAsia="zh-CN" w:bidi="ar-SA"/>
              </w:rPr>
            </w:pPr>
            <w:r>
              <w:rPr>
                <w:rFonts w:hint="eastAsia" w:ascii="仿宋_GB2312" w:hAnsi="仿宋_GB2312" w:eastAsia="仿宋_GB2312" w:cs="仿宋_GB2312"/>
                <w:color w:val="000000"/>
                <w:kern w:val="2"/>
                <w:sz w:val="21"/>
                <w:szCs w:val="21"/>
                <w:lang w:val="en" w:eastAsia="zh-CN" w:bidi="ar-SA"/>
              </w:rPr>
              <w:t>项目负责人具有自20</w:t>
            </w:r>
            <w:r>
              <w:rPr>
                <w:rFonts w:hint="eastAsia" w:ascii="仿宋_GB2312" w:hAnsi="仿宋_GB2312" w:eastAsia="仿宋_GB2312" w:cs="仿宋_GB2312"/>
                <w:color w:val="000000"/>
                <w:kern w:val="2"/>
                <w:sz w:val="21"/>
                <w:szCs w:val="21"/>
                <w:lang w:val="en-US" w:eastAsia="zh-CN" w:bidi="ar-SA"/>
              </w:rPr>
              <w:t>21</w:t>
            </w:r>
            <w:r>
              <w:rPr>
                <w:rFonts w:hint="eastAsia" w:ascii="仿宋_GB2312" w:hAnsi="仿宋_GB2312" w:eastAsia="仿宋_GB2312" w:cs="仿宋_GB2312"/>
                <w:color w:val="000000"/>
                <w:kern w:val="2"/>
                <w:sz w:val="21"/>
                <w:szCs w:val="21"/>
                <w:lang w:val="en" w:eastAsia="zh-CN" w:bidi="ar-SA"/>
              </w:rPr>
              <w:t>年1月1日起至本项目投标截止日止的安全巡查或森林管护同类项目工作经验情况，每提供一个得50分，最高得100分。</w:t>
            </w:r>
          </w:p>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240" w:lineRule="auto"/>
              <w:ind w:left="0" w:right="0" w:firstLine="0" w:firstLineChars="0"/>
              <w:jc w:val="left"/>
              <w:textAlignment w:val="top"/>
              <w:rPr>
                <w:rFonts w:hint="eastAsia" w:ascii="仿宋_GB2312" w:hAnsi="仿宋_GB2312" w:eastAsia="仿宋_GB2312" w:cs="仿宋_GB2312"/>
                <w:color w:val="000000"/>
                <w:kern w:val="2"/>
                <w:sz w:val="21"/>
                <w:szCs w:val="21"/>
                <w:lang w:val="en" w:eastAsia="zh-CN" w:bidi="ar-SA"/>
              </w:rPr>
            </w:pPr>
            <w:r>
              <w:rPr>
                <w:rFonts w:hint="eastAsia" w:ascii="仿宋_GB2312" w:hAnsi="仿宋_GB2312" w:eastAsia="仿宋_GB2312" w:cs="仿宋_GB2312"/>
                <w:color w:val="000000"/>
                <w:kern w:val="2"/>
                <w:sz w:val="21"/>
                <w:szCs w:val="21"/>
                <w:lang w:val="en" w:eastAsia="zh-CN" w:bidi="ar-SA"/>
              </w:rPr>
              <w:t>2.评审依据：</w:t>
            </w:r>
          </w:p>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240" w:lineRule="auto"/>
              <w:ind w:left="0" w:right="0" w:firstLine="0" w:firstLineChars="0"/>
              <w:jc w:val="left"/>
              <w:textAlignment w:val="top"/>
              <w:rPr>
                <w:rFonts w:hint="eastAsia" w:ascii="仿宋_GB2312" w:hAnsi="仿宋_GB2312" w:eastAsia="仿宋_GB2312" w:cs="仿宋_GB2312"/>
                <w:color w:val="000000"/>
                <w:kern w:val="2"/>
                <w:sz w:val="21"/>
                <w:szCs w:val="21"/>
                <w:lang w:val="en" w:eastAsia="zh-CN" w:bidi="ar-SA"/>
              </w:rPr>
            </w:pPr>
            <w:r>
              <w:rPr>
                <w:rFonts w:hint="eastAsia" w:ascii="仿宋_GB2312" w:hAnsi="仿宋_GB2312" w:eastAsia="仿宋_GB2312" w:cs="仿宋_GB2312"/>
                <w:color w:val="000000"/>
                <w:kern w:val="2"/>
                <w:sz w:val="21"/>
                <w:szCs w:val="21"/>
                <w:lang w:val="en" w:eastAsia="zh-CN" w:bidi="ar-SA"/>
              </w:rPr>
              <w:t>（</w:t>
            </w:r>
            <w:r>
              <w:rPr>
                <w:rFonts w:hint="eastAsia" w:ascii="仿宋_GB2312" w:hAnsi="仿宋_GB2312" w:eastAsia="仿宋_GB2312" w:cs="仿宋_GB2312"/>
                <w:color w:val="000000"/>
                <w:kern w:val="2"/>
                <w:sz w:val="21"/>
                <w:szCs w:val="21"/>
                <w:lang w:val="en-US" w:eastAsia="zh-CN" w:bidi="ar-SA"/>
              </w:rPr>
              <w:t>1</w:t>
            </w:r>
            <w:r>
              <w:rPr>
                <w:rFonts w:hint="eastAsia" w:ascii="仿宋_GB2312" w:hAnsi="仿宋_GB2312" w:eastAsia="仿宋_GB2312" w:cs="仿宋_GB2312"/>
                <w:color w:val="000000"/>
                <w:kern w:val="2"/>
                <w:sz w:val="21"/>
                <w:szCs w:val="21"/>
                <w:lang w:val="en" w:eastAsia="zh-CN" w:bidi="ar-SA"/>
              </w:rPr>
              <w:t>）提供投标截止日前3个月任意一个月投标人为其缴交的载有社保部门公章的社保证明材料（已退休返聘人员需提供聘用合同），如开标日上一个月的社保材料因社保部门原因暂时无法取得，则可以往前顺延一个月；社保资料必须至少显示缴交养老保险信息，未显示该信息的该社保资料则不符合要求，如供应商为新成立企业且成立时间不足三个月的可提供加盖公章的情况说明或其他相关证明材料亦可。</w:t>
            </w:r>
          </w:p>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240" w:lineRule="auto"/>
              <w:ind w:left="0" w:right="0" w:firstLine="0" w:firstLineChars="0"/>
              <w:jc w:val="left"/>
              <w:textAlignment w:val="top"/>
              <w:rPr>
                <w:rFonts w:hint="eastAsia" w:ascii="仿宋_GB2312" w:hAnsi="仿宋_GB2312" w:eastAsia="仿宋_GB2312" w:cs="仿宋_GB2312"/>
                <w:color w:val="000000"/>
                <w:kern w:val="2"/>
                <w:sz w:val="21"/>
                <w:szCs w:val="21"/>
                <w:lang w:val="en" w:eastAsia="zh-CN" w:bidi="ar-SA"/>
              </w:rPr>
            </w:pPr>
            <w:r>
              <w:rPr>
                <w:rFonts w:hint="eastAsia" w:ascii="仿宋_GB2312" w:hAnsi="仿宋_GB2312" w:eastAsia="仿宋_GB2312" w:cs="仿宋_GB2312"/>
                <w:color w:val="000000"/>
                <w:kern w:val="2"/>
                <w:sz w:val="21"/>
                <w:szCs w:val="21"/>
                <w:lang w:val="en" w:eastAsia="zh-CN" w:bidi="ar-SA"/>
              </w:rPr>
              <w:t>（</w:t>
            </w:r>
            <w:r>
              <w:rPr>
                <w:rFonts w:hint="eastAsia" w:ascii="仿宋_GB2312" w:hAnsi="仿宋_GB2312" w:eastAsia="仿宋_GB2312" w:cs="仿宋_GB2312"/>
                <w:color w:val="000000"/>
                <w:kern w:val="2"/>
                <w:sz w:val="21"/>
                <w:szCs w:val="21"/>
                <w:lang w:val="en-US" w:eastAsia="zh-CN" w:bidi="ar-SA"/>
              </w:rPr>
              <w:t>2</w:t>
            </w:r>
            <w:r>
              <w:rPr>
                <w:rFonts w:hint="eastAsia" w:ascii="仿宋_GB2312" w:hAnsi="仿宋_GB2312" w:eastAsia="仿宋_GB2312" w:cs="仿宋_GB2312"/>
                <w:color w:val="000000"/>
                <w:kern w:val="2"/>
                <w:sz w:val="21"/>
                <w:szCs w:val="21"/>
                <w:lang w:val="en" w:eastAsia="zh-CN" w:bidi="ar-SA"/>
              </w:rPr>
              <w:t>）提供证明项目负责人的安全巡查或森林管护同类项目工作经验合同（提供合同关键页，需体现项目名称、服务内容、合同双方信息、合同签订日期、盖章页等）且在合同关键页或验收报告需体现为项目负责人信息，若无法体现的，可出具加盖合同甲方公章或业务章的证明文件。</w:t>
            </w:r>
          </w:p>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240" w:lineRule="auto"/>
              <w:ind w:left="0" w:right="0" w:firstLine="0" w:firstLineChars="0"/>
              <w:jc w:val="left"/>
              <w:textAlignment w:val="top"/>
              <w:rPr>
                <w:rFonts w:hint="eastAsia" w:ascii="宋体" w:hAnsi="宋体" w:eastAsia="等线" w:cs="宋体"/>
                <w:bCs/>
                <w:kern w:val="2"/>
                <w:sz w:val="21"/>
                <w:szCs w:val="21"/>
                <w:lang w:val="en" w:eastAsia="zh-CN" w:bidi="ar-SA"/>
              </w:rPr>
            </w:pPr>
            <w:r>
              <w:rPr>
                <w:rFonts w:hint="eastAsia" w:ascii="仿宋_GB2312" w:hAnsi="仿宋_GB2312" w:eastAsia="仿宋_GB2312" w:cs="仿宋_GB2312"/>
                <w:color w:val="000000"/>
                <w:kern w:val="2"/>
                <w:sz w:val="21"/>
                <w:szCs w:val="21"/>
                <w:lang w:val="en" w:eastAsia="zh-CN" w:bidi="ar-SA"/>
              </w:rPr>
              <w:t>以上证明文件原件备查，未提供证明材料或者提供的证明材料不符合要求或提供的证明材料不清晰导致评审人员无法辨认的，不得分。</w:t>
            </w:r>
          </w:p>
        </w:tc>
        <w:tc>
          <w:tcPr>
            <w:tcW w:w="0" w:type="auto"/>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仿宋_GB2312" w:hAnsi="仿宋_GB2312" w:eastAsia="仿宋_GB2312" w:cs="仿宋_GB2312"/>
                <w:color w:val="auto"/>
                <w:sz w:val="21"/>
                <w:szCs w:val="21"/>
                <w:highlight w:val="none"/>
                <w:vertAlign w:val="baseline"/>
                <w:lang w:val="en-US" w:eastAsia="zh-CN"/>
              </w:rPr>
            </w:pPr>
            <w:r>
              <w:rPr>
                <w:rFonts w:hint="eastAsia" w:ascii="仿宋_GB2312" w:hAnsi="仿宋_GB2312" w:eastAsia="仿宋_GB2312" w:cs="仿宋_GB2312"/>
                <w:color w:val="auto"/>
                <w:sz w:val="21"/>
                <w:szCs w:val="21"/>
                <w:highlight w:val="none"/>
                <w:vertAlign w:val="baseline"/>
                <w:lang w:val="en-US" w:eastAsia="zh-CN"/>
              </w:rPr>
              <w:t>10</w:t>
            </w:r>
          </w:p>
        </w:tc>
        <w:tc>
          <w:tcPr>
            <w:tcW w:w="0" w:type="auto"/>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仿宋_GB2312" w:hAnsi="仿宋_GB2312" w:eastAsia="仿宋_GB2312" w:cs="仿宋_GB2312"/>
                <w:color w:val="000000"/>
                <w:sz w:val="21"/>
                <w:szCs w:val="21"/>
                <w:highlight w:val="none"/>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5" w:hRule="atLeast"/>
        </w:trPr>
        <w:tc>
          <w:tcPr>
            <w:tcW w:w="0" w:type="auto"/>
            <w:noWrap w:val="0"/>
            <w:vAlign w:val="center"/>
          </w:tcPr>
          <w:p>
            <w:pPr>
              <w:keepNext w:val="0"/>
              <w:keepLines w:val="0"/>
              <w:pageBreakBefore w:val="0"/>
              <w:suppressLineNumbers w:val="0"/>
              <w:kinsoku/>
              <w:overflowPunct/>
              <w:topLinePunct w:val="0"/>
              <w:autoSpaceDE/>
              <w:autoSpaceDN/>
              <w:bidi w:val="0"/>
              <w:adjustRightInd/>
              <w:snapToGrid/>
              <w:spacing w:before="0" w:beforeAutospacing="0" w:after="0" w:afterAutospacing="0" w:line="240" w:lineRule="auto"/>
              <w:ind w:left="0" w:right="0" w:firstLine="0" w:firstLineChars="0"/>
              <w:jc w:val="center"/>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color w:val="000000"/>
                <w:sz w:val="21"/>
                <w:szCs w:val="21"/>
              </w:rPr>
              <w:t>拟安排的项目主要团队成员（项目负责人除外）</w:t>
            </w:r>
          </w:p>
        </w:tc>
        <w:tc>
          <w:tcPr>
            <w:tcW w:w="0" w:type="auto"/>
            <w:noWrap w:val="0"/>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240" w:lineRule="auto"/>
              <w:ind w:left="0" w:right="0" w:firstLine="0" w:firstLineChars="0"/>
              <w:jc w:val="left"/>
              <w:textAlignment w:val="top"/>
              <w:rPr>
                <w:rFonts w:hint="eastAsia" w:ascii="仿宋_GB2312" w:hAnsi="仿宋_GB2312" w:eastAsia="仿宋_GB2312" w:cs="仿宋_GB2312"/>
                <w:color w:val="000000"/>
                <w:kern w:val="2"/>
                <w:sz w:val="21"/>
                <w:szCs w:val="21"/>
                <w:lang w:val="en" w:eastAsia="zh-CN" w:bidi="ar-SA"/>
              </w:rPr>
            </w:pPr>
            <w:r>
              <w:rPr>
                <w:rFonts w:hint="eastAsia" w:ascii="仿宋_GB2312" w:hAnsi="仿宋_GB2312" w:eastAsia="仿宋_GB2312" w:cs="仿宋_GB2312"/>
                <w:color w:val="000000"/>
                <w:kern w:val="2"/>
                <w:sz w:val="21"/>
                <w:szCs w:val="21"/>
                <w:lang w:val="en" w:eastAsia="zh-CN" w:bidi="ar-SA"/>
              </w:rPr>
              <w:t>1.评审内容：</w:t>
            </w:r>
          </w:p>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240" w:lineRule="auto"/>
              <w:ind w:left="0" w:right="0" w:firstLine="0" w:firstLineChars="0"/>
              <w:jc w:val="left"/>
              <w:textAlignment w:val="top"/>
              <w:rPr>
                <w:rFonts w:hint="eastAsia" w:ascii="仿宋_GB2312" w:hAnsi="仿宋_GB2312" w:eastAsia="仿宋_GB2312" w:cs="仿宋_GB2312"/>
                <w:color w:val="000000"/>
                <w:kern w:val="2"/>
                <w:sz w:val="21"/>
                <w:szCs w:val="21"/>
                <w:lang w:val="en" w:eastAsia="zh-CN" w:bidi="ar-SA"/>
              </w:rPr>
            </w:pPr>
            <w:r>
              <w:rPr>
                <w:rFonts w:hint="eastAsia" w:ascii="仿宋_GB2312" w:hAnsi="仿宋_GB2312" w:eastAsia="仿宋_GB2312" w:cs="仿宋_GB2312"/>
                <w:color w:val="000000"/>
                <w:kern w:val="2"/>
                <w:sz w:val="21"/>
                <w:szCs w:val="21"/>
                <w:lang w:val="en" w:eastAsia="zh-CN" w:bidi="ar-SA"/>
              </w:rPr>
              <w:t>拟安排的项目团队成员（项目负责人除外）：</w:t>
            </w:r>
          </w:p>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240" w:lineRule="auto"/>
              <w:ind w:left="0" w:right="0" w:firstLine="0" w:firstLineChars="0"/>
              <w:jc w:val="left"/>
              <w:textAlignment w:val="top"/>
              <w:rPr>
                <w:rFonts w:hint="eastAsia" w:ascii="仿宋_GB2312" w:hAnsi="仿宋_GB2312" w:eastAsia="仿宋_GB2312" w:cs="仿宋_GB2312"/>
                <w:color w:val="000000"/>
                <w:kern w:val="2"/>
                <w:sz w:val="21"/>
                <w:szCs w:val="21"/>
                <w:lang w:val="en" w:eastAsia="zh-CN" w:bidi="ar-SA"/>
              </w:rPr>
            </w:pPr>
            <w:r>
              <w:rPr>
                <w:rFonts w:hint="eastAsia" w:ascii="仿宋_GB2312" w:hAnsi="仿宋_GB2312" w:eastAsia="仿宋_GB2312" w:cs="仿宋_GB2312"/>
                <w:color w:val="000000"/>
                <w:kern w:val="2"/>
                <w:sz w:val="21"/>
                <w:szCs w:val="21"/>
                <w:lang w:val="en" w:eastAsia="zh-CN" w:bidi="ar-SA"/>
              </w:rPr>
              <w:t>具有高中以上学历每提供一个得</w:t>
            </w:r>
            <w:r>
              <w:rPr>
                <w:rFonts w:hint="eastAsia" w:ascii="仿宋_GB2312" w:hAnsi="仿宋_GB2312" w:eastAsia="仿宋_GB2312" w:cs="仿宋_GB2312"/>
                <w:color w:val="000000"/>
                <w:kern w:val="2"/>
                <w:sz w:val="21"/>
                <w:szCs w:val="21"/>
                <w:lang w:val="en-US" w:eastAsia="zh-CN" w:bidi="ar-SA"/>
              </w:rPr>
              <w:t>35</w:t>
            </w:r>
            <w:r>
              <w:rPr>
                <w:rFonts w:hint="eastAsia" w:ascii="仿宋_GB2312" w:hAnsi="仿宋_GB2312" w:eastAsia="仿宋_GB2312" w:cs="仿宋_GB2312"/>
                <w:color w:val="000000"/>
                <w:kern w:val="2"/>
                <w:sz w:val="21"/>
                <w:szCs w:val="21"/>
                <w:lang w:val="en" w:eastAsia="zh-CN" w:bidi="ar-SA"/>
              </w:rPr>
              <w:t>分，最高得</w:t>
            </w:r>
            <w:r>
              <w:rPr>
                <w:rFonts w:hint="eastAsia" w:ascii="仿宋_GB2312" w:hAnsi="仿宋_GB2312" w:eastAsia="仿宋_GB2312" w:cs="仿宋_GB2312"/>
                <w:color w:val="000000"/>
                <w:kern w:val="2"/>
                <w:sz w:val="21"/>
                <w:szCs w:val="21"/>
                <w:lang w:val="en-US" w:eastAsia="zh-CN" w:bidi="ar-SA"/>
              </w:rPr>
              <w:t>10</w:t>
            </w:r>
            <w:r>
              <w:rPr>
                <w:rFonts w:hint="eastAsia" w:ascii="仿宋_GB2312" w:hAnsi="仿宋_GB2312" w:eastAsia="仿宋_GB2312" w:cs="仿宋_GB2312"/>
                <w:color w:val="000000"/>
                <w:kern w:val="2"/>
                <w:sz w:val="21"/>
                <w:szCs w:val="21"/>
                <w:lang w:val="en" w:eastAsia="zh-CN" w:bidi="ar-SA"/>
              </w:rPr>
              <w:t>0分，未提供不得分。</w:t>
            </w:r>
          </w:p>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240" w:lineRule="auto"/>
              <w:ind w:left="0" w:right="0" w:firstLine="0" w:firstLineChars="0"/>
              <w:jc w:val="left"/>
              <w:textAlignment w:val="top"/>
              <w:rPr>
                <w:rFonts w:hint="eastAsia" w:ascii="仿宋_GB2312" w:hAnsi="仿宋_GB2312" w:eastAsia="仿宋_GB2312" w:cs="仿宋_GB2312"/>
                <w:color w:val="000000"/>
                <w:kern w:val="2"/>
                <w:sz w:val="21"/>
                <w:szCs w:val="21"/>
                <w:lang w:val="en" w:eastAsia="zh-CN" w:bidi="ar-SA"/>
              </w:rPr>
            </w:pPr>
            <w:r>
              <w:rPr>
                <w:rFonts w:hint="eastAsia" w:ascii="仿宋_GB2312" w:hAnsi="仿宋_GB2312" w:eastAsia="仿宋_GB2312" w:cs="仿宋_GB2312"/>
                <w:color w:val="000000"/>
                <w:kern w:val="2"/>
                <w:sz w:val="21"/>
                <w:szCs w:val="21"/>
                <w:lang w:val="en" w:eastAsia="zh-CN" w:bidi="ar-SA"/>
              </w:rPr>
              <w:t>2.评审依据：（</w:t>
            </w:r>
            <w:r>
              <w:rPr>
                <w:rFonts w:hint="eastAsia" w:ascii="仿宋_GB2312" w:hAnsi="仿宋_GB2312" w:eastAsia="仿宋_GB2312" w:cs="仿宋_GB2312"/>
                <w:color w:val="000000"/>
                <w:kern w:val="2"/>
                <w:sz w:val="21"/>
                <w:szCs w:val="21"/>
                <w:lang w:val="en-US" w:eastAsia="zh-CN" w:bidi="ar-SA"/>
              </w:rPr>
              <w:t>1</w:t>
            </w:r>
            <w:r>
              <w:rPr>
                <w:rFonts w:hint="eastAsia" w:ascii="仿宋_GB2312" w:hAnsi="仿宋_GB2312" w:eastAsia="仿宋_GB2312" w:cs="仿宋_GB2312"/>
                <w:color w:val="000000"/>
                <w:kern w:val="2"/>
                <w:sz w:val="21"/>
                <w:szCs w:val="21"/>
                <w:lang w:val="en" w:eastAsia="zh-CN" w:bidi="ar-SA"/>
              </w:rPr>
              <w:t>）提供投标截止日前3个月任意一个月投标人为其缴交的载有社保部门公章的社保证明材料（已退休返聘人员需提供聘用合同），如开标日上一个月的社保材料因社保部门原因暂时无法取得，则可以往前顺延一个月；社保资料必须至少显示缴交养老保险信息，未显示该信息的该社保资料则不符合要求，如供应商为新成立企业且成立时间不足三个月的可提供加盖公章的情况说明或其他相关证明材料亦可，原件备查。</w:t>
            </w:r>
          </w:p>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240" w:lineRule="auto"/>
              <w:ind w:left="0" w:right="0" w:firstLine="0" w:firstLineChars="0"/>
              <w:jc w:val="left"/>
              <w:textAlignment w:val="top"/>
              <w:rPr>
                <w:rFonts w:hint="eastAsia" w:ascii="仿宋_GB2312" w:hAnsi="仿宋_GB2312" w:eastAsia="仿宋_GB2312" w:cs="仿宋_GB2312"/>
                <w:color w:val="000000"/>
                <w:kern w:val="2"/>
                <w:sz w:val="21"/>
                <w:szCs w:val="21"/>
                <w:lang w:val="en" w:eastAsia="zh-CN" w:bidi="ar-SA"/>
              </w:rPr>
            </w:pPr>
            <w:r>
              <w:rPr>
                <w:rFonts w:hint="eastAsia" w:ascii="仿宋_GB2312" w:hAnsi="仿宋_GB2312" w:eastAsia="仿宋_GB2312" w:cs="仿宋_GB2312"/>
                <w:color w:val="000000"/>
                <w:kern w:val="2"/>
                <w:sz w:val="21"/>
                <w:szCs w:val="21"/>
                <w:lang w:val="en" w:eastAsia="zh-CN" w:bidi="ar-SA"/>
              </w:rPr>
              <w:t>（</w:t>
            </w:r>
            <w:r>
              <w:rPr>
                <w:rFonts w:hint="eastAsia" w:ascii="仿宋_GB2312" w:hAnsi="仿宋_GB2312" w:eastAsia="仿宋_GB2312" w:cs="仿宋_GB2312"/>
                <w:color w:val="000000"/>
                <w:kern w:val="2"/>
                <w:sz w:val="21"/>
                <w:szCs w:val="21"/>
                <w:lang w:val="en-US" w:eastAsia="zh-CN" w:bidi="ar-SA"/>
              </w:rPr>
              <w:t>2</w:t>
            </w:r>
            <w:r>
              <w:rPr>
                <w:rFonts w:hint="eastAsia" w:ascii="仿宋_GB2312" w:hAnsi="仿宋_GB2312" w:eastAsia="仿宋_GB2312" w:cs="仿宋_GB2312"/>
                <w:color w:val="000000"/>
                <w:kern w:val="2"/>
                <w:sz w:val="21"/>
                <w:szCs w:val="21"/>
                <w:lang w:val="en" w:eastAsia="zh-CN" w:bidi="ar-SA"/>
              </w:rPr>
              <w:t>）拟安排的项目团队成员（项目负责人除外）学历证书扫描件及学信网查询记录。对于较早颁发的学历证书，学信网无法查询的，要求提供证书扫描件和其他佐证材料（如毕业院校、人社部门等颁发机构或监管机构等单位出具的证明）作为得分的依据。海外留学（含港澳台）人员学历无法通过学信网站查询，应当提供教育部留学服务中心出具的国外学历学位认证证书以及教育部留学服务中心官网查询截图。若证明文件为其它语言，必须附中文译文，以中文译文为准。。</w:t>
            </w:r>
          </w:p>
          <w:p>
            <w:pPr>
              <w:keepNext w:val="0"/>
              <w:keepLines w:val="0"/>
              <w:suppressLineNumbers w:val="0"/>
              <w:spacing w:before="0" w:beforeAutospacing="0" w:after="0" w:afterAutospacing="0"/>
              <w:ind w:left="0" w:right="0"/>
              <w:jc w:val="left"/>
              <w:rPr>
                <w:rFonts w:hint="eastAsia" w:ascii="仿宋_GB2312" w:hAnsi="仿宋_GB2312" w:eastAsia="仿宋_GB2312" w:cs="仿宋_GB2312"/>
                <w:color w:val="000000"/>
                <w:kern w:val="2"/>
                <w:sz w:val="21"/>
                <w:szCs w:val="21"/>
                <w:lang w:val="en" w:eastAsia="zh-CN" w:bidi="ar-SA"/>
              </w:rPr>
            </w:pPr>
            <w:r>
              <w:rPr>
                <w:rFonts w:hint="eastAsia" w:ascii="仿宋_GB2312" w:hAnsi="仿宋_GB2312" w:eastAsia="仿宋_GB2312" w:cs="仿宋_GB2312"/>
                <w:color w:val="000000"/>
                <w:kern w:val="2"/>
                <w:sz w:val="21"/>
                <w:szCs w:val="21"/>
                <w:lang w:val="en" w:eastAsia="zh-CN" w:bidi="ar-SA"/>
              </w:rPr>
              <w:t>以上证明文件原件备查，未提供证明材料或者提供的证明材料不符合要求或提供的证明材料不清晰导致评审人员无法辨认的，不得分。</w:t>
            </w:r>
          </w:p>
        </w:tc>
        <w:tc>
          <w:tcPr>
            <w:tcW w:w="0" w:type="auto"/>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仿宋_GB2312" w:hAnsi="仿宋_GB2312" w:eastAsia="仿宋_GB2312" w:cs="仿宋_GB2312"/>
                <w:color w:val="auto"/>
                <w:sz w:val="21"/>
                <w:szCs w:val="21"/>
                <w:highlight w:val="none"/>
                <w:vertAlign w:val="baseline"/>
                <w:lang w:val="en-US" w:eastAsia="zh-CN"/>
              </w:rPr>
            </w:pPr>
            <w:r>
              <w:rPr>
                <w:rFonts w:hint="eastAsia" w:ascii="仿宋_GB2312" w:hAnsi="仿宋_GB2312" w:eastAsia="仿宋_GB2312" w:cs="仿宋_GB2312"/>
                <w:color w:val="auto"/>
                <w:sz w:val="21"/>
                <w:szCs w:val="21"/>
                <w:highlight w:val="none"/>
                <w:vertAlign w:val="baseline"/>
                <w:lang w:val="en-US" w:eastAsia="zh-CN"/>
              </w:rPr>
              <w:t>5</w:t>
            </w:r>
          </w:p>
        </w:tc>
        <w:tc>
          <w:tcPr>
            <w:tcW w:w="0" w:type="auto"/>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仿宋_GB2312" w:hAnsi="仿宋_GB2312" w:eastAsia="仿宋_GB2312" w:cs="仿宋_GB2312"/>
                <w:color w:val="000000"/>
                <w:sz w:val="21"/>
                <w:szCs w:val="21"/>
                <w:highlight w:val="none"/>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5" w:hRule="atLeast"/>
        </w:trPr>
        <w:tc>
          <w:tcPr>
            <w:tcW w:w="0" w:type="auto"/>
            <w:noWrap w:val="0"/>
            <w:vAlign w:val="center"/>
          </w:tcPr>
          <w:p>
            <w:pPr>
              <w:keepNext w:val="0"/>
              <w:keepLines w:val="0"/>
              <w:pageBreakBefore w:val="0"/>
              <w:suppressLineNumbers w:val="0"/>
              <w:kinsoku/>
              <w:overflowPunct/>
              <w:topLinePunct w:val="0"/>
              <w:autoSpaceDE/>
              <w:autoSpaceDN/>
              <w:bidi w:val="0"/>
              <w:adjustRightInd/>
              <w:snapToGrid/>
              <w:spacing w:before="0" w:beforeAutospacing="0" w:after="0" w:afterAutospacing="0" w:line="240" w:lineRule="auto"/>
              <w:ind w:left="0" w:right="0" w:firstLine="0" w:firstLineChars="0"/>
              <w:jc w:val="center"/>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color w:val="000000"/>
                <w:sz w:val="21"/>
                <w:szCs w:val="21"/>
              </w:rPr>
              <w:t>同类项目业绩</w:t>
            </w:r>
          </w:p>
        </w:tc>
        <w:tc>
          <w:tcPr>
            <w:tcW w:w="0" w:type="auto"/>
            <w:noWrap w:val="0"/>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240" w:lineRule="auto"/>
              <w:ind w:left="0" w:right="0" w:firstLine="0" w:firstLineChars="0"/>
              <w:jc w:val="left"/>
              <w:textAlignment w:val="top"/>
              <w:rPr>
                <w:rFonts w:hint="eastAsia" w:ascii="仿宋_GB2312" w:hAnsi="仿宋_GB2312" w:eastAsia="仿宋_GB2312" w:cs="仿宋_GB2312"/>
                <w:color w:val="000000"/>
                <w:kern w:val="2"/>
                <w:sz w:val="21"/>
                <w:szCs w:val="21"/>
                <w:lang w:val="en" w:eastAsia="zh-CN" w:bidi="ar-SA"/>
              </w:rPr>
            </w:pPr>
            <w:r>
              <w:rPr>
                <w:rFonts w:hint="eastAsia" w:ascii="仿宋_GB2312" w:hAnsi="仿宋_GB2312" w:eastAsia="仿宋_GB2312" w:cs="仿宋_GB2312"/>
                <w:color w:val="000000"/>
                <w:kern w:val="2"/>
                <w:sz w:val="21"/>
                <w:szCs w:val="21"/>
                <w:lang w:val="en" w:eastAsia="zh-CN" w:bidi="ar-SA"/>
              </w:rPr>
              <w:t>1.评审内容：</w:t>
            </w:r>
          </w:p>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240" w:lineRule="auto"/>
              <w:ind w:left="0" w:right="0" w:firstLine="0" w:firstLineChars="0"/>
              <w:jc w:val="left"/>
              <w:textAlignment w:val="top"/>
              <w:rPr>
                <w:rFonts w:hint="eastAsia" w:ascii="仿宋_GB2312" w:hAnsi="仿宋_GB2312" w:eastAsia="仿宋_GB2312" w:cs="仿宋_GB2312"/>
                <w:color w:val="000000"/>
                <w:kern w:val="2"/>
                <w:sz w:val="21"/>
                <w:szCs w:val="21"/>
                <w:lang w:val="en" w:eastAsia="zh-CN" w:bidi="ar-SA"/>
              </w:rPr>
            </w:pPr>
            <w:r>
              <w:rPr>
                <w:rFonts w:hint="eastAsia" w:ascii="仿宋_GB2312" w:hAnsi="仿宋_GB2312" w:eastAsia="仿宋_GB2312" w:cs="仿宋_GB2312"/>
                <w:color w:val="000000"/>
                <w:kern w:val="2"/>
                <w:sz w:val="21"/>
                <w:szCs w:val="21"/>
                <w:lang w:val="en" w:eastAsia="zh-CN" w:bidi="ar-SA"/>
              </w:rPr>
              <w:t>投标人提供自202</w:t>
            </w:r>
            <w:r>
              <w:rPr>
                <w:rFonts w:hint="eastAsia" w:ascii="仿宋_GB2312" w:hAnsi="仿宋_GB2312" w:eastAsia="仿宋_GB2312" w:cs="仿宋_GB2312"/>
                <w:color w:val="000000"/>
                <w:kern w:val="2"/>
                <w:sz w:val="21"/>
                <w:szCs w:val="21"/>
                <w:lang w:val="en-US" w:eastAsia="zh-CN" w:bidi="ar-SA"/>
              </w:rPr>
              <w:t>1</w:t>
            </w:r>
            <w:r>
              <w:rPr>
                <w:rFonts w:hint="eastAsia" w:ascii="仿宋_GB2312" w:hAnsi="仿宋_GB2312" w:eastAsia="仿宋_GB2312" w:cs="仿宋_GB2312"/>
                <w:color w:val="000000"/>
                <w:kern w:val="2"/>
                <w:sz w:val="21"/>
                <w:szCs w:val="21"/>
                <w:lang w:val="en" w:eastAsia="zh-CN" w:bidi="ar-SA"/>
              </w:rPr>
              <w:t>年1月1日至投标截止日，具有安全巡查或森林管护类项目业绩的，每提供一项得</w:t>
            </w:r>
            <w:r>
              <w:rPr>
                <w:rFonts w:hint="eastAsia" w:ascii="仿宋_GB2312" w:hAnsi="仿宋_GB2312" w:eastAsia="仿宋_GB2312" w:cs="仿宋_GB2312"/>
                <w:color w:val="000000"/>
                <w:kern w:val="2"/>
                <w:sz w:val="21"/>
                <w:szCs w:val="21"/>
                <w:lang w:val="en-US" w:eastAsia="zh-CN" w:bidi="ar-SA"/>
              </w:rPr>
              <w:t>5</w:t>
            </w:r>
            <w:r>
              <w:rPr>
                <w:rFonts w:hint="eastAsia" w:ascii="仿宋_GB2312" w:hAnsi="仿宋_GB2312" w:eastAsia="仿宋_GB2312" w:cs="仿宋_GB2312"/>
                <w:color w:val="000000"/>
                <w:kern w:val="2"/>
                <w:sz w:val="21"/>
                <w:szCs w:val="21"/>
                <w:lang w:val="en" w:eastAsia="zh-CN" w:bidi="ar-SA"/>
              </w:rPr>
              <w:t>0分，最高得100分。</w:t>
            </w:r>
          </w:p>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240" w:lineRule="auto"/>
              <w:ind w:left="0" w:right="0" w:firstLine="0" w:firstLineChars="0"/>
              <w:jc w:val="left"/>
              <w:textAlignment w:val="top"/>
              <w:rPr>
                <w:rFonts w:hint="eastAsia" w:ascii="仿宋_GB2312" w:hAnsi="仿宋_GB2312" w:eastAsia="仿宋_GB2312" w:cs="仿宋_GB2312"/>
                <w:color w:val="000000"/>
                <w:kern w:val="2"/>
                <w:sz w:val="21"/>
                <w:szCs w:val="21"/>
                <w:lang w:val="en" w:eastAsia="zh-CN" w:bidi="ar-SA"/>
              </w:rPr>
            </w:pPr>
            <w:r>
              <w:rPr>
                <w:rFonts w:hint="eastAsia" w:ascii="仿宋_GB2312" w:hAnsi="仿宋_GB2312" w:eastAsia="仿宋_GB2312" w:cs="仿宋_GB2312"/>
                <w:color w:val="000000"/>
                <w:kern w:val="2"/>
                <w:sz w:val="21"/>
                <w:szCs w:val="21"/>
                <w:lang w:val="en" w:eastAsia="zh-CN" w:bidi="ar-SA"/>
              </w:rPr>
              <w:t>2.评审依据：</w:t>
            </w:r>
          </w:p>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240" w:lineRule="auto"/>
              <w:ind w:left="0" w:right="0" w:firstLine="0" w:firstLineChars="0"/>
              <w:jc w:val="left"/>
              <w:textAlignment w:val="top"/>
              <w:rPr>
                <w:rFonts w:hint="eastAsia" w:ascii="仿宋_GB2312" w:hAnsi="仿宋_GB2312" w:eastAsia="仿宋_GB2312" w:cs="仿宋_GB2312"/>
                <w:color w:val="000000"/>
                <w:kern w:val="2"/>
                <w:sz w:val="21"/>
                <w:szCs w:val="21"/>
                <w:lang w:val="en" w:eastAsia="zh-CN" w:bidi="ar-SA"/>
              </w:rPr>
            </w:pPr>
            <w:r>
              <w:rPr>
                <w:rFonts w:hint="eastAsia" w:ascii="仿宋_GB2312" w:hAnsi="仿宋_GB2312" w:eastAsia="仿宋_GB2312" w:cs="仿宋_GB2312"/>
                <w:color w:val="000000"/>
                <w:kern w:val="2"/>
                <w:sz w:val="21"/>
                <w:szCs w:val="21"/>
                <w:lang w:val="en" w:eastAsia="zh-CN" w:bidi="ar-SA"/>
              </w:rPr>
              <w:t>需提供合同关键页扫描件（关键信息包括但不仅限于合同的项目名称、服务内容、合同服务的起止时间、签订日期等），原件备查，未提供或不符合的或不清晰导致评审委员会无法判定的情况均不得分。</w:t>
            </w:r>
          </w:p>
        </w:tc>
        <w:tc>
          <w:tcPr>
            <w:tcW w:w="0" w:type="auto"/>
            <w:noWrap w:val="0"/>
            <w:vAlign w:val="center"/>
          </w:tcPr>
          <w:p>
            <w:pPr>
              <w:keepNext w:val="0"/>
              <w:keepLines w:val="0"/>
              <w:pageBreakBefore w:val="0"/>
              <w:suppressLineNumbers w:val="0"/>
              <w:kinsoku/>
              <w:overflowPunct/>
              <w:topLinePunct w:val="0"/>
              <w:autoSpaceDE/>
              <w:autoSpaceDN/>
              <w:bidi w:val="0"/>
              <w:adjustRightInd/>
              <w:snapToGrid/>
              <w:spacing w:before="0" w:beforeAutospacing="0" w:after="0" w:afterAutospacing="0" w:line="240" w:lineRule="auto"/>
              <w:ind w:left="0" w:right="0" w:firstLine="0" w:firstLineChars="0"/>
              <w:jc w:val="center"/>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color w:val="000000"/>
                <w:sz w:val="21"/>
                <w:szCs w:val="21"/>
              </w:rPr>
              <w:t>1</w:t>
            </w:r>
            <w:r>
              <w:rPr>
                <w:rFonts w:hint="eastAsia" w:ascii="仿宋_GB2312" w:hAnsi="仿宋_GB2312" w:eastAsia="仿宋_GB2312" w:cs="仿宋_GB2312"/>
                <w:color w:val="000000"/>
                <w:sz w:val="21"/>
                <w:szCs w:val="21"/>
                <w:lang w:val="en-US" w:eastAsia="zh-CN"/>
              </w:rPr>
              <w:t>0</w:t>
            </w:r>
          </w:p>
        </w:tc>
        <w:tc>
          <w:tcPr>
            <w:tcW w:w="0" w:type="auto"/>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仿宋_GB2312" w:hAnsi="仿宋_GB2312" w:eastAsia="仿宋_GB2312" w:cs="仿宋_GB2312"/>
                <w:color w:val="000000"/>
                <w:sz w:val="21"/>
                <w:szCs w:val="21"/>
                <w:highlight w:val="none"/>
                <w:vertAlign w:val="baseline"/>
                <w:lang w:eastAsia="zh-CN"/>
              </w:rPr>
            </w:pPr>
          </w:p>
        </w:tc>
      </w:tr>
    </w:tbl>
    <w:p>
      <w:pPr>
        <w:pStyle w:val="2"/>
        <w:numPr>
          <w:ilvl w:val="0"/>
          <w:numId w:val="0"/>
        </w:numPr>
        <w:rPr>
          <w:rFonts w:hint="eastAsia"/>
          <w:lang w:eastAsia="zh-CN"/>
        </w:rPr>
      </w:pPr>
    </w:p>
    <w:p>
      <w:pPr>
        <w:ind w:firstLine="640" w:firstLineChars="200"/>
        <w:rPr>
          <w:color w:val="000000"/>
          <w:highlight w:val="none"/>
        </w:rPr>
      </w:pPr>
      <w:r>
        <w:rPr>
          <w:rFonts w:hint="eastAsia" w:ascii="仿宋_GB2312" w:hAnsi="仿宋_GB2312" w:eastAsia="仿宋_GB2312" w:cs="仿宋_GB2312"/>
          <w:b w:val="0"/>
          <w:color w:val="000000"/>
          <w:kern w:val="2"/>
          <w:sz w:val="32"/>
          <w:szCs w:val="32"/>
          <w:highlight w:val="none"/>
          <w:lang w:val="en-US" w:eastAsia="zh-CN" w:bidi="ar-SA"/>
        </w:rPr>
        <w:t>附件：供应商基本情况表</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heme="minorEastAsia" w:hAnsiTheme="minorEastAsia" w:eastAsiaTheme="minorEastAsia" w:cstheme="minorEastAsia"/>
          <w:color w:val="auto"/>
          <w:sz w:val="21"/>
          <w:szCs w:val="21"/>
          <w:lang w:val="en-US" w:eastAsia="zh-CN"/>
        </w:rPr>
      </w:pPr>
    </w:p>
    <w:p/>
    <w:sectPr>
      <w:foot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swiss"/>
    <w:pitch w:val="default"/>
    <w:sig w:usb0="00000000" w:usb1="00000000" w:usb2="00000009" w:usb3="00000000" w:csb0="400001FF" w:csb1="FFFF0000"/>
  </w:font>
  <w:font w:name="宋体">
    <w:panose1 w:val="02010600030101010101"/>
    <w:charset w:val="7A"/>
    <w:family w:val="auto"/>
    <w:pitch w:val="default"/>
    <w:sig w:usb0="00000003" w:usb1="080E0000" w:usb2="00000000" w:usb3="00000000" w:csb0="00040001" w:csb1="00000000"/>
  </w:font>
  <w:font w:name="Wingdings">
    <w:altName w:val="Wingdings 2"/>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2"/>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CESI仿宋-GB2312">
    <w:panose1 w:val="02000500000000000000"/>
    <w:charset w:val="86"/>
    <w:family w:val="auto"/>
    <w:pitch w:val="default"/>
    <w:sig w:usb0="800002AF" w:usb1="084F6CF8" w:usb2="00000010" w:usb3="00000000" w:csb0="0004000F" w:csb1="00000000"/>
  </w:font>
  <w:font w:name="文鼎小标宋简">
    <w:altName w:val="方正小标宋_GBK"/>
    <w:panose1 w:val="00000000000000000000"/>
    <w:charset w:val="86"/>
    <w:family w:val="modern"/>
    <w:pitch w:val="default"/>
    <w:sig w:usb0="00000000" w:usb1="00000000" w:usb2="00000010" w:usb3="00000000" w:csb0="00040000" w:csb1="00000000"/>
  </w:font>
  <w:font w:name="方正小标宋_GBK">
    <w:panose1 w:val="02000000000000000000"/>
    <w:charset w:val="86"/>
    <w:family w:val="auto"/>
    <w:pitch w:val="default"/>
    <w:sig w:usb0="00000001" w:usb1="08000000" w:usb2="00000000" w:usb3="00000000" w:csb0="00040000" w:csb1="00000000"/>
  </w:font>
  <w:font w:name="Cambria">
    <w:altName w:val="FreeSerif"/>
    <w:panose1 w:val="02040503050406030204"/>
    <w:charset w:val="00"/>
    <w:family w:val="roman"/>
    <w:pitch w:val="default"/>
    <w:sig w:usb0="00000000" w:usb1="00000000" w:usb2="00000000" w:usb3="00000000" w:csb0="2000019F" w:csb1="00000000"/>
  </w:font>
  <w:font w:name="FreeSerif">
    <w:panose1 w:val="02020603050405020304"/>
    <w:charset w:val="00"/>
    <w:family w:val="auto"/>
    <w:pitch w:val="default"/>
    <w:sig w:usb0="E59FAFFF" w:usb1="C200FDFF" w:usb2="43501B29" w:usb3="04000043" w:csb0="600101FF" w:csb1="FFFF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华康海报体W12">
    <w:altName w:val="C059"/>
    <w:panose1 w:val="00000000000000000000"/>
    <w:charset w:val="00"/>
    <w:family w:val="auto"/>
    <w:pitch w:val="default"/>
    <w:sig w:usb0="00000000" w:usb1="00000000" w:usb2="00000000" w:usb3="00000000" w:csb0="00000000" w:csb1="00000000"/>
  </w:font>
  <w:font w:name="C059">
    <w:panose1 w:val="00000500000000000000"/>
    <w:charset w:val="00"/>
    <w:family w:val="auto"/>
    <w:pitch w:val="default"/>
    <w:sig w:usb0="00000287" w:usb1="00000800" w:usb2="00000000" w:usb3="00000000" w:csb0="6000009F" w:csb1="00000000"/>
  </w:font>
  <w:font w:name="Batang">
    <w:altName w:val="宋体"/>
    <w:panose1 w:val="02030600000101010101"/>
    <w:charset w:val="81"/>
    <w:family w:val="auto"/>
    <w:pitch w:val="default"/>
    <w:sig w:usb0="00000000" w:usb1="00000000" w:usb2="00000030" w:usb3="00000000" w:csb0="4008009F" w:csb1="DFD70000"/>
  </w:font>
  <w:font w:name="等线">
    <w:altName w:val="华文仿宋"/>
    <w:panose1 w:val="00000000000000000000"/>
    <w:charset w:val="00"/>
    <w:family w:val="auto"/>
    <w:pitch w:val="default"/>
    <w:sig w:usb0="00000000" w:usb1="00000000" w:usb2="00000000" w:usb3="00000000" w:csb0="00040001" w:csb1="00000000"/>
  </w:font>
  <w:font w:name="华文仿宋">
    <w:panose1 w:val="02010600040101010101"/>
    <w:charset w:val="86"/>
    <w:family w:val="auto"/>
    <w:pitch w:val="default"/>
    <w:sig w:usb0="00000287" w:usb1="080F0000" w:usb2="00000000" w:usb3="00000000" w:csb0="0004009F" w:csb1="DFD70000"/>
  </w:font>
  <w:font w:name="Wingdings 2">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eastAsia" w:eastAsia="CESI仿宋-GB2312"/>
                              <w:sz w:val="24"/>
                              <w:szCs w:val="24"/>
                              <w:lang w:val="en-US" w:eastAsia="zh-CN"/>
                            </w:rPr>
                          </w:pPr>
                          <w:r>
                            <w:rPr>
                              <w:rFonts w:hint="eastAsia"/>
                              <w:sz w:val="24"/>
                              <w:szCs w:val="24"/>
                              <w:lang w:val="en-US" w:eastAsia="zh-CN"/>
                            </w:rPr>
                            <w:t>-</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  \* MERGEFORMAT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sz w:val="24"/>
                              <w:szCs w:val="24"/>
                              <w:lang w:val="en-US"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fill on="f" focussize="0,0"/>
              <v:stroke on="f" weight="0.5pt"/>
              <v:imagedata o:title=""/>
              <o:lock v:ext="edit" aspectratio="f"/>
              <v:textbox inset="0mm,0mm,0mm,0mm" style="mso-fit-shape-to-text:t;">
                <w:txbxContent>
                  <w:p>
                    <w:pPr>
                      <w:pStyle w:val="6"/>
                      <w:rPr>
                        <w:rFonts w:hint="eastAsia" w:eastAsia="CESI仿宋-GB2312"/>
                        <w:sz w:val="24"/>
                        <w:szCs w:val="24"/>
                        <w:lang w:val="en-US" w:eastAsia="zh-CN"/>
                      </w:rPr>
                    </w:pPr>
                    <w:r>
                      <w:rPr>
                        <w:rFonts w:hint="eastAsia"/>
                        <w:sz w:val="24"/>
                        <w:szCs w:val="24"/>
                        <w:lang w:val="en-US" w:eastAsia="zh-CN"/>
                      </w:rPr>
                      <w:t>-</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  \* MERGEFORMAT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sz w:val="24"/>
                        <w:szCs w:val="24"/>
                        <w:lang w:val="en-US" w:eastAsia="zh-CN"/>
                      </w:rPr>
                      <w:t>-</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598B3"/>
    <w:multiLevelType w:val="singleLevel"/>
    <w:tmpl w:val="13E598B3"/>
    <w:lvl w:ilvl="0" w:tentative="0">
      <w:start w:val="2"/>
      <w:numFmt w:val="chineseCounting"/>
      <w:suff w:val="nothing"/>
      <w:lvlText w:val="%1、"/>
      <w:lvlJc w:val="left"/>
      <w:rPr>
        <w:rFonts w:hint="eastAsia"/>
      </w:rPr>
    </w:lvl>
  </w:abstractNum>
  <w:abstractNum w:abstractNumId="1">
    <w:nsid w:val="7D8EF858"/>
    <w:multiLevelType w:val="singleLevel"/>
    <w:tmpl w:val="7D8EF858"/>
    <w:lvl w:ilvl="0" w:tentative="0">
      <w:start w:val="9"/>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revisionView w:markup="0"/>
  <w:trackRevisions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C9647297"/>
    <w:rsid w:val="0F7ED25B"/>
    <w:rsid w:val="3BEFBCB4"/>
    <w:rsid w:val="3FF6C065"/>
    <w:rsid w:val="76BD0579"/>
    <w:rsid w:val="C96472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60" w:lineRule="exact"/>
      <w:ind w:firstLine="640" w:firstLineChars="200"/>
      <w:jc w:val="both"/>
    </w:pPr>
    <w:rPr>
      <w:rFonts w:ascii="CESI仿宋-GB2312" w:hAnsi="CESI仿宋-GB2312" w:eastAsia="CESI仿宋-GB2312" w:cs="CESI仿宋-GB2312"/>
      <w:kern w:val="2"/>
      <w:sz w:val="32"/>
      <w:szCs w:val="22"/>
      <w:lang w:val="en-US" w:eastAsia="zh-CN" w:bidi="ar-SA"/>
    </w:rPr>
  </w:style>
  <w:style w:type="paragraph" w:styleId="4">
    <w:name w:val="heading 1"/>
    <w:basedOn w:val="1"/>
    <w:next w:val="1"/>
    <w:qFormat/>
    <w:uiPriority w:val="0"/>
    <w:pPr>
      <w:keepNext/>
      <w:keepLines/>
      <w:adjustRightInd w:val="0"/>
      <w:jc w:val="distribute"/>
      <w:outlineLvl w:val="0"/>
    </w:pPr>
    <w:rPr>
      <w:rFonts w:eastAsia="文鼎小标宋简"/>
      <w:b/>
      <w:color w:val="FF0000"/>
      <w:kern w:val="44"/>
      <w:sz w:val="72"/>
      <w:szCs w:val="20"/>
    </w:rPr>
  </w:style>
  <w:style w:type="paragraph" w:styleId="5">
    <w:name w:val="heading 2"/>
    <w:basedOn w:val="1"/>
    <w:next w:val="1"/>
    <w:unhideWhenUsed/>
    <w:qFormat/>
    <w:uiPriority w:val="9"/>
    <w:pPr>
      <w:keepNext/>
      <w:keepLines/>
      <w:spacing w:before="260" w:after="260" w:line="415" w:lineRule="auto"/>
      <w:outlineLvl w:val="1"/>
    </w:pPr>
    <w:rPr>
      <w:rFonts w:ascii="Arial" w:hAnsi="Arial" w:eastAsia="黑体" w:cs="Arial"/>
      <w:b/>
      <w:bCs/>
      <w:sz w:val="32"/>
      <w:szCs w:val="32"/>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rPr>
      <w:rFonts w:ascii="Times New Roman" w:hAnsi="Times New Roman"/>
      <w:sz w:val="32"/>
      <w:szCs w:val="24"/>
    </w:rPr>
  </w:style>
  <w:style w:type="paragraph" w:styleId="3">
    <w:name w:val="Title"/>
    <w:basedOn w:val="1"/>
    <w:next w:val="1"/>
    <w:qFormat/>
    <w:uiPriority w:val="0"/>
    <w:pPr>
      <w:widowControl w:val="0"/>
      <w:spacing w:before="240" w:after="60" w:line="276" w:lineRule="auto"/>
      <w:jc w:val="center"/>
      <w:outlineLvl w:val="0"/>
    </w:pPr>
    <w:rPr>
      <w:rFonts w:ascii="Cambria" w:hAnsi="Cambria" w:eastAsia="宋体" w:cs="Times New Roman"/>
      <w:b/>
      <w:bCs/>
      <w:kern w:val="2"/>
      <w:sz w:val="32"/>
      <w:szCs w:val="32"/>
      <w:lang w:val="en-US" w:eastAsia="zh-CN" w:bidi="ar-SA"/>
    </w:rPr>
  </w:style>
  <w:style w:type="paragraph" w:styleId="6">
    <w:name w:val="footer"/>
    <w:basedOn w:val="1"/>
    <w:qFormat/>
    <w:uiPriority w:val="99"/>
    <w:pPr>
      <w:tabs>
        <w:tab w:val="center" w:pos="4153"/>
        <w:tab w:val="right" w:pos="8306"/>
      </w:tabs>
      <w:snapToGrid w:val="0"/>
      <w:jc w:val="left"/>
    </w:pPr>
    <w:rPr>
      <w:sz w:val="18"/>
      <w:szCs w:val="18"/>
    </w:rPr>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2026-09-11T00:27:00Z</dcterms:created>
  <dc:creator>yt</dc:creator>
  <cp:lastModifiedBy>ms-pc</cp:lastModifiedBy>
  <dcterms:modified xsi:type="dcterms:W3CDTF">2026-09-14T10:42:00Z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F07DD9773F1ADC70F85EA76AA2F2BDF8</vt:lpwstr>
  </property>
</Properties>
</file>