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eastAsia="zh-CN"/>
        </w:rPr>
        <w:t>盐田区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2026年全民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公益艺术培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训服务项目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落实新时代文化建设相关要求，进一步完善盐田区公共文化服务体系，丰富辖区居民精神文化生活，推动全民艺术普及，提升群众文化素养与艺术审美水平，结合盐田区人口结构、文化资源及群众艺术需求实际，特制定本公益艺术培训服务项目实施方案，统筹推进全区公益艺术培训规范化、常态化、多元化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习近平新时代中国特色社会主义思想为指导，坚持以人民为中心的发展思想，立足盐田区“山海特色、人文宜居”的区域定位，以公益普惠、全民共享为核心，整合辖区文化场馆、专业师资、社会文艺团体等优质资源，开展覆盖全年龄段、多元化的公益艺术培训，让艺术文化走进基层、贴近群众，助力盐田区文化软实力提升，打造具有盐田特色的全民艺术普及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（一）普惠覆盖目标：实现公益艺术培训覆盖辖区各街道，重点覆盖青少年、中老年、来盐建设者及特殊群体，全年培训课时不少于1000课时，服务群众人次不少于10000人次，让居民免费享受优质艺术教育资源。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课程体系目标：构建门类齐全、层次分明、贴合群众需求的艺术培训课程体系，涵盖音乐、舞蹈、美术、书法、戏剧、非遗传承等多个艺术门类，兼顾零基础入门与进阶提升，满足不同群体差异化学习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（三）品牌打造目标：培育盐田区公益艺术培训特色品牌，形成“定期开班、常态开展、成果展示”的长效机制，提升公共文化服务知晓度与满意度，营造全民爱艺术、学艺术、享艺术的良好文化氛围。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三、培训对象与时间安排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（一）培训对象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盐田区常住居民、辖区青少年学生、中老年群体、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来盐建设者及特殊群体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时间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2026年全年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实施地点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盐田区文化馆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总馆、各街道分馆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、项目实施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按照“需求征集—课程设置—培训实施”的流程推进，确保各环节规范有序、落地见效。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需求</w:t>
      </w:r>
      <w:r>
        <w:rPr>
          <w:rFonts w:hint="eastAsia" w:ascii="楷体_GB2312" w:hAnsi="楷体_GB2312" w:eastAsia="楷体_GB2312" w:cs="楷体_GB2312"/>
          <w:sz w:val="32"/>
          <w:szCs w:val="32"/>
        </w:rPr>
        <w:t>征集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定涵盖舞蹈、声乐、器乐、美术、书法、非遗体验等门类的公益艺术候选课程清单，通过区文化馆微信公众号等线上渠道发放问卷调查，征集市民的意见建议，根据群众对课程内容、培训时段、教学形式等需求提出的意见建议，结合辖区文化特色确定课程安排，确保课程设置顺应民心、贴合民意、惠及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课程设置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群众需求调研，设置基础普及类、兴趣提升类、传统文化类、特色非遗类课程。基础普及类面向无艺术基础群众，充分考虑不同群体的学习需求，向少儿开设趣味启蒙类课程，向老年人开设舒缓易学类课程，侧重入门教学，培养艺术兴趣；兴趣提升类面向具备初步艺术功底群众，侧重技能进阶，提升专业水平；传统文化类开设书法、国画、民乐、戏曲等中华传统文化艺术课程；特色非遗类结合盐田山海文化、非遗资源，引入盐田山歌等盐田区本土非遗项目，打造本土特色课程，传承地域文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根据群众需求，灵活安排夜间、周末等时段的课程，实现课程内容、时间、形式的分层分类供给，让全民艺术普及更具针对性、普惠性和吸引力。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20" w:firstLineChars="1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</w:rPr>
        <w:t>培训实施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1.培训报名。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益艺术培训服务项目采取线上预约报名、线下集中授课的方式。通过“美好盐田”微信公众号、区文化馆微信公众号及文化馆云服务平台发布培训信息（包括课程清单、报名时间、报名条件、报名流程、咨询电话等），开放报名通道，每人限报一项，名额有限，先报先得，额满即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2.教学管理。一是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做好教学规范。制定详细的教学计划，明确每节课的教学内容、教学目标、教学流程，注重教学质量，兼顾趣味性与实用性；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做好学员管理。规范考勤制度，鼓励学员坚持学习，对无故缺课多次的学员取消后续参训资格，保障教学秩序；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动态调整。建立全过程、多维度服务评价与反馈机制，通过课堂测评、问卷调查等形式，定期收集学员对课程内容、教学质量、师资水平、服务保障、组织管理、场地设施等方面的意见建议和反馈，优化课程内容与教学方式，灵活调整班次、课时，提升培训满意度与项目实施质效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做好安全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保障。签订安全责任协议，做好培训场地卫生、安全防护工作，针对青少年、老年学员安排专人值守，防范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安全事故发生。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3.成果展示。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举办“四季享艺”公益培训成果展演，为学员提供展示平台，提升群众获得感和成就感。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4.资料归档。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整理培训方案、课程大纲、教学影像、成果资料等，建立完整工作台账，为后续培训提供参考。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区文化广电旅游体育局牵头，各街道办、中英街管理局协同配合，明确职责分工，统筹推进培训工作策划、组织、实施与监督，形成上下联动、齐抓共管的工作格局。区文化馆总馆负责统筹全区公益艺术培训，具体实施在总馆开展的培训工作；各街道（中英街）分馆负责本辖区的公益艺术培训的组织与实施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（二）经费保障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将公益艺术培训经费纳入年度财政预算，规范使用资金，专款专用。严格执行财务管理制度，加强经费管理与监督，确保项目资金使用规范、合理，保障项目平稳有序运行。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（三）场地保障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优化辖区文化馆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总分馆</w:t>
      </w:r>
      <w:r>
        <w:rPr>
          <w:rFonts w:hint="eastAsia" w:ascii="仿宋_GB2312" w:hAnsi="仿宋_GB2312" w:eastAsia="仿宋_GB2312" w:cs="仿宋_GB2312"/>
          <w:sz w:val="32"/>
          <w:szCs w:val="32"/>
        </w:rPr>
        <w:t>资源配置，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区文化馆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总馆</w:t>
      </w:r>
      <w:r>
        <w:rPr>
          <w:rFonts w:hint="eastAsia" w:ascii="仿宋_GB2312" w:hAnsi="仿宋_GB2312" w:eastAsia="仿宋_GB2312" w:cs="仿宋_GB2312"/>
          <w:sz w:val="32"/>
          <w:szCs w:val="32"/>
        </w:rPr>
        <w:t>、街道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分馆</w:t>
      </w:r>
      <w:r>
        <w:rPr>
          <w:rFonts w:hint="eastAsia" w:ascii="仿宋_GB2312" w:hAnsi="仿宋_GB2312" w:eastAsia="仿宋_GB2312" w:cs="仿宋_GB2312"/>
          <w:sz w:val="32"/>
          <w:szCs w:val="32"/>
        </w:rPr>
        <w:t>等场地用于公益艺术培训，完善教学设施设备，为培训开展提供硬件支撑。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建立督导机制。成立专项督导小组，实行“日常巡查+随机抽查”相结合的督导方式，全程监督培训教学过程。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过程督导。重点对师资出勤率、教学质量、教学规范、课程完成情况、学员考勤、场地安全等进行督导检查，建立督导台账，详细记录发现的问题及整改情况。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问题处置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。对督导中发现的履约不到位、教学不达标、服务不合格等情形，及时向相关责任人反馈，督促及时整改，确保教学服务专业化、标准化。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（五）宣传推广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充分利用区级媒体、社区宣传阵地、新媒体平台，全方位宣传公益艺术培训政策、课程信息、活动成果，扩大培训覆盖面与影响力，引导更多群众主动参与，营造浓厚的全民艺术普及氛围。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坚持公益普惠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公益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培训要求，严禁以任何名义向学员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额外</w:t>
      </w:r>
      <w:r>
        <w:rPr>
          <w:rFonts w:hint="eastAsia" w:ascii="仿宋_GB2312" w:hAnsi="仿宋_GB2312" w:eastAsia="仿宋_GB2312" w:cs="仿宋_GB2312"/>
          <w:sz w:val="32"/>
          <w:szCs w:val="32"/>
        </w:rPr>
        <w:t>收取费用，确保培训资源真正惠及普通群众，重点关注特殊群体、困难群体的艺术需求。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（二）注重质量实效。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以群众需求为导向，精选课程内容，优选专业师资，切实提升群众艺术技能与文化素养，打造群众满意的公益文化品牌。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（三）强化安全管理。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始终把安全放在首位，落实场地安全、人员管理等各项安全措施，制定应急预案，防范各类安全风险，保障参训人员人身安全。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Chars="0"/>
        <w:jc w:val="left"/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D8BE29"/>
    <w:multiLevelType w:val="singleLevel"/>
    <w:tmpl w:val="4DD8BE2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99CD7B"/>
    <w:rsid w:val="4A1947CF"/>
    <w:rsid w:val="54FF343E"/>
    <w:rsid w:val="6B376BD2"/>
    <w:rsid w:val="BEDF8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黑体" w:hAnsi="黑体" w:eastAsia="黑体" w:cs="黑体"/>
      <w:sz w:val="7"/>
      <w:szCs w:val="7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yt</cp:lastModifiedBy>
  <dcterms:modified xsi:type="dcterms:W3CDTF">2026-09-03T15:22:10Z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4FBF06A469807AF90F84476A98E5D5A6</vt:lpwstr>
  </property>
</Properties>
</file>