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654" w:firstLineChars="1300"/>
        <w:rPr>
          <w:rFonts w:ascii="宋体" w:hAnsi="宋体"/>
          <w:color w:val="FF0000"/>
          <w:szCs w:val="21"/>
        </w:rPr>
      </w:pPr>
      <w:r>
        <w:rPr>
          <w:rFonts w:hint="eastAsia" w:ascii="宋体" w:hAnsi="宋体" w:eastAsia="黑体"/>
          <w:b/>
          <w:bCs/>
          <w:color w:val="FF0000"/>
          <w:kern w:val="44"/>
          <w:sz w:val="28"/>
          <w:szCs w:val="44"/>
        </w:rPr>
        <w:t>特别警示条款</w:t>
      </w:r>
    </w:p>
    <w:p>
      <w:pPr>
        <w:pBdr>
          <w:top w:val="none" w:color="auto" w:sz="0" w:space="1"/>
          <w:left w:val="none" w:color="auto" w:sz="0" w:space="4"/>
          <w:bottom w:val="none" w:color="auto" w:sz="0" w:space="1"/>
          <w:right w:val="none" w:color="auto" w:sz="0" w:space="4"/>
        </w:pBdr>
        <w:ind w:firstLine="421" w:firstLineChars="200"/>
        <w:rPr>
          <w:rFonts w:ascii="宋体" w:hAnsi="宋体" w:cs="宋体"/>
          <w:b/>
          <w:bCs/>
          <w:color w:val="FF0000"/>
          <w:szCs w:val="21"/>
        </w:rPr>
      </w:pPr>
    </w:p>
    <w:p>
      <w:pPr>
        <w:pBdr>
          <w:top w:val="none" w:color="auto" w:sz="0" w:space="1"/>
          <w:left w:val="none" w:color="auto" w:sz="0" w:space="4"/>
          <w:bottom w:val="none" w:color="auto" w:sz="0" w:space="1"/>
          <w:right w:val="none" w:color="auto" w:sz="0" w:space="4"/>
        </w:pBdr>
        <w:ind w:firstLine="421" w:firstLineChars="200"/>
        <w:rPr>
          <w:rFonts w:ascii="宋体" w:hAnsi="宋体" w:cs="宋体"/>
          <w:b/>
          <w:bCs/>
          <w:color w:val="FF0000"/>
          <w:szCs w:val="21"/>
        </w:rPr>
      </w:pPr>
      <w:r>
        <w:rPr>
          <w:rFonts w:hint="eastAsia" w:ascii="宋体" w:hAnsi="宋体" w:cs="宋体"/>
          <w:b/>
          <w:bCs/>
          <w:color w:val="FF0000"/>
          <w:szCs w:val="21"/>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7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序号</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b/>
                <w:bCs/>
                <w:color w:val="FF0000"/>
                <w:szCs w:val="21"/>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1</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与其他投标供应商的法定代表人、主要经营负责人、投标授权代表人、项目负责人、主要技术人员为</w:t>
            </w:r>
            <w:r>
              <w:rPr>
                <w:rFonts w:hint="eastAsia" w:ascii="宋体" w:hAnsi="宋体" w:cs="宋体"/>
                <w:b/>
                <w:bCs/>
                <w:color w:val="FF0000"/>
                <w:szCs w:val="21"/>
              </w:rPr>
              <w:t>同一人、属同一单位或者在同一单位缴纳社会保险</w:t>
            </w:r>
            <w:r>
              <w:rPr>
                <w:rFonts w:hint="eastAsia" w:ascii="宋体" w:hAnsi="宋体" w:cs="宋体"/>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2</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参与本项目政府采购活动时，与其他投标供应商存在单位负责人为</w:t>
            </w:r>
            <w:r>
              <w:rPr>
                <w:rFonts w:hint="eastAsia" w:ascii="宋体" w:hAnsi="宋体" w:cs="宋体"/>
                <w:b/>
                <w:bCs/>
                <w:color w:val="FF0000"/>
                <w:szCs w:val="21"/>
              </w:rPr>
              <w:t>同一人或直接控股、管理关系</w:t>
            </w:r>
            <w:r>
              <w:rPr>
                <w:rFonts w:hint="eastAsia" w:ascii="宋体" w:hAnsi="宋体" w:cs="宋体"/>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3</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与其他投标供应商的投标文件或部分投标文件</w:t>
            </w:r>
            <w:r>
              <w:rPr>
                <w:rFonts w:hint="eastAsia" w:ascii="宋体" w:hAnsi="宋体" w:cs="宋体"/>
                <w:b/>
                <w:bCs/>
                <w:color w:val="FF0000"/>
                <w:szCs w:val="21"/>
              </w:rPr>
              <w:t>相互混装或存在非正常一致</w:t>
            </w:r>
            <w:r>
              <w:rPr>
                <w:rFonts w:hint="eastAsia" w:ascii="宋体" w:hAnsi="宋体" w:cs="宋体"/>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4</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与其他投标供应商的投标文件由</w:t>
            </w:r>
            <w:r>
              <w:rPr>
                <w:rFonts w:hint="eastAsia" w:ascii="宋体" w:hAnsi="宋体" w:cs="宋体"/>
                <w:b/>
                <w:bCs/>
                <w:color w:val="FF0000"/>
                <w:szCs w:val="21"/>
              </w:rPr>
              <w:t>同一单位或者同一人编制</w:t>
            </w:r>
            <w:r>
              <w:rPr>
                <w:rFonts w:hint="eastAsia" w:ascii="宋体" w:hAnsi="宋体" w:cs="宋体"/>
                <w:color w:val="FF0000"/>
                <w:szCs w:val="21"/>
              </w:rPr>
              <w:t>，或者使用</w:t>
            </w:r>
            <w:r>
              <w:rPr>
                <w:rFonts w:hint="eastAsia" w:ascii="宋体" w:hAnsi="宋体" w:cs="宋体"/>
                <w:b/>
                <w:bCs/>
                <w:color w:val="FF0000"/>
                <w:szCs w:val="21"/>
              </w:rPr>
              <w:t>同一设备编制</w:t>
            </w:r>
            <w:r>
              <w:rPr>
                <w:rFonts w:hint="eastAsia" w:ascii="宋体" w:hAnsi="宋体" w:cs="宋体"/>
                <w:color w:val="FF0000"/>
                <w:szCs w:val="21"/>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5</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提供</w:t>
            </w:r>
            <w:r>
              <w:rPr>
                <w:rFonts w:hint="eastAsia" w:ascii="宋体" w:hAnsi="宋体" w:cs="宋体"/>
                <w:b/>
                <w:bCs/>
                <w:color w:val="FF0000"/>
                <w:szCs w:val="21"/>
              </w:rPr>
              <w:t>未经出具机构核实</w:t>
            </w:r>
            <w:r>
              <w:rPr>
                <w:rFonts w:hint="eastAsia" w:ascii="宋体" w:hAnsi="宋体" w:cs="宋体"/>
                <w:color w:val="FF0000"/>
                <w:szCs w:val="21"/>
              </w:rPr>
              <w:t>的虚假的检验检测报告、业绩材料、社保缴纳证明、学历学位证书、职称认证证书等材料。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6</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擅自将投标密钥或电子营业执照出借他人使用或未妥善保管。</w:t>
            </w:r>
          </w:p>
        </w:tc>
      </w:tr>
    </w:tbl>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一、</w:t>
      </w:r>
      <w:r>
        <w:rPr>
          <w:rFonts w:hint="eastAsia" w:ascii="宋体" w:hAnsi="宋体"/>
          <w:b/>
          <w:bCs/>
          <w:color w:val="FF0000"/>
          <w:sz w:val="20"/>
          <w:szCs w:val="20"/>
        </w:rPr>
        <w:t>《深圳经济特区政府采购条例》第五十七条</w:t>
      </w:r>
      <w:r>
        <w:rPr>
          <w:rFonts w:hint="eastAsia" w:ascii="宋体" w:hAnsi="宋体"/>
          <w:color w:val="FF0000"/>
          <w:sz w:val="20"/>
          <w:szCs w:val="20"/>
        </w:rPr>
        <w:t xml:space="preserve"> 供应商在政府采购中，有下列行为之一的，一至三年内禁止其参与本市政府采购，并由主管部门记入供应商诚信档案，处采购金额千分之十以上千分之二十以下的罚款；情节严重的，取消其参与本市政府采购资格，处采购金额千分之二十以上千分之三十以下的罚款，并由市场监管部门依法吊销其营业执照；给他人造成损失的，依法承担赔偿责任；构成犯罪的，依法追究刑事责任：</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（一）在采购活动中应当回避而未回避的；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（二）未按本条例规定签订、履行采购合同，造成严重后果的；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（三）隐瞒真实情况，提供虚假资料的；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（四）以非法手段排斥其他供应商参与竞争的；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（五）与其他采购参加人串通投标的；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（六）恶意投诉的；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（七）向采购项目相关人行贿或者提供其他不当利益的；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（八）阻碍、抗拒主管部门监督检查的；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（九）其他违反本条例规定的行为。</w:t>
      </w:r>
    </w:p>
    <w:p>
      <w:pPr>
        <w:pBdr>
          <w:top w:val="none" w:color="auto" w:sz="0" w:space="1"/>
          <w:left w:val="none" w:color="auto" w:sz="0" w:space="4"/>
          <w:bottom w:val="none" w:color="auto" w:sz="0" w:space="1"/>
          <w:right w:val="none" w:color="auto" w:sz="0" w:space="4"/>
        </w:pBdr>
        <w:rPr>
          <w:rFonts w:ascii="宋体" w:hAnsi="宋体"/>
          <w:b/>
          <w:bCs/>
          <w:color w:val="FF0000"/>
          <w:sz w:val="20"/>
          <w:szCs w:val="20"/>
        </w:rPr>
      </w:pPr>
    </w:p>
    <w:p>
      <w:pPr>
        <w:pBdr>
          <w:top w:val="none" w:color="auto" w:sz="0" w:space="1"/>
          <w:left w:val="none" w:color="auto" w:sz="0" w:space="4"/>
          <w:bottom w:val="none" w:color="auto" w:sz="0" w:space="1"/>
          <w:right w:val="none" w:color="auto" w:sz="0" w:space="4"/>
        </w:pBdr>
        <w:ind w:firstLine="401" w:firstLineChars="200"/>
        <w:rPr>
          <w:rFonts w:ascii="宋体" w:hAnsi="宋体"/>
          <w:color w:val="FF0000"/>
          <w:sz w:val="20"/>
          <w:szCs w:val="20"/>
        </w:rPr>
      </w:pPr>
      <w:r>
        <w:rPr>
          <w:rFonts w:hint="eastAsia" w:ascii="宋体" w:hAnsi="宋体"/>
          <w:b/>
          <w:bCs/>
          <w:color w:val="FF0000"/>
          <w:sz w:val="20"/>
          <w:szCs w:val="20"/>
        </w:rPr>
        <w:t xml:space="preserve">二、《深圳经济特区政府采购条例实施细则》第七十五条 </w:t>
      </w:r>
      <w:r>
        <w:rPr>
          <w:rFonts w:hint="eastAsia" w:ascii="宋体" w:hAnsi="宋体"/>
          <w:color w:val="FF0000"/>
          <w:sz w:val="20"/>
          <w:szCs w:val="20"/>
        </w:rPr>
        <w:t>供应商有下列情形之一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存在非正常一致。（六）由同一单位工作人员为两家以上（含两家）供应商进行同一项投标活动的。（七）主管部门依照法律、法规认定的其他情形。</w:t>
      </w:r>
    </w:p>
    <w:p>
      <w:pPr>
        <w:pBdr>
          <w:top w:val="none" w:color="auto" w:sz="0" w:space="1"/>
          <w:left w:val="none" w:color="auto" w:sz="0" w:space="4"/>
          <w:bottom w:val="none" w:color="auto" w:sz="0" w:space="1"/>
          <w:right w:val="none" w:color="auto" w:sz="0" w:space="4"/>
        </w:pBdr>
        <w:ind w:firstLine="401" w:firstLineChars="200"/>
        <w:rPr>
          <w:rFonts w:ascii="宋体" w:hAnsi="宋体"/>
          <w:b/>
          <w:bCs/>
          <w:color w:val="FF0000"/>
          <w:sz w:val="20"/>
          <w:szCs w:val="20"/>
        </w:rPr>
      </w:pPr>
    </w:p>
    <w:p>
      <w:pPr>
        <w:pBdr>
          <w:top w:val="none" w:color="auto" w:sz="0" w:space="1"/>
          <w:left w:val="none" w:color="auto" w:sz="0" w:space="4"/>
          <w:bottom w:val="none" w:color="auto" w:sz="0" w:space="1"/>
          <w:right w:val="none" w:color="auto" w:sz="0" w:space="4"/>
        </w:pBdr>
        <w:ind w:firstLine="401" w:firstLineChars="200"/>
        <w:rPr>
          <w:rFonts w:ascii="宋体" w:hAnsi="宋体"/>
          <w:color w:val="FF0000"/>
          <w:sz w:val="20"/>
          <w:szCs w:val="20"/>
        </w:rPr>
      </w:pPr>
      <w:r>
        <w:rPr>
          <w:rFonts w:hint="eastAsia" w:ascii="宋体" w:hAnsi="宋体"/>
          <w:b/>
          <w:bCs/>
          <w:color w:val="FF0000"/>
          <w:sz w:val="20"/>
          <w:szCs w:val="20"/>
        </w:rPr>
        <w:t xml:space="preserve">三、《深圳经济特区政府采购条例实施细则》第七十七条 </w:t>
      </w:r>
      <w:r>
        <w:rPr>
          <w:rFonts w:hint="eastAsia" w:ascii="宋体" w:hAnsi="宋体"/>
          <w:color w:val="FF0000"/>
          <w:sz w:val="20"/>
          <w:szCs w:val="20"/>
        </w:rPr>
        <w:t>供应商有下列情形之一的，属于隐瞒真实情况，提供虚假资料，按照采购条例第五十七条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投标供应商不能提供项目负责人或者主要技术人员的劳动合同、社会保险等劳动关系证明材料的，视为存在前款第（三）项规定的情形。</w:t>
      </w:r>
    </w:p>
    <w:p>
      <w:pPr>
        <w:pBdr>
          <w:top w:val="none" w:color="auto" w:sz="0" w:space="1"/>
          <w:left w:val="none" w:color="auto" w:sz="0" w:space="4"/>
          <w:bottom w:val="none" w:color="auto" w:sz="0" w:space="1"/>
          <w:right w:val="none" w:color="auto" w:sz="0" w:space="4"/>
        </w:pBdr>
        <w:ind w:firstLine="400" w:firstLineChars="200"/>
        <w:rPr>
          <w:bCs/>
          <w:color w:val="FF0000"/>
          <w:sz w:val="20"/>
          <w:szCs w:val="20"/>
        </w:rPr>
      </w:pPr>
    </w:p>
    <w:p>
      <w:pPr>
        <w:pBdr>
          <w:top w:val="none" w:color="auto" w:sz="0" w:space="1"/>
          <w:left w:val="none" w:color="auto" w:sz="0" w:space="4"/>
          <w:bottom w:val="none" w:color="auto" w:sz="0" w:space="1"/>
          <w:right w:val="none" w:color="auto" w:sz="0" w:space="4"/>
        </w:pBdr>
        <w:ind w:firstLine="400" w:firstLineChars="200"/>
        <w:rPr>
          <w:bCs/>
          <w:color w:val="FF0000"/>
          <w:sz w:val="20"/>
          <w:szCs w:val="20"/>
        </w:rPr>
      </w:pPr>
      <w:r>
        <w:rPr>
          <w:rFonts w:hint="eastAsia"/>
          <w:bCs/>
          <w:color w:val="FF0000"/>
          <w:sz w:val="20"/>
          <w:szCs w:val="20"/>
        </w:rPr>
        <w:t>四、供应商在使用深圳政府采购智慧平台的投标文件制作工具创建投标文件时，该工具将自动在投标文件中记录文件创建标识码，同时提取投标文件制作电脑的网卡MAC地址、硬盘序列号、CPU序列号、主板序列号和工具标识号，经加密生成文件制作机器码并在投标文件中记录。文件制作机器码一致表明不同供应商使用了同一设备编制投标文件，文件创建标识码一致表明不同供应商的投标文件为同一份文件，IP地址一致表明上传投标文件时使用了相同的网络。</w:t>
      </w:r>
    </w:p>
    <w:p>
      <w:pPr>
        <w:pBdr>
          <w:top w:val="none" w:color="auto" w:sz="0" w:space="1"/>
          <w:left w:val="none" w:color="auto" w:sz="0" w:space="4"/>
          <w:bottom w:val="none" w:color="auto" w:sz="0" w:space="1"/>
          <w:right w:val="none" w:color="auto" w:sz="0" w:space="4"/>
        </w:pBdr>
        <w:ind w:firstLine="400" w:firstLineChars="200"/>
        <w:rPr>
          <w:bCs/>
          <w:color w:val="FF0000"/>
          <w:sz w:val="20"/>
          <w:szCs w:val="20"/>
        </w:rPr>
      </w:pPr>
      <w:r>
        <w:rPr>
          <w:rFonts w:hint="eastAsia"/>
          <w:bCs/>
          <w:color w:val="FF0000"/>
          <w:sz w:val="20"/>
          <w:szCs w:val="20"/>
        </w:rPr>
        <w:t>为避免出现不同供应商投标文件的文件制作机器码、文件创建标识码、IP地址一致的异常情况，建议各供应商编制、上传投标文件时不要使用公共电脑设备或公共网络。</w:t>
      </w:r>
    </w:p>
    <w:p>
      <w:pPr>
        <w:pBdr>
          <w:top w:val="none" w:color="auto" w:sz="0" w:space="1"/>
          <w:left w:val="none" w:color="auto" w:sz="0" w:space="4"/>
          <w:bottom w:val="none" w:color="auto" w:sz="0" w:space="1"/>
          <w:right w:val="none" w:color="auto" w:sz="0" w:space="4"/>
        </w:pBdr>
        <w:ind w:firstLine="400" w:firstLineChars="200"/>
        <w:rPr>
          <w:bCs/>
          <w:color w:val="FF0000"/>
          <w:sz w:val="20"/>
          <w:szCs w:val="20"/>
        </w:rPr>
      </w:pPr>
      <w:r>
        <w:rPr>
          <w:rFonts w:hint="eastAsia"/>
          <w:bCs/>
          <w:color w:val="FF0000"/>
          <w:sz w:val="20"/>
          <w:szCs w:val="20"/>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w:t>
      </w:r>
      <w:r>
        <w:rPr>
          <w:rFonts w:hint="eastAsia" w:ascii="宋体" w:hAnsi="宋体"/>
          <w:color w:val="FF0000"/>
          <w:sz w:val="20"/>
          <w:szCs w:val="20"/>
        </w:rPr>
        <w:t>取消参与本市政府采购资格</w:t>
      </w:r>
      <w:r>
        <w:rPr>
          <w:rFonts w:hint="eastAsia" w:hAnsi="宋体"/>
          <w:color w:val="FF0000"/>
          <w:sz w:val="20"/>
          <w:szCs w:val="20"/>
        </w:rPr>
        <w:t>、</w:t>
      </w:r>
      <w:r>
        <w:rPr>
          <w:rFonts w:hint="eastAsia" w:ascii="宋体" w:hAnsi="宋体"/>
          <w:color w:val="FF0000"/>
          <w:sz w:val="20"/>
          <w:szCs w:val="20"/>
        </w:rPr>
        <w:t>依法吊销其营业</w:t>
      </w:r>
      <w:r>
        <w:rPr>
          <w:rFonts w:hint="eastAsia" w:hAnsi="宋体"/>
          <w:color w:val="FF0000"/>
          <w:sz w:val="20"/>
          <w:szCs w:val="20"/>
        </w:rPr>
        <w:t>执照等行政处罚，</w:t>
      </w:r>
      <w:r>
        <w:rPr>
          <w:rFonts w:hint="eastAsia" w:ascii="宋体" w:hAnsi="宋体"/>
          <w:color w:val="FF0000"/>
          <w:sz w:val="20"/>
          <w:szCs w:val="20"/>
        </w:rPr>
        <w:t>构成犯罪的，依法追究刑事责任</w:t>
      </w:r>
      <w:r>
        <w:rPr>
          <w:rFonts w:hint="eastAsia"/>
          <w:bCs/>
          <w:color w:val="FF0000"/>
          <w:sz w:val="20"/>
          <w:szCs w:val="20"/>
        </w:rPr>
        <w:t>，请各供应商独立编制、上传投标文件，妥善保管和使用电子密钥。</w:t>
      </w:r>
    </w:p>
    <w:p>
      <w:pPr>
        <w:pBdr>
          <w:top w:val="none" w:color="auto" w:sz="0" w:space="1"/>
          <w:left w:val="none" w:color="auto" w:sz="0" w:space="4"/>
          <w:bottom w:val="none" w:color="auto" w:sz="0" w:space="1"/>
          <w:right w:val="none" w:color="auto" w:sz="0" w:space="4"/>
        </w:pBdr>
        <w:ind w:firstLine="421" w:firstLineChars="200"/>
        <w:rPr>
          <w:b/>
          <w:color w:val="FF0000"/>
        </w:rPr>
      </w:pPr>
    </w:p>
    <w:p>
      <w:pPr>
        <w:pBdr>
          <w:top w:val="none" w:color="auto" w:sz="0" w:space="1"/>
          <w:left w:val="none" w:color="auto" w:sz="0" w:space="4"/>
          <w:bottom w:val="none" w:color="auto" w:sz="0" w:space="1"/>
          <w:right w:val="none" w:color="auto" w:sz="0" w:space="4"/>
        </w:pBdr>
        <w:ind w:firstLine="421" w:firstLineChars="200"/>
        <w:rPr>
          <w:b/>
          <w:color w:val="FF0000"/>
        </w:rPr>
      </w:pPr>
      <w:r>
        <w:rPr>
          <w:rFonts w:hint="eastAsia"/>
          <w:b/>
          <w:color w:val="FF0000"/>
        </w:rPr>
        <w:t>五、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p>
    <w:p>
      <w:pPr>
        <w:pStyle w:val="2"/>
        <w:numPr>
          <w:ilvl w:val="255"/>
          <w:numId w:val="0"/>
        </w:numPr>
        <w:spacing w:line="240" w:lineRule="auto"/>
      </w:pPr>
    </w:p>
    <w:p>
      <w:pPr>
        <w:pBdr>
          <w:top w:val="none" w:color="auto" w:sz="0" w:space="1"/>
          <w:left w:val="none" w:color="auto" w:sz="0" w:space="4"/>
          <w:bottom w:val="none" w:color="auto" w:sz="0" w:space="1"/>
          <w:right w:val="none" w:color="auto" w:sz="0" w:space="4"/>
        </w:pBdr>
        <w:ind w:firstLine="421" w:firstLineChars="200"/>
      </w:pPr>
      <w:r>
        <w:rPr>
          <w:rFonts w:hint="eastAsia"/>
          <w:b/>
          <w:color w:val="FF0000"/>
        </w:rPr>
        <w:t>六、请投标供应商阅读《政府采购违法行为风险知悉确认书》（内容详见“投标文件附件（信息不公开部分）”中节点“投标人认为需要加以说明的其他内容（格式自定）”），并经各投标供应商负责人签字并加盖单位公章后，扫描上传至投标文件一并提交。</w:t>
      </w:r>
    </w:p>
    <w:p>
      <w:pPr>
        <w:pStyle w:val="194"/>
        <w:pBdr>
          <w:top w:val="none" w:color="auto" w:sz="0" w:space="1"/>
          <w:left w:val="none" w:color="auto" w:sz="0" w:space="4"/>
          <w:bottom w:val="none" w:color="auto" w:sz="0" w:space="1"/>
          <w:right w:val="none" w:color="auto" w:sz="0" w:space="4"/>
        </w:pBdr>
        <w:rPr>
          <w:bCs/>
          <w:color w:val="FF0000"/>
          <w:sz w:val="20"/>
          <w:szCs w:val="20"/>
        </w:rPr>
      </w:pPr>
    </w:p>
    <w:p>
      <w:pPr>
        <w:widowControl/>
        <w:pBdr>
          <w:top w:val="none" w:color="auto" w:sz="0" w:space="1"/>
          <w:left w:val="none" w:color="auto" w:sz="0" w:space="4"/>
          <w:bottom w:val="none" w:color="auto" w:sz="0" w:space="1"/>
          <w:right w:val="none" w:color="auto" w:sz="0" w:space="4"/>
        </w:pBdr>
        <w:rPr>
          <w:b/>
          <w:color w:val="FF0000"/>
        </w:rPr>
      </w:pPr>
      <w:r>
        <w:rPr>
          <w:rFonts w:hint="eastAsia"/>
          <w:b/>
          <w:color w:val="FF0000"/>
        </w:rPr>
        <w:t>注：“特别警示条款”和《政府采购违法行为风险知悉确认书》用于对供应商违法行为的提醒，不作为供应商资格性审查及符合性审查条件。</w:t>
      </w: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outlineLvl w:val="1"/>
        <w:rPr>
          <w:rFonts w:ascii="黑体" w:hAnsi="宋体" w:eastAsia="黑体" w:cs="黑体"/>
          <w:kern w:val="0"/>
          <w:sz w:val="40"/>
          <w:szCs w:val="40"/>
        </w:rPr>
        <w:sectPr>
          <w:headerReference r:id="rId3" w:type="first"/>
          <w:footerReference r:id="rId6" w:type="first"/>
          <w:footerReference r:id="rId4" w:type="default"/>
          <w:footerReference r:id="rId5" w:type="even"/>
          <w:pgSz w:w="11907" w:h="16840"/>
          <w:pgMar w:top="1440" w:right="1417" w:bottom="1440" w:left="1417" w:header="851" w:footer="992" w:gutter="0"/>
          <w:cols w:space="425" w:num="1"/>
          <w:titlePg/>
          <w:docGrid w:linePitch="462" w:charSpace="0"/>
        </w:sectPr>
      </w:pP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outlineLvl w:val="1"/>
        <w:rPr>
          <w:rFonts w:ascii="黑体" w:hAnsi="宋体" w:eastAsia="黑体" w:cs="黑体"/>
          <w:kern w:val="0"/>
          <w:sz w:val="40"/>
          <w:szCs w:val="40"/>
        </w:rPr>
      </w:pPr>
      <w:r>
        <w:rPr>
          <w:rFonts w:hint="eastAsia" w:ascii="黑体" w:hAnsi="宋体" w:eastAsia="黑体" w:cs="黑体"/>
          <w:kern w:val="0"/>
          <w:sz w:val="40"/>
          <w:szCs w:val="40"/>
        </w:rPr>
        <w:t>招标文件信息</w:t>
      </w:r>
    </w:p>
    <w:tbl>
      <w:tblPr>
        <w:tblStyle w:val="44"/>
        <w:tblW w:w="7943" w:type="dxa"/>
        <w:jc w:val="center"/>
        <w:tblCellSpacing w:w="0" w:type="dxa"/>
        <w:tblLayout w:type="fixed"/>
        <w:tblCellMar>
          <w:top w:w="45" w:type="dxa"/>
          <w:left w:w="45" w:type="dxa"/>
          <w:bottom w:w="45" w:type="dxa"/>
          <w:right w:w="45" w:type="dxa"/>
        </w:tblCellMar>
      </w:tblPr>
      <w:tblGrid>
        <w:gridCol w:w="2723"/>
        <w:gridCol w:w="5220"/>
      </w:tblGrid>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lang w:bidi="ar"/>
              </w:rPr>
              <w:t>项目编号：</w:t>
            </w:r>
          </w:p>
        </w:tc>
        <w:tc>
          <w:tcPr>
            <w:tcW w:w="5220" w:type="dxa"/>
            <w:shd w:val="clear" w:color="auto" w:fill="auto"/>
            <w:vAlign w:val="center"/>
          </w:tcPr>
          <w:p>
            <w:pPr>
              <w:widowControl/>
              <w:jc w:val="left"/>
              <w:rPr>
                <w:sz w:val="32"/>
                <w:szCs w:val="32"/>
              </w:rPr>
            </w:pPr>
            <w:r>
              <w:rPr>
                <w:rFonts w:ascii="宋体" w:hAnsi="宋体" w:cs="宋体"/>
                <w:kern w:val="0"/>
                <w:sz w:val="32"/>
                <w:szCs w:val="32"/>
                <w:lang w:bidi="ar"/>
              </w:rPr>
              <w:t>**********</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lang w:bidi="ar"/>
              </w:rPr>
              <w:t>项目名称：</w:t>
            </w:r>
          </w:p>
        </w:tc>
        <w:tc>
          <w:tcPr>
            <w:tcW w:w="5220" w:type="dxa"/>
            <w:shd w:val="clear" w:color="auto" w:fill="auto"/>
            <w:vAlign w:val="center"/>
          </w:tcPr>
          <w:p>
            <w:pPr>
              <w:widowControl/>
              <w:jc w:val="left"/>
              <w:rPr>
                <w:sz w:val="32"/>
                <w:szCs w:val="32"/>
              </w:rPr>
            </w:pPr>
            <w:r>
              <w:rPr>
                <w:rFonts w:hint="eastAsia"/>
                <w:sz w:val="32"/>
                <w:szCs w:val="32"/>
              </w:rPr>
              <w:t>2026年度盐田区海山街道环卫一体化（城市管家）服务项目</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lang w:bidi="ar"/>
              </w:rPr>
              <w:t>包 号：</w:t>
            </w:r>
          </w:p>
        </w:tc>
        <w:tc>
          <w:tcPr>
            <w:tcW w:w="5220" w:type="dxa"/>
            <w:shd w:val="clear" w:color="auto" w:fill="auto"/>
            <w:vAlign w:val="center"/>
          </w:tcPr>
          <w:p>
            <w:pPr>
              <w:widowControl/>
              <w:jc w:val="left"/>
              <w:rPr>
                <w:sz w:val="32"/>
                <w:szCs w:val="32"/>
              </w:rPr>
            </w:pPr>
            <w:r>
              <w:rPr>
                <w:rFonts w:ascii="宋体" w:hAnsi="宋体" w:cs="宋体"/>
                <w:kern w:val="0"/>
                <w:sz w:val="32"/>
                <w:szCs w:val="32"/>
                <w:lang w:bidi="ar"/>
              </w:rPr>
              <w:t>A</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lang w:bidi="ar"/>
              </w:rPr>
              <w:t>项目类型：</w:t>
            </w:r>
          </w:p>
        </w:tc>
        <w:tc>
          <w:tcPr>
            <w:tcW w:w="5220" w:type="dxa"/>
            <w:shd w:val="clear" w:color="auto" w:fill="auto"/>
            <w:vAlign w:val="center"/>
          </w:tcPr>
          <w:p>
            <w:pPr>
              <w:widowControl/>
              <w:jc w:val="left"/>
              <w:rPr>
                <w:sz w:val="32"/>
                <w:szCs w:val="32"/>
              </w:rPr>
            </w:pPr>
            <w:r>
              <w:rPr>
                <w:rFonts w:hint="eastAsia" w:ascii="宋体" w:hAnsi="宋体" w:cs="宋体"/>
                <w:kern w:val="0"/>
                <w:sz w:val="32"/>
                <w:szCs w:val="32"/>
                <w:lang w:bidi="ar"/>
              </w:rPr>
              <w:t>服务</w:t>
            </w:r>
            <w:r>
              <w:rPr>
                <w:rFonts w:ascii="宋体" w:hAnsi="宋体" w:cs="宋体"/>
                <w:kern w:val="0"/>
                <w:sz w:val="32"/>
                <w:szCs w:val="32"/>
                <w:lang w:bidi="ar"/>
              </w:rPr>
              <w:t>类</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lang w:bidi="ar"/>
              </w:rPr>
              <w:t>采购方式：</w:t>
            </w:r>
          </w:p>
        </w:tc>
        <w:tc>
          <w:tcPr>
            <w:tcW w:w="5220" w:type="dxa"/>
            <w:shd w:val="clear" w:color="auto" w:fill="auto"/>
            <w:vAlign w:val="center"/>
          </w:tcPr>
          <w:p>
            <w:pPr>
              <w:widowControl/>
              <w:jc w:val="left"/>
              <w:rPr>
                <w:sz w:val="32"/>
                <w:szCs w:val="32"/>
              </w:rPr>
            </w:pPr>
            <w:r>
              <w:rPr>
                <w:rFonts w:ascii="宋体" w:hAnsi="宋体" w:cs="宋体"/>
                <w:kern w:val="0"/>
                <w:sz w:val="32"/>
                <w:szCs w:val="32"/>
                <w:lang w:bidi="ar"/>
              </w:rPr>
              <w:t>公开招标</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lang w:bidi="ar"/>
              </w:rPr>
              <w:t>货币类型：</w:t>
            </w:r>
          </w:p>
        </w:tc>
        <w:tc>
          <w:tcPr>
            <w:tcW w:w="5220" w:type="dxa"/>
            <w:shd w:val="clear" w:color="auto" w:fill="auto"/>
            <w:vAlign w:val="center"/>
          </w:tcPr>
          <w:p>
            <w:pPr>
              <w:widowControl/>
              <w:jc w:val="left"/>
              <w:rPr>
                <w:sz w:val="32"/>
                <w:szCs w:val="32"/>
              </w:rPr>
            </w:pPr>
            <w:r>
              <w:rPr>
                <w:rFonts w:ascii="宋体" w:hAnsi="宋体" w:cs="宋体"/>
                <w:kern w:val="0"/>
                <w:sz w:val="32"/>
                <w:szCs w:val="32"/>
                <w:lang w:bidi="ar"/>
              </w:rPr>
              <w:t>人民币</w:t>
            </w:r>
          </w:p>
        </w:tc>
      </w:tr>
    </w:tbl>
    <w:p>
      <w:pPr>
        <w:pStyle w:val="38"/>
        <w:jc w:val="center"/>
        <w:rPr>
          <w:rFonts w:ascii="黑体" w:hAnsi="黑体" w:eastAsia="黑体"/>
          <w:sz w:val="40"/>
          <w:szCs w:val="40"/>
        </w:rPr>
      </w:pPr>
    </w:p>
    <w:p>
      <w:pPr>
        <w:pStyle w:val="38"/>
        <w:jc w:val="center"/>
        <w:outlineLvl w:val="1"/>
        <w:rPr>
          <w:rFonts w:ascii="黑体" w:hAnsi="黑体" w:eastAsia="黑体"/>
          <w:sz w:val="40"/>
          <w:szCs w:val="40"/>
        </w:rPr>
        <w:sectPr>
          <w:pgSz w:w="11907" w:h="16840"/>
          <w:pgMar w:top="1440" w:right="1417" w:bottom="1440" w:left="1417" w:header="851" w:footer="992" w:gutter="0"/>
          <w:cols w:space="425" w:num="1"/>
          <w:titlePg/>
          <w:docGrid w:linePitch="462" w:charSpace="0"/>
        </w:sectPr>
      </w:pPr>
    </w:p>
    <w:p>
      <w:pPr>
        <w:pStyle w:val="38"/>
        <w:jc w:val="center"/>
        <w:outlineLvl w:val="1"/>
        <w:rPr>
          <w:rFonts w:ascii="黑体" w:hAnsi="黑体" w:eastAsia="黑体"/>
          <w:sz w:val="40"/>
          <w:szCs w:val="40"/>
        </w:rPr>
      </w:pPr>
      <w:r>
        <w:rPr>
          <w:rFonts w:hint="eastAsia" w:ascii="黑体" w:hAnsi="黑体" w:eastAsia="黑体"/>
          <w:sz w:val="40"/>
          <w:szCs w:val="40"/>
        </w:rPr>
        <w:t>资格性审查表</w:t>
      </w:r>
    </w:p>
    <w:tbl>
      <w:tblPr>
        <w:tblStyle w:val="44"/>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ascii="宋体" w:hAnsi="宋体" w:cs="宋体"/>
                <w:szCs w:val="21"/>
              </w:rPr>
            </w:pPr>
            <w:r>
              <w:rPr>
                <w:rFonts w:hint="eastAsia" w:ascii="宋体" w:hAnsi="宋体" w:cs="宋体"/>
                <w:szCs w:val="21"/>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ascii="宋体" w:hAnsi="宋体" w:cs="宋体"/>
                <w:szCs w:val="21"/>
              </w:rPr>
            </w:pPr>
            <w:r>
              <w:rPr>
                <w:rFonts w:hint="eastAsia" w:ascii="宋体" w:hAnsi="宋体" w:cs="宋体"/>
                <w:szCs w:val="21"/>
              </w:rPr>
              <w:t>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1</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kern w:val="0"/>
                <w:szCs w:val="21"/>
                <w:lang w:bidi="ar"/>
              </w:rPr>
              <w:t>投标人不符合资格要求，或未提交相应的资格证明资料（详见招标公告</w:t>
            </w:r>
            <w:r>
              <w:rPr>
                <w:rFonts w:hint="eastAsia" w:ascii="宋体" w:hAnsi="宋体" w:cs="宋体"/>
                <w:szCs w:val="21"/>
              </w:rPr>
              <w:t>投标人资格要求，即申请人的资格要求</w:t>
            </w:r>
            <w:r>
              <w:rPr>
                <w:rFonts w:hint="eastAsia" w:ascii="宋体" w:hAnsi="宋体" w:cs="宋体"/>
                <w:kern w:val="0"/>
                <w:szCs w:val="21"/>
                <w:lang w:bidi="ar"/>
              </w:rPr>
              <w:t>）</w:t>
            </w:r>
          </w:p>
        </w:tc>
      </w:tr>
    </w:tbl>
    <w:p>
      <w:pPr>
        <w:pStyle w:val="38"/>
        <w:spacing w:before="280"/>
        <w:jc w:val="center"/>
        <w:outlineLvl w:val="1"/>
        <w:rPr>
          <w:rFonts w:ascii="黑体" w:hAnsi="黑体" w:eastAsia="黑体"/>
          <w:sz w:val="40"/>
          <w:szCs w:val="40"/>
        </w:rPr>
      </w:pPr>
      <w:r>
        <w:rPr>
          <w:rFonts w:hint="eastAsia" w:ascii="黑体" w:hAnsi="黑体" w:eastAsia="黑体"/>
          <w:sz w:val="40"/>
          <w:szCs w:val="40"/>
        </w:rPr>
        <w:t>符合性审查表</w:t>
      </w:r>
    </w:p>
    <w:tbl>
      <w:tblPr>
        <w:tblStyle w:val="44"/>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ascii="宋体" w:hAnsi="宋体" w:cs="宋体"/>
                <w:szCs w:val="21"/>
              </w:rPr>
            </w:pPr>
            <w:r>
              <w:rPr>
                <w:rFonts w:hint="eastAsia" w:ascii="宋体" w:hAnsi="宋体" w:cs="宋体"/>
                <w:szCs w:val="21"/>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ascii="宋体" w:hAnsi="宋体" w:cs="宋体"/>
                <w:szCs w:val="21"/>
              </w:rPr>
            </w:pPr>
            <w:r>
              <w:rPr>
                <w:rFonts w:hint="eastAsia" w:ascii="宋体" w:hAnsi="宋体" w:cs="宋体"/>
                <w:szCs w:val="21"/>
              </w:rPr>
              <w:t>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1</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不得将一个包的内容拆开投标；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2</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对同一项目投标时，不得提供两套以上的投标方案（招标文件另有规定的除外）；</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3</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分项报价或投标总价不得高于相应预算金额（或设定的预算金额下的最高限价）；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4</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所投货物、服务在技术、商务等方面没有实质性满足招标文件要求的（是否实质性满足招标文件要求，由评审委员会根据实质性条款响应情况做出评判；若招标文件未设置实质性条款，不得据此做投标无效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5</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未按招标文件所提供的样式填写《投标函》；未按招标文件所提供的《政府采购投标及履约承诺函》进行承诺；未按招标文件对投标文件组成的要求提供投标文件；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6</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采购标的/服务清单/报价等任意一类有缺漏项或响应不全，或者对招标文件规定的项目需求内容或者需求数量进行修改，评审委员会判定投标响应不满足采购需求；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7</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投标文件存在列放位置错误，导致属于信息公开情形的没有被公开；</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8</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投标文件电子文档不得带病毒；</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9</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投标文件不得用不属于本公司的电子密钥或电子营业执照进行加密；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10</w:t>
            </w:r>
          </w:p>
        </w:tc>
        <w:tc>
          <w:tcPr>
            <w:tcW w:w="8278" w:type="dxa"/>
            <w:tcBorders>
              <w:top w:val="single" w:color="000000" w:sz="8" w:space="0"/>
              <w:left w:val="single" w:color="000000" w:sz="8" w:space="0"/>
              <w:bottom w:val="single" w:color="000000" w:sz="8" w:space="0"/>
              <w:right w:val="single" w:color="000000" w:sz="8" w:space="0"/>
            </w:tcBorders>
          </w:tcPr>
          <w:p>
            <w:pPr>
              <w:widowControl/>
              <w:jc w:val="left"/>
              <w:textAlignment w:val="top"/>
              <w:rPr>
                <w:rFonts w:ascii="宋体" w:hAnsi="宋体" w:cs="宋体"/>
                <w:szCs w:val="21"/>
              </w:rPr>
            </w:pPr>
            <w:r>
              <w:rPr>
                <w:rFonts w:hint="eastAsia" w:ascii="宋体" w:hAnsi="宋体" w:cs="宋体"/>
                <w:szCs w:val="21"/>
              </w:rPr>
              <w:t>不得与其他投标供应商投标文件“文件制作机器码”一致；</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94"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ascii="宋体" w:hAnsi="宋体" w:cs="宋体"/>
                <w:szCs w:val="21"/>
              </w:rPr>
            </w:pPr>
            <w:r>
              <w:rPr>
                <w:rFonts w:hint="eastAsia" w:ascii="宋体" w:hAnsi="宋体" w:cs="宋体"/>
                <w:szCs w:val="21"/>
              </w:rPr>
              <w:t>11</w:t>
            </w:r>
          </w:p>
        </w:tc>
        <w:tc>
          <w:tcPr>
            <w:tcW w:w="8278" w:type="dxa"/>
            <w:tcBorders>
              <w:top w:val="single" w:color="000000" w:sz="8" w:space="0"/>
              <w:left w:val="single" w:color="000000" w:sz="8" w:space="0"/>
              <w:bottom w:val="single" w:color="000000" w:sz="8" w:space="0"/>
              <w:right w:val="single" w:color="000000" w:sz="8" w:space="0"/>
            </w:tcBorders>
          </w:tcPr>
          <w:p>
            <w:pPr>
              <w:widowControl/>
              <w:jc w:val="left"/>
              <w:textAlignment w:val="top"/>
              <w:rPr>
                <w:rFonts w:ascii="宋体" w:hAnsi="宋体" w:cs="宋体"/>
                <w:szCs w:val="21"/>
              </w:rPr>
            </w:pPr>
            <w:r>
              <w:rPr>
                <w:rFonts w:hint="eastAsia" w:ascii="宋体" w:hAnsi="宋体" w:cs="宋体"/>
                <w:szCs w:val="21"/>
              </w:rPr>
              <w:t>不得与其他投标供应商投标文件“文件创建标识码”一致；</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vAlign w:val="center"/>
          </w:tcPr>
          <w:p>
            <w:pPr>
              <w:widowControl/>
              <w:jc w:val="center"/>
              <w:textAlignment w:val="top"/>
              <w:rPr>
                <w:rFonts w:ascii="宋体" w:hAnsi="宋体" w:cs="宋体"/>
                <w:szCs w:val="21"/>
              </w:rPr>
            </w:pPr>
            <w:r>
              <w:rPr>
                <w:rFonts w:hint="eastAsia" w:ascii="宋体" w:hAnsi="宋体" w:cs="宋体"/>
                <w:szCs w:val="21"/>
              </w:rPr>
              <w:t>12</w:t>
            </w:r>
          </w:p>
        </w:tc>
        <w:tc>
          <w:tcPr>
            <w:tcW w:w="8278" w:type="dxa"/>
            <w:tcBorders>
              <w:top w:val="single" w:color="000000" w:sz="8" w:space="0"/>
              <w:left w:val="single" w:color="000000" w:sz="8" w:space="0"/>
              <w:bottom w:val="single" w:color="000000" w:sz="8" w:space="0"/>
              <w:right w:val="single" w:color="000000" w:sz="8" w:space="0"/>
            </w:tcBorders>
          </w:tcPr>
          <w:p>
            <w:pPr>
              <w:widowControl/>
              <w:jc w:val="left"/>
              <w:textAlignment w:val="top"/>
              <w:rPr>
                <w:rFonts w:ascii="宋体" w:hAnsi="宋体" w:cs="宋体"/>
                <w:szCs w:val="21"/>
              </w:rPr>
            </w:pPr>
            <w:r>
              <w:rPr>
                <w:rFonts w:hint="eastAsia" w:ascii="宋体" w:hAnsi="宋体" w:cs="宋体"/>
                <w:szCs w:val="21"/>
              </w:rPr>
              <w:t>投标供应商不得选用《关于在政府采购活动中对有关美国企业采取相关措施的通知》列明的46家美国企业（不包括在华美资企业）生产的产品参与投标。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ascii="宋体" w:hAnsi="宋体" w:cs="宋体"/>
                <w:szCs w:val="21"/>
              </w:rPr>
            </w:pPr>
            <w:r>
              <w:rPr>
                <w:rFonts w:hint="eastAsia" w:ascii="宋体" w:hAnsi="宋体" w:cs="宋体"/>
                <w:szCs w:val="21"/>
              </w:rPr>
              <w:t>13</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法律、法规、规章、规范性文件规定的其他情形。</w:t>
            </w:r>
          </w:p>
        </w:tc>
      </w:tr>
    </w:tbl>
    <w:p>
      <w:pPr>
        <w:pStyle w:val="38"/>
        <w:jc w:val="center"/>
        <w:rPr>
          <w:rFonts w:ascii="黑体" w:hAnsi="黑体" w:eastAsia="黑体"/>
          <w:sz w:val="40"/>
          <w:szCs w:val="40"/>
        </w:rPr>
      </w:pPr>
    </w:p>
    <w:p>
      <w:pPr>
        <w:widowControl/>
        <w:spacing w:beforeAutospacing="1" w:afterAutospacing="1"/>
        <w:jc w:val="center"/>
        <w:outlineLvl w:val="1"/>
        <w:rPr>
          <w:rFonts w:ascii="黑体" w:hAnsi="宋体" w:eastAsia="黑体" w:cs="黑体"/>
          <w:kern w:val="0"/>
          <w:sz w:val="40"/>
          <w:szCs w:val="40"/>
          <w:highlight w:val="cyan"/>
        </w:rPr>
      </w:pPr>
      <w:bookmarkStart w:id="0" w:name="OLE_LINK39"/>
      <w:r>
        <w:rPr>
          <w:rFonts w:hint="eastAsia" w:ascii="黑体" w:hAnsi="宋体" w:eastAsia="黑体" w:cs="黑体"/>
          <w:kern w:val="0"/>
          <w:sz w:val="40"/>
          <w:szCs w:val="40"/>
          <w:highlight w:val="cyan"/>
        </w:rPr>
        <w:t>异常低价审查表</w:t>
      </w:r>
    </w:p>
    <w:bookmarkEnd w:id="0"/>
    <w:tbl>
      <w:tblPr>
        <w:tblStyle w:val="44"/>
        <w:tblW w:w="907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8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pPr>
              <w:widowControl/>
              <w:jc w:val="center"/>
              <w:rPr>
                <w:szCs w:val="21"/>
              </w:rPr>
            </w:pPr>
            <w:r>
              <w:rPr>
                <w:rFonts w:ascii="宋体" w:hAnsi="宋体" w:cs="宋体"/>
                <w:kern w:val="0"/>
                <w:szCs w:val="21"/>
                <w:lang w:bidi="ar"/>
              </w:rPr>
              <w:t>序号</w:t>
            </w:r>
          </w:p>
        </w:tc>
        <w:tc>
          <w:tcPr>
            <w:tcW w:w="8284" w:type="dxa"/>
            <w:tcBorders>
              <w:top w:val="single" w:color="000000" w:sz="8" w:space="0"/>
              <w:left w:val="single" w:color="000000" w:sz="8" w:space="0"/>
              <w:bottom w:val="single" w:color="000000" w:sz="8" w:space="0"/>
              <w:right w:val="single" w:color="000000" w:sz="8" w:space="0"/>
            </w:tcBorders>
            <w:shd w:val="clear" w:color="auto" w:fill="E6EFFA"/>
            <w:vAlign w:val="center"/>
          </w:tcPr>
          <w:p>
            <w:pPr>
              <w:widowControl/>
              <w:jc w:val="center"/>
              <w:rPr>
                <w:szCs w:val="21"/>
              </w:rPr>
            </w:pPr>
            <w:r>
              <w:rPr>
                <w:rFonts w:ascii="宋体" w:hAnsi="宋体" w:cs="宋体"/>
                <w:kern w:val="0"/>
                <w:szCs w:val="21"/>
                <w:lang w:bidi="ar"/>
              </w:rPr>
              <w:t>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jc w:val="center"/>
              <w:textAlignment w:val="top"/>
              <w:rPr>
                <w:szCs w:val="21"/>
              </w:rPr>
            </w:pPr>
            <w:r>
              <w:rPr>
                <w:rFonts w:hint="eastAsia" w:ascii="宋体" w:hAnsi="宋体" w:cs="宋体"/>
                <w:kern w:val="0"/>
                <w:szCs w:val="21"/>
                <w:lang w:bidi="ar"/>
              </w:rPr>
              <w:t>1</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rFonts w:ascii="宋体" w:hAnsi="宋体" w:cs="宋体"/>
                <w:szCs w:val="21"/>
              </w:rPr>
            </w:pPr>
            <w:r>
              <w:rPr>
                <w:rFonts w:hint="eastAsia" w:ascii="宋体" w:hAnsi="宋体" w:cs="宋体"/>
                <w:szCs w:val="21"/>
              </w:rPr>
              <w:t>评审中出现下列情形之一的，评审委员会应当启动异常低价投标（响应）审查程序：</w:t>
            </w:r>
          </w:p>
          <w:p>
            <w:pPr>
              <w:widowControl/>
              <w:jc w:val="left"/>
              <w:textAlignment w:val="top"/>
              <w:rPr>
                <w:rFonts w:ascii="宋体" w:hAnsi="宋体" w:cs="宋体"/>
                <w:szCs w:val="21"/>
              </w:rPr>
            </w:pPr>
            <w:r>
              <w:rPr>
                <w:rFonts w:hint="eastAsia" w:ascii="宋体" w:hAnsi="宋体" w:cs="宋体"/>
                <w:szCs w:val="21"/>
              </w:rPr>
              <w:t>1.投标（响应）报价低于全部通过符合性审查供应商投标（响应）报价平均值</w:t>
            </w:r>
            <w:r>
              <w:rPr>
                <w:rFonts w:hint="eastAsia" w:ascii="宋体" w:hAnsi="宋体" w:cs="宋体"/>
                <w:szCs w:val="21"/>
                <w:lang w:val="en-US" w:eastAsia="zh-CN"/>
              </w:rPr>
              <w:t>65</w:t>
            </w:r>
            <w:r>
              <w:rPr>
                <w:rFonts w:hint="eastAsia" w:ascii="宋体" w:hAnsi="宋体" w:cs="宋体"/>
                <w:szCs w:val="21"/>
              </w:rPr>
              <w:t>%的，即投标（响应）报价&lt;全部通过符合性审查供应商投标（响应）报价平均值×</w:t>
            </w:r>
            <w:r>
              <w:rPr>
                <w:rFonts w:hint="eastAsia" w:ascii="宋体" w:hAnsi="宋体" w:cs="宋体"/>
                <w:szCs w:val="21"/>
                <w:lang w:val="en-US" w:eastAsia="zh-CN"/>
              </w:rPr>
              <w:t>65</w:t>
            </w:r>
            <w:r>
              <w:rPr>
                <w:rFonts w:hint="eastAsia" w:ascii="宋体" w:hAnsi="宋体" w:cs="宋体"/>
                <w:szCs w:val="21"/>
              </w:rPr>
              <w:t>%；</w:t>
            </w:r>
          </w:p>
          <w:p>
            <w:pPr>
              <w:widowControl/>
              <w:jc w:val="left"/>
              <w:textAlignment w:val="top"/>
              <w:rPr>
                <w:rFonts w:ascii="宋体" w:hAnsi="宋体" w:cs="宋体"/>
                <w:szCs w:val="21"/>
              </w:rPr>
            </w:pPr>
          </w:p>
          <w:p>
            <w:pPr>
              <w:widowControl/>
              <w:jc w:val="left"/>
              <w:textAlignment w:val="top"/>
              <w:rPr>
                <w:rFonts w:ascii="宋体" w:hAnsi="宋体" w:cs="宋体"/>
                <w:szCs w:val="21"/>
              </w:rPr>
            </w:pPr>
            <w:r>
              <w:rPr>
                <w:rFonts w:hint="eastAsia" w:ascii="宋体" w:hAnsi="宋体" w:cs="宋体"/>
                <w:szCs w:val="21"/>
              </w:rPr>
              <w:t>2.投标（响应）报价低于通过符合性审查的次低报价供应商投标（响应）报价</w:t>
            </w:r>
            <w:r>
              <w:rPr>
                <w:rFonts w:hint="eastAsia" w:ascii="宋体" w:hAnsi="宋体" w:cs="宋体"/>
                <w:szCs w:val="21"/>
                <w:lang w:val="en-US" w:eastAsia="zh-CN"/>
              </w:rPr>
              <w:t>65</w:t>
            </w:r>
            <w:r>
              <w:rPr>
                <w:rFonts w:hint="eastAsia" w:ascii="宋体" w:hAnsi="宋体" w:cs="宋体"/>
                <w:szCs w:val="21"/>
              </w:rPr>
              <w:t>%的，即投标（响应）报价&lt;通过符合性审查的次低报价供应商投标（响应）报价×</w:t>
            </w:r>
            <w:r>
              <w:rPr>
                <w:rFonts w:hint="eastAsia" w:ascii="宋体" w:hAnsi="宋体" w:cs="宋体"/>
                <w:szCs w:val="21"/>
                <w:lang w:val="en-US" w:eastAsia="zh-CN"/>
              </w:rPr>
              <w:t>65</w:t>
            </w:r>
            <w:r>
              <w:rPr>
                <w:rFonts w:hint="eastAsia" w:ascii="宋体" w:hAnsi="宋体" w:cs="宋体"/>
                <w:szCs w:val="21"/>
              </w:rPr>
              <w:t>%；</w:t>
            </w:r>
          </w:p>
          <w:p>
            <w:pPr>
              <w:widowControl/>
              <w:jc w:val="left"/>
              <w:textAlignment w:val="top"/>
              <w:rPr>
                <w:rFonts w:ascii="宋体" w:hAnsi="宋体" w:cs="宋体"/>
                <w:szCs w:val="21"/>
              </w:rPr>
            </w:pPr>
          </w:p>
          <w:p>
            <w:pPr>
              <w:widowControl/>
              <w:jc w:val="left"/>
              <w:textAlignment w:val="top"/>
              <w:rPr>
                <w:rFonts w:ascii="宋体" w:hAnsi="宋体" w:cs="宋体"/>
                <w:szCs w:val="21"/>
              </w:rPr>
            </w:pPr>
            <w:r>
              <w:rPr>
                <w:rFonts w:hint="eastAsia" w:ascii="宋体" w:hAnsi="宋体" w:cs="宋体"/>
                <w:szCs w:val="21"/>
              </w:rPr>
              <w:t>3.投标（响应）报价低于采购项目最高限价</w:t>
            </w:r>
            <w:r>
              <w:rPr>
                <w:rFonts w:hint="eastAsia" w:ascii="宋体" w:hAnsi="宋体" w:cs="宋体"/>
                <w:szCs w:val="21"/>
                <w:lang w:val="en-US" w:eastAsia="zh-CN"/>
              </w:rPr>
              <w:t>65</w:t>
            </w:r>
            <w:r>
              <w:rPr>
                <w:rFonts w:hint="eastAsia" w:ascii="宋体" w:hAnsi="宋体" w:cs="宋体"/>
                <w:szCs w:val="21"/>
              </w:rPr>
              <w:t>%的，即投标（响应）报价&lt;采购项目最高限价×</w:t>
            </w:r>
            <w:r>
              <w:rPr>
                <w:rFonts w:hint="eastAsia" w:ascii="宋体" w:hAnsi="宋体" w:cs="宋体"/>
                <w:szCs w:val="21"/>
                <w:lang w:val="en-US" w:eastAsia="zh-CN"/>
              </w:rPr>
              <w:t>65</w:t>
            </w:r>
            <w:r>
              <w:rPr>
                <w:rFonts w:hint="eastAsia" w:ascii="宋体" w:hAnsi="宋体" w:cs="宋体"/>
                <w:szCs w:val="21"/>
              </w:rPr>
              <w:t>%；</w:t>
            </w:r>
          </w:p>
          <w:p>
            <w:pPr>
              <w:widowControl/>
              <w:jc w:val="left"/>
              <w:textAlignment w:val="top"/>
              <w:rPr>
                <w:rFonts w:ascii="宋体" w:hAnsi="宋体" w:cs="宋体"/>
                <w:szCs w:val="21"/>
              </w:rPr>
            </w:pPr>
          </w:p>
          <w:p>
            <w:pPr>
              <w:widowControl/>
              <w:jc w:val="left"/>
              <w:textAlignment w:val="top"/>
              <w:rPr>
                <w:rFonts w:ascii="宋体" w:hAnsi="宋体" w:cs="宋体"/>
                <w:szCs w:val="21"/>
              </w:rPr>
            </w:pPr>
            <w:r>
              <w:rPr>
                <w:rFonts w:hint="eastAsia" w:ascii="宋体" w:hAnsi="宋体" w:cs="宋体"/>
                <w:szCs w:val="21"/>
              </w:rPr>
              <w:t>4.评审委员会基于专业判断，认为供应商报价过低，有可能影响产品质量或者不能诚信履约的其他情形。</w:t>
            </w:r>
          </w:p>
          <w:p>
            <w:pPr>
              <w:widowControl/>
              <w:jc w:val="left"/>
              <w:textAlignment w:val="top"/>
              <w:rPr>
                <w:rFonts w:ascii="宋体" w:hAnsi="宋体" w:cs="宋体"/>
                <w:szCs w:val="21"/>
              </w:rPr>
            </w:pPr>
          </w:p>
          <w:p>
            <w:pPr>
              <w:widowControl/>
              <w:jc w:val="left"/>
              <w:textAlignment w:val="top"/>
              <w:rPr>
                <w:rFonts w:ascii="宋体" w:hAnsi="宋体" w:cs="宋体"/>
                <w:szCs w:val="21"/>
              </w:rPr>
            </w:pPr>
            <w:r>
              <w:rPr>
                <w:rFonts w:hint="eastAsia" w:ascii="宋体" w:hAnsi="宋体" w:cs="宋体"/>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widowControl/>
              <w:jc w:val="left"/>
              <w:textAlignment w:val="top"/>
              <w:rPr>
                <w:rFonts w:ascii="宋体" w:hAnsi="宋体" w:cs="宋体"/>
                <w:szCs w:val="21"/>
              </w:rPr>
            </w:pPr>
          </w:p>
          <w:p>
            <w:pPr>
              <w:widowControl/>
              <w:jc w:val="left"/>
              <w:textAlignment w:val="top"/>
              <w:rPr>
                <w:szCs w:val="21"/>
              </w:rPr>
            </w:pPr>
            <w:r>
              <w:rPr>
                <w:rFonts w:hint="eastAsia" w:ascii="宋体" w:hAnsi="宋体" w:cs="宋体"/>
                <w:szCs w:val="21"/>
              </w:rPr>
              <w:t>评审委员会依据专业经验，参考同类项目中标（成交）价格、类似产品市场价格水平、行业人工费用标准、国家有关部门指导行业协会发布的行业平均成本等情况，对报价合理性进行判断。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cs="宋体"/>
                <w:b/>
                <w:bCs/>
                <w:szCs w:val="21"/>
              </w:rPr>
              <w:t>投标（响应）供应商不能提供书面说明、证明材料，或者提供的书面说明、证明材料不能证明其报价合理性的，评审委员会应当将其作为无效投标（响应）处理。</w:t>
            </w:r>
          </w:p>
        </w:tc>
      </w:tr>
    </w:tbl>
    <w:p>
      <w:pPr>
        <w:pStyle w:val="38"/>
        <w:jc w:val="center"/>
        <w:rPr>
          <w:rFonts w:ascii="黑体" w:hAnsi="黑体" w:eastAsia="黑体"/>
          <w:sz w:val="40"/>
          <w:szCs w:val="40"/>
        </w:rPr>
      </w:pPr>
    </w:p>
    <w:p>
      <w:pPr>
        <w:pStyle w:val="38"/>
        <w:jc w:val="center"/>
        <w:outlineLvl w:val="1"/>
        <w:rPr>
          <w:rFonts w:ascii="黑体" w:hAnsi="黑体" w:eastAsia="黑体"/>
          <w:sz w:val="40"/>
          <w:szCs w:val="40"/>
        </w:rPr>
        <w:sectPr>
          <w:pgSz w:w="11907" w:h="16840"/>
          <w:pgMar w:top="1440" w:right="1417" w:bottom="1440" w:left="1417" w:header="851" w:footer="992" w:gutter="0"/>
          <w:cols w:space="425" w:num="1"/>
          <w:titlePg/>
          <w:docGrid w:linePitch="462" w:charSpace="0"/>
        </w:sectPr>
      </w:pPr>
    </w:p>
    <w:p>
      <w:pPr>
        <w:pStyle w:val="38"/>
        <w:jc w:val="center"/>
        <w:outlineLvl w:val="1"/>
        <w:rPr>
          <w:rFonts w:ascii="黑体" w:hAnsi="黑体" w:eastAsia="黑体"/>
          <w:sz w:val="40"/>
          <w:szCs w:val="40"/>
        </w:rPr>
      </w:pPr>
      <w:r>
        <w:rPr>
          <w:rFonts w:hint="eastAsia" w:ascii="黑体" w:hAnsi="黑体" w:eastAsia="黑体"/>
          <w:sz w:val="40"/>
          <w:szCs w:val="40"/>
        </w:rPr>
        <w:t>评标信息</w:t>
      </w:r>
    </w:p>
    <w:tbl>
      <w:tblPr>
        <w:tblStyle w:val="44"/>
        <w:tblW w:w="9113" w:type="dxa"/>
        <w:jc w:val="center"/>
        <w:tblCellSpacing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45" w:type="dxa"/>
          <w:left w:w="45" w:type="dxa"/>
          <w:bottom w:w="45" w:type="dxa"/>
          <w:right w:w="45" w:type="dxa"/>
        </w:tblCellMar>
      </w:tblPr>
      <w:tblGrid>
        <w:gridCol w:w="8873"/>
        <w:gridCol w:w="240"/>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45" w:type="dxa"/>
            <w:left w:w="45" w:type="dxa"/>
            <w:bottom w:w="45" w:type="dxa"/>
            <w:right w:w="45" w:type="dxa"/>
          </w:tblCellMar>
        </w:tblPrEx>
        <w:trPr>
          <w:tblCellSpacing w:w="0" w:type="dxa"/>
          <w:jc w:val="center"/>
        </w:trPr>
        <w:tc>
          <w:tcPr>
            <w:tcW w:w="8873" w:type="dxa"/>
            <w:shd w:val="clear" w:color="auto" w:fill="auto"/>
            <w:vAlign w:val="center"/>
          </w:tcPr>
          <w:p>
            <w:pPr>
              <w:widowControl/>
              <w:jc w:val="left"/>
              <w:rPr>
                <w:rFonts w:ascii="宋体" w:hAnsi="宋体" w:cs="宋体"/>
                <w:b/>
                <w:bCs/>
                <w:szCs w:val="21"/>
              </w:rPr>
            </w:pPr>
            <w:r>
              <w:rPr>
                <w:rFonts w:hint="eastAsia" w:ascii="宋体" w:hAnsi="宋体" w:cs="宋体"/>
                <w:b/>
                <w:bCs/>
                <w:szCs w:val="21"/>
              </w:rPr>
              <w:t>评标方法：综合评分法</w:t>
            </w:r>
          </w:p>
        </w:tc>
        <w:tc>
          <w:tcPr>
            <w:tcW w:w="240" w:type="dxa"/>
            <w:shd w:val="clear" w:color="auto" w:fill="auto"/>
            <w:vAlign w:val="center"/>
          </w:tcPr>
          <w:p>
            <w:pPr>
              <w:jc w:val="right"/>
              <w:rPr>
                <w:rFonts w:ascii="宋体" w:hAnsi="宋体" w:cs="宋体"/>
                <w:b/>
                <w:bCs/>
                <w:szCs w:val="21"/>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45" w:type="dxa"/>
            <w:left w:w="45" w:type="dxa"/>
            <w:bottom w:w="45" w:type="dxa"/>
            <w:right w:w="45" w:type="dxa"/>
          </w:tblCellMar>
        </w:tblPrEx>
        <w:trPr>
          <w:tblCellSpacing w:w="0" w:type="dxa"/>
          <w:jc w:val="center"/>
        </w:trPr>
        <w:tc>
          <w:tcPr>
            <w:tcW w:w="9113" w:type="dxa"/>
            <w:gridSpan w:val="2"/>
            <w:shd w:val="clear" w:color="auto" w:fill="auto"/>
            <w:vAlign w:val="center"/>
          </w:tcPr>
          <w:p>
            <w:pPr>
              <w:spacing w:before="240" w:beforeLines="100"/>
              <w:ind w:firstLine="420"/>
              <w:rPr>
                <w:rFonts w:ascii="宋体" w:hAnsi="宋体" w:cs="宋体"/>
                <w:szCs w:val="21"/>
              </w:rPr>
            </w:pPr>
            <w:r>
              <w:rPr>
                <w:rFonts w:hint="eastAsia" w:ascii="宋体" w:hAnsi="宋体" w:cs="宋体"/>
                <w:szCs w:val="21"/>
              </w:rPr>
              <w:t>综合评分法，是指</w:t>
            </w:r>
            <w:r>
              <w:rPr>
                <w:rFonts w:hint="eastAsia" w:ascii="宋体" w:hAnsi="宋体" w:cs="宋体"/>
                <w:kern w:val="0"/>
                <w:szCs w:val="21"/>
              </w:rPr>
              <w:t>投标文件满足招标文件全部实质性要求</w:t>
            </w:r>
            <w:r>
              <w:rPr>
                <w:rFonts w:hint="eastAsia" w:ascii="宋体" w:hAnsi="宋体" w:cs="宋体"/>
                <w:szCs w:val="21"/>
              </w:rPr>
              <w:t>，且按照评审因素的量化指标评审得分排名前列的投标人为中标候选人的评标方法。（适用于中标候选人为2家或以上的情形）</w:t>
            </w:r>
          </w:p>
          <w:p>
            <w:pPr>
              <w:spacing w:before="240" w:beforeLines="100"/>
              <w:ind w:firstLine="420"/>
              <w:rPr>
                <w:rFonts w:ascii="宋体" w:hAnsi="宋体" w:cs="宋体"/>
                <w:szCs w:val="21"/>
              </w:rPr>
            </w:pPr>
            <w:r>
              <w:rPr>
                <w:rFonts w:hint="eastAsia" w:ascii="宋体" w:hAnsi="宋体" w:cs="宋体"/>
                <w:szCs w:val="21"/>
              </w:rPr>
              <w:t>价格分计算方法：</w:t>
            </w:r>
          </w:p>
          <w:p>
            <w:pPr>
              <w:widowControl/>
              <w:ind w:left="420"/>
              <w:jc w:val="left"/>
              <w:rPr>
                <w:rFonts w:ascii="宋体" w:hAnsi="宋体" w:cs="宋体"/>
                <w:szCs w:val="21"/>
              </w:rPr>
            </w:pPr>
            <w:r>
              <w:rPr>
                <w:rFonts w:hint="eastAsia" w:ascii="宋体" w:hAnsi="宋体" w:cs="宋体"/>
                <w:szCs w:val="21"/>
              </w:rPr>
              <w:t xml:space="preserve">采用低价优先法计算，即满足招标文件要求且投标价格最低的投标报价为评标基准价，其价格分为满分。其他投标人的价格分统一按照下列公式计算： </w:t>
            </w:r>
            <w:r>
              <w:rPr>
                <w:rFonts w:hint="eastAsia" w:ascii="宋体" w:hAnsi="宋体" w:cs="宋体"/>
                <w:szCs w:val="21"/>
              </w:rPr>
              <w:br w:type="textWrapping"/>
            </w:r>
            <w:r>
              <w:rPr>
                <w:rFonts w:hint="eastAsia" w:ascii="宋体" w:hAnsi="宋体" w:cs="宋体"/>
                <w:szCs w:val="21"/>
              </w:rPr>
              <w:t xml:space="preserve">投标报价得分=(评标基准价／投标报价)×100 </w:t>
            </w:r>
            <w:r>
              <w:rPr>
                <w:rFonts w:hint="eastAsia" w:ascii="宋体" w:hAnsi="宋体" w:cs="宋体"/>
                <w:szCs w:val="21"/>
              </w:rPr>
              <w:br w:type="textWrapping"/>
            </w:r>
            <w:r>
              <w:rPr>
                <w:rFonts w:hint="eastAsia" w:ascii="宋体" w:hAnsi="宋体" w:cs="宋体"/>
                <w:szCs w:val="21"/>
              </w:rPr>
              <w:t xml:space="preserve">评标总得分＝F1×A1＋F2×A2＋……＋Fn×An </w:t>
            </w:r>
            <w:r>
              <w:rPr>
                <w:rFonts w:hint="eastAsia" w:ascii="宋体" w:hAnsi="宋体" w:cs="宋体"/>
                <w:szCs w:val="21"/>
              </w:rPr>
              <w:br w:type="textWrapping"/>
            </w:r>
            <w:r>
              <w:rPr>
                <w:rFonts w:hint="eastAsia" w:ascii="宋体" w:hAnsi="宋体" w:cs="宋体"/>
                <w:szCs w:val="21"/>
              </w:rPr>
              <w:t xml:space="preserve">F1、F2……Fn分别为各项评审因素的得分； </w:t>
            </w:r>
            <w:r>
              <w:rPr>
                <w:rFonts w:hint="eastAsia" w:ascii="宋体" w:hAnsi="宋体" w:cs="宋体"/>
                <w:szCs w:val="21"/>
              </w:rPr>
              <w:br w:type="textWrapping"/>
            </w:r>
            <w:r>
              <w:rPr>
                <w:rFonts w:hint="eastAsia" w:ascii="宋体" w:hAnsi="宋体" w:cs="宋体"/>
                <w:szCs w:val="21"/>
              </w:rPr>
              <w:t xml:space="preserve">A1、A2、……An 分别为各项评审因素所占的权重(A1＋A2＋……＋An＝1)。 </w:t>
            </w:r>
            <w:r>
              <w:rPr>
                <w:rFonts w:hint="eastAsia" w:ascii="宋体" w:hAnsi="宋体" w:cs="宋体"/>
                <w:szCs w:val="21"/>
              </w:rPr>
              <w:br w:type="textWrapping"/>
            </w:r>
            <w:r>
              <w:rPr>
                <w:rFonts w:hint="eastAsia" w:ascii="宋体" w:hAnsi="宋体" w:cs="宋体"/>
                <w:szCs w:val="21"/>
              </w:rPr>
              <w:t>评标过程中，不得去掉报价中的最高报价和最低报价。</w:t>
            </w:r>
          </w:p>
          <w:p>
            <w:pPr>
              <w:widowControl/>
              <w:ind w:left="420"/>
              <w:jc w:val="left"/>
              <w:rPr>
                <w:rFonts w:ascii="宋体" w:hAnsi="宋体" w:cs="宋体"/>
                <w:kern w:val="0"/>
                <w:szCs w:val="21"/>
              </w:rPr>
            </w:pPr>
            <w:r>
              <w:rPr>
                <w:rFonts w:hint="eastAsia" w:ascii="宋体" w:hAnsi="宋体" w:cs="宋体"/>
                <w:szCs w:val="21"/>
              </w:rPr>
              <w:t>因落实政府采购政策进行价格调整的，以调整后的价格计算评标基准价和投标报价。</w:t>
            </w:r>
          </w:p>
        </w:tc>
      </w:tr>
    </w:tbl>
    <w:p>
      <w:pPr>
        <w:rPr>
          <w:vanish/>
        </w:rPr>
      </w:pPr>
    </w:p>
    <w:p>
      <w:pPr>
        <w:rPr>
          <w:rFonts w:ascii="宋体" w:hAnsi="宋体"/>
          <w:sz w:val="24"/>
        </w:rPr>
      </w:pPr>
    </w:p>
    <w:tbl>
      <w:tblPr>
        <w:tblStyle w:val="44"/>
        <w:tblW w:w="9639"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686"/>
        <w:gridCol w:w="1661"/>
        <w:gridCol w:w="1200"/>
        <w:gridCol w:w="1110"/>
        <w:gridCol w:w="4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4657" w:type="dxa"/>
            <w:gridSpan w:val="4"/>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评分项</w:t>
            </w:r>
          </w:p>
        </w:tc>
        <w:tc>
          <w:tcPr>
            <w:tcW w:w="425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权重</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4657" w:type="dxa"/>
            <w:gridSpan w:val="4"/>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价格</w:t>
            </w:r>
          </w:p>
        </w:tc>
        <w:tc>
          <w:tcPr>
            <w:tcW w:w="425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blCellSpacing w:w="0" w:type="dxa"/>
          <w:jc w:val="center"/>
        </w:trPr>
        <w:tc>
          <w:tcPr>
            <w:tcW w:w="73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4657" w:type="dxa"/>
            <w:gridSpan w:val="4"/>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技术部分</w:t>
            </w:r>
          </w:p>
        </w:tc>
        <w:tc>
          <w:tcPr>
            <w:tcW w:w="425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strike w:val="0"/>
                <w:dstrike w:val="0"/>
                <w:color w:val="000000" w:themeColor="text1"/>
                <w:sz w:val="21"/>
                <w:szCs w:val="21"/>
                <w:highlight w:val="none"/>
                <w:lang w:val="en-US" w:eastAsia="zh-CN"/>
                <w14:textFill>
                  <w14:solidFill>
                    <w14:schemeClr w14:val="tx1"/>
                  </w14:solidFill>
                </w14:textFill>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vMerge w:val="restart"/>
            <w:tcBorders>
              <w:top w:val="single" w:color="auto" w:sz="4" w:space="0"/>
              <w:left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686"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66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评分因素</w:t>
            </w:r>
          </w:p>
        </w:tc>
        <w:tc>
          <w:tcPr>
            <w:tcW w:w="120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权重</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eastAsia="zh-CN"/>
                <w14:textFill>
                  <w14:solidFill>
                    <w14:schemeClr w14:val="tx1"/>
                  </w14:solidFill>
                </w14:textFill>
              </w:rPr>
              <w:t>）</w:t>
            </w:r>
          </w:p>
        </w:tc>
        <w:tc>
          <w:tcPr>
            <w:tcW w:w="111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评分方式</w:t>
            </w:r>
          </w:p>
        </w:tc>
        <w:tc>
          <w:tcPr>
            <w:tcW w:w="425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vMerge w:val="continue"/>
            <w:tcBorders>
              <w:left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686"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66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实施方案</w:t>
            </w:r>
          </w:p>
        </w:tc>
        <w:tc>
          <w:tcPr>
            <w:tcW w:w="120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p>
        </w:tc>
        <w:tc>
          <w:tcPr>
            <w:tcW w:w="111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专家打分</w:t>
            </w:r>
          </w:p>
        </w:tc>
        <w:tc>
          <w:tcPr>
            <w:tcW w:w="4251" w:type="dxa"/>
            <w:tcBorders>
              <w:top w:val="single" w:color="auto" w:sz="4" w:space="0"/>
              <w:left w:val="single" w:color="auto" w:sz="4" w:space="0"/>
              <w:bottom w:val="single" w:color="auto" w:sz="4" w:space="0"/>
              <w:right w:val="single" w:color="auto" w:sz="4" w:space="0"/>
            </w:tcBorders>
            <w:vAlign w:val="top"/>
          </w:tcPr>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（一）评分内容：</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考察投标人</w:t>
            </w:r>
            <w:r>
              <w:rPr>
                <w:rFonts w:hint="eastAsia" w:ascii="宋体" w:hAnsi="宋体" w:cs="宋体"/>
                <w:color w:val="000000" w:themeColor="text1"/>
                <w:sz w:val="21"/>
                <w:szCs w:val="21"/>
                <w:highlight w:val="none"/>
                <w:lang w:val="en-US" w:eastAsia="zh-CN"/>
                <w14:textFill>
                  <w14:solidFill>
                    <w14:schemeClr w14:val="tx1"/>
                  </w14:solidFill>
                </w14:textFill>
              </w:rPr>
              <w:t>实施</w:t>
            </w:r>
            <w:r>
              <w:rPr>
                <w:rFonts w:hint="eastAsia" w:ascii="宋体" w:hAnsi="宋体" w:eastAsia="宋体" w:cs="宋体"/>
                <w:color w:val="000000" w:themeColor="text1"/>
                <w:sz w:val="21"/>
                <w:szCs w:val="21"/>
                <w:highlight w:val="none"/>
                <w14:textFill>
                  <w14:solidFill>
                    <w14:schemeClr w14:val="tx1"/>
                  </w14:solidFill>
                </w14:textFill>
              </w:rPr>
              <w:t>方案承诺情况，按照《</w:t>
            </w:r>
            <w:r>
              <w:rPr>
                <w:rFonts w:hint="eastAsia" w:ascii="宋体" w:hAnsi="宋体" w:cs="宋体"/>
                <w:color w:val="000000" w:themeColor="text1"/>
                <w:sz w:val="21"/>
                <w:szCs w:val="21"/>
                <w:highlight w:val="none"/>
                <w:lang w:val="en-US" w:eastAsia="zh-CN"/>
                <w14:textFill>
                  <w14:solidFill>
                    <w14:schemeClr w14:val="tx1"/>
                  </w14:solidFill>
                </w14:textFill>
              </w:rPr>
              <w:t>实施</w:t>
            </w:r>
            <w:r>
              <w:rPr>
                <w:rFonts w:hint="eastAsia" w:ascii="宋体" w:hAnsi="宋体" w:eastAsia="宋体" w:cs="宋体"/>
                <w:color w:val="000000" w:themeColor="text1"/>
                <w:sz w:val="21"/>
                <w:szCs w:val="21"/>
                <w:highlight w:val="none"/>
                <w14:textFill>
                  <w14:solidFill>
                    <w14:schemeClr w14:val="tx1"/>
                  </w14:solidFill>
                </w14:textFill>
              </w:rPr>
              <w:t>方案承诺函》进行承诺即得100分，未按要求承诺不得分。</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（二）评分依据：</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投标人按要求提供《</w:t>
            </w:r>
            <w:r>
              <w:rPr>
                <w:rFonts w:hint="eastAsia" w:ascii="宋体" w:hAnsi="宋体" w:cs="宋体"/>
                <w:color w:val="000000" w:themeColor="text1"/>
                <w:sz w:val="21"/>
                <w:szCs w:val="21"/>
                <w:highlight w:val="none"/>
                <w:lang w:val="en-US" w:eastAsia="zh-CN"/>
                <w14:textFill>
                  <w14:solidFill>
                    <w14:schemeClr w14:val="tx1"/>
                  </w14:solidFill>
                </w14:textFill>
              </w:rPr>
              <w:t>实施</w:t>
            </w:r>
            <w:r>
              <w:rPr>
                <w:rFonts w:hint="eastAsia" w:ascii="宋体" w:hAnsi="宋体" w:eastAsia="宋体" w:cs="宋体"/>
                <w:color w:val="000000" w:themeColor="text1"/>
                <w:sz w:val="21"/>
                <w:szCs w:val="21"/>
                <w:highlight w:val="none"/>
                <w14:textFill>
                  <w14:solidFill>
                    <w14:schemeClr w14:val="tx1"/>
                  </w14:solidFill>
                </w14:textFill>
              </w:rPr>
              <w:t>方案承诺函》（承诺函格式详见“投标文件组成要求及格式”中“</w:t>
            </w:r>
            <w:r>
              <w:rPr>
                <w:rFonts w:hint="eastAsia" w:ascii="宋体" w:hAnsi="宋体" w:eastAsia="宋体" w:cs="宋体"/>
                <w:color w:val="000000" w:themeColor="text1"/>
                <w:sz w:val="21"/>
                <w:szCs w:val="21"/>
                <w:highlight w:val="none"/>
                <w:lang w:val="en-US" w:eastAsia="zh-CN"/>
                <w14:textFill>
                  <w14:solidFill>
                    <w14:schemeClr w14:val="tx1"/>
                  </w14:solidFill>
                </w14:textFill>
              </w:rPr>
              <w:t>实施</w:t>
            </w:r>
            <w:r>
              <w:rPr>
                <w:rFonts w:hint="eastAsia" w:ascii="宋体" w:hAnsi="宋体" w:eastAsia="宋体" w:cs="宋体"/>
                <w:color w:val="000000" w:themeColor="text1"/>
                <w:sz w:val="21"/>
                <w:szCs w:val="21"/>
                <w:highlight w:val="none"/>
                <w14:textFill>
                  <w14:solidFill>
                    <w14:schemeClr w14:val="tx1"/>
                  </w14:solidFill>
                </w14:textFill>
              </w:rPr>
              <w:t>方案承诺函”，不按要求承诺不得分）。（未提供或未按要求提供或提供的资料不清晰导致专家无法判断的，不得分）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vMerge w:val="restart"/>
            <w:tcBorders>
              <w:left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686"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66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项目重点难点分析、应对措施及相关的合理化建议</w:t>
            </w:r>
          </w:p>
        </w:tc>
        <w:tc>
          <w:tcPr>
            <w:tcW w:w="120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p>
        </w:tc>
        <w:tc>
          <w:tcPr>
            <w:tcW w:w="111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专家打分</w:t>
            </w:r>
          </w:p>
        </w:tc>
        <w:tc>
          <w:tcPr>
            <w:tcW w:w="4251" w:type="dxa"/>
            <w:tcBorders>
              <w:top w:val="single" w:color="auto" w:sz="4" w:space="0"/>
              <w:left w:val="single" w:color="auto" w:sz="4" w:space="0"/>
              <w:bottom w:val="single" w:color="auto" w:sz="4" w:space="0"/>
              <w:right w:val="single" w:color="auto" w:sz="4" w:space="0"/>
            </w:tcBorders>
            <w:vAlign w:val="top"/>
          </w:tcPr>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（一）评分内容：</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考察投标人针对本项目的项目重点难点分析、应对措施及相关的合理化建议，方案内容包括以下内容:</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1.项目重点难点分析。</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2.针对重、难点的相关应对措施。</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3.日常服务的合理化建议。</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（二）评分依据：</w:t>
            </w:r>
          </w:p>
          <w:p>
            <w:pPr>
              <w:spacing w:line="240" w:lineRule="auto"/>
              <w:jc w:val="left"/>
              <w:rPr>
                <w:rFonts w:hint="eastAsia" w:ascii="宋体" w:hAnsi="宋体" w:eastAsia="宋体" w:cs="宋体"/>
                <w:color w:val="000000" w:themeColor="text1"/>
                <w:sz w:val="21"/>
                <w:szCs w:val="21"/>
                <w:highlight w:val="none"/>
                <w:u w:val="none"/>
                <w14:textFill>
                  <w14:solidFill>
                    <w14:schemeClr w14:val="tx1"/>
                  </w14:solidFill>
                </w14:textFill>
              </w:rPr>
            </w:pPr>
            <w:r>
              <w:rPr>
                <w:rFonts w:hint="eastAsia" w:ascii="宋体" w:hAnsi="宋体" w:eastAsia="宋体" w:cs="宋体"/>
                <w:color w:val="000000" w:themeColor="text1"/>
                <w:sz w:val="21"/>
                <w:szCs w:val="21"/>
                <w:highlight w:val="none"/>
                <w:u w:val="none"/>
                <w14:textFill>
                  <w14:solidFill>
                    <w14:schemeClr w14:val="tx1"/>
                  </w14:solidFill>
                </w14:textFill>
              </w:rPr>
              <w:t>提供以上</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u w:val="none"/>
                <w14:textFill>
                  <w14:solidFill>
                    <w14:schemeClr w14:val="tx1"/>
                  </w14:solidFill>
                </w14:textFill>
              </w:rPr>
              <w:t>点内容得</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8</w:t>
            </w:r>
            <w:r>
              <w:rPr>
                <w:rFonts w:hint="eastAsia" w:ascii="宋体" w:hAnsi="宋体" w:eastAsia="宋体" w:cs="宋体"/>
                <w:color w:val="000000" w:themeColor="text1"/>
                <w:sz w:val="21"/>
                <w:szCs w:val="21"/>
                <w:highlight w:val="none"/>
                <w:u w:val="none"/>
                <w14:textFill>
                  <w14:solidFill>
                    <w14:schemeClr w14:val="tx1"/>
                  </w14:solidFill>
                </w14:textFill>
              </w:rPr>
              <w:t>0分，</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满足任意2点内容得60分，满足任意一点内容得20分，未满足</w:t>
            </w:r>
            <w:r>
              <w:rPr>
                <w:rFonts w:hint="eastAsia" w:ascii="宋体" w:hAnsi="宋体" w:eastAsia="宋体" w:cs="宋体"/>
                <w:color w:val="000000" w:themeColor="text1"/>
                <w:sz w:val="21"/>
                <w:szCs w:val="21"/>
                <w:highlight w:val="none"/>
                <w:u w:val="none"/>
                <w14:textFill>
                  <w14:solidFill>
                    <w14:schemeClr w14:val="tx1"/>
                  </w14:solidFill>
                </w14:textFill>
              </w:rPr>
              <w:t>不得分。 在此基础上，专家根据内容的合理性进行评分:</w:t>
            </w:r>
          </w:p>
          <w:p>
            <w:pPr>
              <w:spacing w:line="240" w:lineRule="auto"/>
              <w:jc w:val="left"/>
              <w:rPr>
                <w:rFonts w:hint="eastAsia" w:ascii="宋体" w:hAnsi="宋体" w:eastAsia="宋体" w:cs="宋体"/>
                <w:color w:val="000000" w:themeColor="text1"/>
                <w:sz w:val="21"/>
                <w:szCs w:val="21"/>
                <w:highlight w:val="none"/>
                <w:u w:val="none"/>
                <w:lang w:eastAsia="zh-CN"/>
                <w14:textFill>
                  <w14:solidFill>
                    <w14:schemeClr w14:val="tx1"/>
                  </w14:solidFill>
                </w14:textFill>
              </w:rPr>
            </w:pPr>
            <w:r>
              <w:rPr>
                <w:rFonts w:hint="eastAsia" w:ascii="宋体" w:hAnsi="宋体" w:eastAsia="宋体" w:cs="宋体"/>
                <w:color w:val="000000" w:themeColor="text1"/>
                <w:sz w:val="21"/>
                <w:szCs w:val="21"/>
                <w:highlight w:val="none"/>
                <w:u w:val="none"/>
                <w14:textFill>
                  <w14:solidFill>
                    <w14:schemeClr w14:val="tx1"/>
                  </w14:solidFill>
                </w14:textFill>
              </w:rPr>
              <w:t>评审为优（如方案中体现按照采购人要求在</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u w:val="none"/>
                <w14:textFill>
                  <w14:solidFill>
                    <w14:schemeClr w14:val="tx1"/>
                  </w14:solidFill>
                </w14:textFill>
              </w:rPr>
              <w:t>个月内将LNG垃圾转运勾臂车更换为氢燃料电池勾臂车）的加20分</w:t>
            </w:r>
            <w:r>
              <w:rPr>
                <w:rFonts w:hint="eastAsia" w:ascii="宋体" w:hAnsi="宋体" w:eastAsia="宋体" w:cs="宋体"/>
                <w:color w:val="000000" w:themeColor="text1"/>
                <w:sz w:val="21"/>
                <w:szCs w:val="21"/>
                <w:highlight w:val="none"/>
                <w:u w:val="none"/>
                <w:lang w:eastAsia="zh-CN"/>
                <w14:textFill>
                  <w14:solidFill>
                    <w14:schemeClr w14:val="tx1"/>
                  </w14:solidFill>
                </w14:textFill>
              </w:rPr>
              <w:t>；</w:t>
            </w:r>
          </w:p>
          <w:p>
            <w:pPr>
              <w:spacing w:line="240" w:lineRule="auto"/>
              <w:jc w:val="left"/>
              <w:rPr>
                <w:rFonts w:hint="eastAsia" w:ascii="宋体" w:hAnsi="宋体" w:eastAsia="宋体" w:cs="宋体"/>
                <w:color w:val="000000" w:themeColor="text1"/>
                <w:sz w:val="21"/>
                <w:szCs w:val="21"/>
                <w:highlight w:val="none"/>
                <w:u w:val="none"/>
                <w:lang w:eastAsia="zh-CN"/>
                <w14:textFill>
                  <w14:solidFill>
                    <w14:schemeClr w14:val="tx1"/>
                  </w14:solidFill>
                </w14:textFill>
              </w:rPr>
            </w:pPr>
            <w:r>
              <w:rPr>
                <w:rFonts w:hint="eastAsia" w:ascii="宋体" w:hAnsi="宋体" w:eastAsia="宋体" w:cs="宋体"/>
                <w:color w:val="000000" w:themeColor="text1"/>
                <w:sz w:val="21"/>
                <w:szCs w:val="21"/>
                <w:highlight w:val="none"/>
                <w:u w:val="none"/>
                <w14:textFill>
                  <w14:solidFill>
                    <w14:schemeClr w14:val="tx1"/>
                  </w14:solidFill>
                </w14:textFill>
              </w:rPr>
              <w:t>评审为良（如方案中体现按照采购人要求在</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u w:val="none"/>
                <w14:textFill>
                  <w14:solidFill>
                    <w14:schemeClr w14:val="tx1"/>
                  </w14:solidFill>
                </w14:textFill>
              </w:rPr>
              <w:t>个月内将LNG垃圾转运勾臂车更换为氢燃料电池勾臂车）的加15分</w:t>
            </w:r>
            <w:r>
              <w:rPr>
                <w:rFonts w:hint="eastAsia" w:ascii="宋体" w:hAnsi="宋体" w:eastAsia="宋体" w:cs="宋体"/>
                <w:color w:val="000000" w:themeColor="text1"/>
                <w:sz w:val="21"/>
                <w:szCs w:val="21"/>
                <w:highlight w:val="none"/>
                <w:u w:val="none"/>
                <w:lang w:eastAsia="zh-CN"/>
                <w14:textFill>
                  <w14:solidFill>
                    <w14:schemeClr w14:val="tx1"/>
                  </w14:solidFill>
                </w14:textFill>
              </w:rPr>
              <w:t>；</w:t>
            </w:r>
          </w:p>
          <w:p>
            <w:pPr>
              <w:spacing w:line="240" w:lineRule="auto"/>
              <w:jc w:val="left"/>
              <w:rPr>
                <w:rFonts w:hint="eastAsia" w:ascii="宋体" w:hAnsi="宋体" w:eastAsia="宋体" w:cs="宋体"/>
                <w:color w:val="000000" w:themeColor="text1"/>
                <w:sz w:val="21"/>
                <w:szCs w:val="21"/>
                <w:highlight w:val="none"/>
                <w:u w:val="none"/>
                <w:lang w:eastAsia="zh-CN"/>
                <w14:textFill>
                  <w14:solidFill>
                    <w14:schemeClr w14:val="tx1"/>
                  </w14:solidFill>
                </w14:textFill>
              </w:rPr>
            </w:pPr>
            <w:r>
              <w:rPr>
                <w:rFonts w:hint="eastAsia" w:ascii="宋体" w:hAnsi="宋体" w:eastAsia="宋体" w:cs="宋体"/>
                <w:color w:val="000000" w:themeColor="text1"/>
                <w:sz w:val="21"/>
                <w:szCs w:val="21"/>
                <w:highlight w:val="none"/>
                <w:u w:val="none"/>
                <w14:textFill>
                  <w14:solidFill>
                    <w14:schemeClr w14:val="tx1"/>
                  </w14:solidFill>
                </w14:textFill>
              </w:rPr>
              <w:t>评审为中（如方案中体现按照采购人要求在</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u w:val="none"/>
                <w14:textFill>
                  <w14:solidFill>
                    <w14:schemeClr w14:val="tx1"/>
                  </w14:solidFill>
                </w14:textFill>
              </w:rPr>
              <w:t>个月内将LNG垃圾转运勾臂车更换为氢燃料电池勾臂车）的加10分</w:t>
            </w:r>
            <w:r>
              <w:rPr>
                <w:rFonts w:hint="eastAsia" w:ascii="宋体" w:hAnsi="宋体" w:eastAsia="宋体" w:cs="宋体"/>
                <w:color w:val="000000" w:themeColor="text1"/>
                <w:sz w:val="21"/>
                <w:szCs w:val="21"/>
                <w:highlight w:val="none"/>
                <w:u w:val="none"/>
                <w:lang w:eastAsia="zh-CN"/>
                <w14:textFill>
                  <w14:solidFill>
                    <w14:schemeClr w14:val="tx1"/>
                  </w14:solidFill>
                </w14:textFill>
              </w:rPr>
              <w:t>；</w:t>
            </w:r>
          </w:p>
          <w:p>
            <w:pPr>
              <w:spacing w:line="240" w:lineRule="auto"/>
              <w:jc w:val="left"/>
              <w:rPr>
                <w:rFonts w:hint="eastAsia" w:ascii="宋体" w:hAnsi="宋体" w:eastAsia="宋体" w:cs="宋体"/>
                <w:color w:val="000000" w:themeColor="text1"/>
                <w:sz w:val="21"/>
                <w:szCs w:val="21"/>
                <w:highlight w:val="none"/>
                <w:u w:val="none"/>
                <w:lang w:eastAsia="zh-CN"/>
                <w14:textFill>
                  <w14:solidFill>
                    <w14:schemeClr w14:val="tx1"/>
                  </w14:solidFill>
                </w14:textFill>
              </w:rPr>
            </w:pPr>
            <w:r>
              <w:rPr>
                <w:rFonts w:hint="eastAsia" w:ascii="宋体" w:hAnsi="宋体" w:eastAsia="宋体" w:cs="宋体"/>
                <w:color w:val="000000" w:themeColor="text1"/>
                <w:sz w:val="21"/>
                <w:szCs w:val="21"/>
                <w:highlight w:val="none"/>
                <w:u w:val="none"/>
                <w14:textFill>
                  <w14:solidFill>
                    <w14:schemeClr w14:val="tx1"/>
                  </w14:solidFill>
                </w14:textFill>
              </w:rPr>
              <w:t>评审为差（如方案中</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未</w:t>
            </w:r>
            <w:r>
              <w:rPr>
                <w:rFonts w:hint="eastAsia" w:ascii="宋体" w:hAnsi="宋体" w:eastAsia="宋体" w:cs="宋体"/>
                <w:color w:val="000000" w:themeColor="text1"/>
                <w:sz w:val="21"/>
                <w:szCs w:val="21"/>
                <w:highlight w:val="none"/>
                <w:u w:val="none"/>
                <w14:textFill>
                  <w14:solidFill>
                    <w14:schemeClr w14:val="tx1"/>
                  </w14:solidFill>
                </w14:textFill>
              </w:rPr>
              <w:t>体现按照采购人要求将LNG垃圾转运勾臂车更换为氢燃料电池勾臂车）的得0分</w:t>
            </w:r>
            <w:r>
              <w:rPr>
                <w:rFonts w:hint="eastAsia" w:ascii="宋体" w:hAnsi="宋体" w:eastAsia="宋体" w:cs="宋体"/>
                <w:color w:val="000000" w:themeColor="text1"/>
                <w:sz w:val="21"/>
                <w:szCs w:val="21"/>
                <w:highlight w:val="none"/>
                <w:u w:val="none"/>
                <w:lang w:eastAsia="zh-CN"/>
                <w14:textFill>
                  <w14:solidFill>
                    <w14:schemeClr w14:val="tx1"/>
                  </w14:solidFill>
                </w14:textFill>
              </w:rPr>
              <w:t>。</w:t>
            </w:r>
          </w:p>
          <w:p>
            <w:pPr>
              <w:spacing w:line="240" w:lineRule="auto"/>
              <w:jc w:val="left"/>
              <w:rPr>
                <w:rFonts w:hint="eastAsia" w:cs="宋体" w:asciiTheme="minorEastAsia" w:hAnsiTheme="minorEastAsia"/>
                <w:bCs/>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1"/>
                <w:szCs w:val="21"/>
                <w:highlight w:val="none"/>
                <w:u w:val="none"/>
                <w14:textFill>
                  <w14:solidFill>
                    <w14:schemeClr w14:val="tx1"/>
                  </w14:solidFill>
                </w14:textFill>
              </w:rPr>
              <w:t>如果评审为差，专家书面说明理由，并记录在档。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vMerge w:val="continue"/>
            <w:tcBorders>
              <w:left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686"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166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质量（完成时间、安全、环保）保障措施及方案</w:t>
            </w:r>
          </w:p>
        </w:tc>
        <w:tc>
          <w:tcPr>
            <w:tcW w:w="120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p>
        </w:tc>
        <w:tc>
          <w:tcPr>
            <w:tcW w:w="111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专家打分</w:t>
            </w:r>
          </w:p>
        </w:tc>
        <w:tc>
          <w:tcPr>
            <w:tcW w:w="4251" w:type="dxa"/>
            <w:tcBorders>
              <w:top w:val="single" w:color="auto" w:sz="4" w:space="0"/>
              <w:left w:val="single" w:color="auto" w:sz="4" w:space="0"/>
              <w:bottom w:val="single" w:color="auto" w:sz="4" w:space="0"/>
              <w:right w:val="single" w:color="auto" w:sz="4" w:space="0"/>
            </w:tcBorders>
            <w:vAlign w:val="top"/>
          </w:tcPr>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（一）评分内容：</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考察投标人针对本项目的质量(完成时间、安全、环保)保障措施及方案，方案内容包括以下内容:</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1.档案管理。</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2.服务、人员保障措施。</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3.应急突发事件预案。</w:t>
            </w:r>
          </w:p>
          <w:p>
            <w:pPr>
              <w:spacing w:line="240" w:lineRule="auto"/>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4.安全保障措施方案。</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（二）评分依据：</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提供以上</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点内容得80分，满足任意</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点内容得</w:t>
            </w:r>
            <w:r>
              <w:rPr>
                <w:rFonts w:hint="eastAsia" w:ascii="宋体" w:hAnsi="宋体" w:eastAsia="宋体" w:cs="宋体"/>
                <w:color w:val="000000" w:themeColor="text1"/>
                <w:sz w:val="21"/>
                <w:szCs w:val="21"/>
                <w:highlight w:val="none"/>
                <w:lang w:val="en-US" w:eastAsia="zh-CN"/>
                <w14:textFill>
                  <w14:solidFill>
                    <w14:schemeClr w14:val="tx1"/>
                  </w14:solidFill>
                </w14:textFill>
              </w:rPr>
              <w:t>60</w:t>
            </w:r>
            <w:r>
              <w:rPr>
                <w:rFonts w:hint="eastAsia" w:ascii="宋体" w:hAnsi="宋体" w:eastAsia="宋体" w:cs="宋体"/>
                <w:color w:val="000000" w:themeColor="text1"/>
                <w:sz w:val="21"/>
                <w:szCs w:val="21"/>
                <w:highlight w:val="none"/>
                <w14:textFill>
                  <w14:solidFill>
                    <w14:schemeClr w14:val="tx1"/>
                  </w14:solidFill>
                </w14:textFill>
              </w:rPr>
              <w:t>分，满足任意2点内容得</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0分，满足任意一点内容得</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0分，未满足不得分。 在此基础上，专家根据内容的合理性进行评分:</w:t>
            </w:r>
          </w:p>
          <w:p>
            <w:pPr>
              <w:spacing w:line="24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评审为优（如方案中体现突发事件应对响应时间20分钟内到达现场处理）的加20分</w:t>
            </w:r>
            <w:r>
              <w:rPr>
                <w:rFonts w:hint="eastAsia" w:ascii="宋体" w:hAnsi="宋体" w:cs="宋体"/>
                <w:color w:val="000000" w:themeColor="text1"/>
                <w:sz w:val="21"/>
                <w:szCs w:val="21"/>
                <w:highlight w:val="none"/>
                <w:lang w:eastAsia="zh-CN"/>
                <w14:textFill>
                  <w14:solidFill>
                    <w14:schemeClr w14:val="tx1"/>
                  </w14:solidFill>
                </w14:textFill>
              </w:rPr>
              <w:t>；</w:t>
            </w:r>
          </w:p>
          <w:p>
            <w:pPr>
              <w:spacing w:line="24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评审为良（如方案中体现突发事件应对响应时间60分钟内到达现场处理）的加15分</w:t>
            </w:r>
            <w:r>
              <w:rPr>
                <w:rFonts w:hint="eastAsia" w:ascii="宋体" w:hAnsi="宋体" w:cs="宋体"/>
                <w:color w:val="000000" w:themeColor="text1"/>
                <w:sz w:val="21"/>
                <w:szCs w:val="21"/>
                <w:highlight w:val="none"/>
                <w:lang w:eastAsia="zh-CN"/>
                <w14:textFill>
                  <w14:solidFill>
                    <w14:schemeClr w14:val="tx1"/>
                  </w14:solidFill>
                </w14:textFill>
              </w:rPr>
              <w:t>；</w:t>
            </w:r>
          </w:p>
          <w:p>
            <w:pPr>
              <w:spacing w:line="240" w:lineRule="auto"/>
              <w:jc w:val="left"/>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评审为中（如方案中体现突发事件应对响应时间120分钟内到达现场处理）的加10分</w:t>
            </w:r>
            <w:r>
              <w:rPr>
                <w:rFonts w:hint="eastAsia" w:ascii="宋体" w:hAnsi="宋体" w:cs="宋体"/>
                <w:color w:val="000000" w:themeColor="text1"/>
                <w:sz w:val="21"/>
                <w:szCs w:val="21"/>
                <w:highlight w:val="none"/>
                <w:lang w:eastAsia="zh-CN"/>
                <w14:textFill>
                  <w14:solidFill>
                    <w14:schemeClr w14:val="tx1"/>
                  </w14:solidFill>
                </w14:textFill>
              </w:rPr>
              <w:t>；</w:t>
            </w:r>
          </w:p>
          <w:p>
            <w:pPr>
              <w:spacing w:line="24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评审为差（如方案中体现突发事件应对响应时间120分钟以上到达现场处理或方案中未体现突发事件应对响应时间）的得0分</w:t>
            </w:r>
            <w:r>
              <w:rPr>
                <w:rFonts w:hint="eastAsia" w:ascii="宋体" w:hAnsi="宋体" w:cs="宋体"/>
                <w:color w:val="000000" w:themeColor="text1"/>
                <w:sz w:val="21"/>
                <w:szCs w:val="21"/>
                <w:highlight w:val="none"/>
                <w:lang w:eastAsia="zh-CN"/>
                <w14:textFill>
                  <w14:solidFill>
                    <w14:schemeClr w14:val="tx1"/>
                  </w14:solidFill>
                </w14:textFill>
              </w:rPr>
              <w:t>。</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如果评审为差，专家书面说明理由，并记录在档。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vMerge w:val="continue"/>
            <w:tcBorders>
              <w:left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686"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p>
        </w:tc>
        <w:tc>
          <w:tcPr>
            <w:tcW w:w="166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违约</w:t>
            </w:r>
            <w:r>
              <w:rPr>
                <w:rFonts w:hint="eastAsia" w:ascii="宋体" w:hAnsi="宋体" w:cs="宋体"/>
                <w:color w:val="000000" w:themeColor="text1"/>
                <w:sz w:val="21"/>
                <w:szCs w:val="21"/>
                <w:highlight w:val="none"/>
                <w:lang w:val="en-US" w:eastAsia="zh-CN"/>
                <w14:textFill>
                  <w14:solidFill>
                    <w14:schemeClr w14:val="tx1"/>
                  </w14:solidFill>
                </w14:textFill>
              </w:rPr>
              <w:t>及</w:t>
            </w:r>
            <w:r>
              <w:rPr>
                <w:rFonts w:hint="eastAsia" w:ascii="宋体" w:hAnsi="宋体" w:cs="宋体"/>
                <w:color w:val="000000" w:themeColor="text1"/>
                <w:kern w:val="0"/>
                <w:szCs w:val="21"/>
                <w:highlight w:val="none"/>
                <w14:textFill>
                  <w14:solidFill>
                    <w14:schemeClr w14:val="tx1"/>
                  </w14:solidFill>
                </w14:textFill>
              </w:rPr>
              <w:t>清洁环保</w:t>
            </w:r>
            <w:r>
              <w:rPr>
                <w:rFonts w:hint="eastAsia" w:ascii="宋体" w:hAnsi="宋体" w:eastAsia="宋体" w:cs="宋体"/>
                <w:color w:val="000000" w:themeColor="text1"/>
                <w:sz w:val="21"/>
                <w:szCs w:val="21"/>
                <w:highlight w:val="none"/>
                <w:lang w:val="en-US" w:eastAsia="zh-CN"/>
                <w14:textFill>
                  <w14:solidFill>
                    <w14:schemeClr w14:val="tx1"/>
                  </w14:solidFill>
                </w14:textFill>
              </w:rPr>
              <w:t>承诺</w:t>
            </w:r>
          </w:p>
        </w:tc>
        <w:tc>
          <w:tcPr>
            <w:tcW w:w="120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p>
        </w:tc>
        <w:tc>
          <w:tcPr>
            <w:tcW w:w="111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专家打分</w:t>
            </w:r>
          </w:p>
        </w:tc>
        <w:tc>
          <w:tcPr>
            <w:tcW w:w="4251" w:type="dxa"/>
            <w:tcBorders>
              <w:top w:val="single" w:color="auto" w:sz="4" w:space="0"/>
              <w:left w:val="single" w:color="auto" w:sz="4" w:space="0"/>
              <w:bottom w:val="single" w:color="auto" w:sz="4" w:space="0"/>
              <w:right w:val="single" w:color="auto" w:sz="4" w:space="0"/>
            </w:tcBorders>
            <w:vAlign w:val="center"/>
          </w:tcPr>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（一）评分内容：</w:t>
            </w:r>
          </w:p>
          <w:p>
            <w:pPr>
              <w:spacing w:line="240" w:lineRule="auto"/>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考察投标人</w:t>
            </w:r>
            <w:r>
              <w:rPr>
                <w:rFonts w:hint="eastAsia" w:ascii="宋体" w:hAnsi="宋体" w:cs="宋体"/>
                <w:color w:val="000000" w:themeColor="text1"/>
                <w:sz w:val="21"/>
                <w:szCs w:val="21"/>
                <w:highlight w:val="none"/>
                <w:lang w:val="en-US" w:eastAsia="zh-CN"/>
                <w14:textFill>
                  <w14:solidFill>
                    <w14:schemeClr w14:val="tx1"/>
                  </w14:solidFill>
                </w14:textFill>
              </w:rPr>
              <w:t>针对本项目的违约及清洁环保承诺，承诺内容包含以下内容：</w:t>
            </w:r>
          </w:p>
          <w:p>
            <w:pPr>
              <w:spacing w:line="24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1.服务质量达到招标文件要求</w:t>
            </w:r>
            <w:r>
              <w:rPr>
                <w:rFonts w:hint="eastAsia" w:ascii="宋体" w:hAnsi="宋体" w:cs="宋体"/>
                <w:color w:val="000000" w:themeColor="text1"/>
                <w:sz w:val="21"/>
                <w:szCs w:val="21"/>
                <w:highlight w:val="none"/>
                <w:lang w:eastAsia="zh-CN"/>
                <w14:textFill>
                  <w14:solidFill>
                    <w14:schemeClr w14:val="tx1"/>
                  </w14:solidFill>
                </w14:textFill>
              </w:rPr>
              <w:t>。</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2.对未能达到的管理要求承担管理责任。</w:t>
            </w:r>
          </w:p>
          <w:p>
            <w:pPr>
              <w:spacing w:line="24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积极推广非常规水替代自来水用于市政道路冲洗，且按照采购人要求</w:t>
            </w:r>
            <w:r>
              <w:rPr>
                <w:rFonts w:hint="eastAsia" w:ascii="宋体" w:hAnsi="宋体"/>
                <w:color w:val="000000" w:themeColor="text1"/>
                <w:szCs w:val="21"/>
                <w:highlight w:val="none"/>
                <w:lang w:val="en-US" w:eastAsia="zh-CN"/>
                <w14:textFill>
                  <w14:solidFill>
                    <w14:schemeClr w14:val="tx1"/>
                  </w14:solidFill>
                </w14:textFill>
              </w:rPr>
              <w:t>比例</w:t>
            </w:r>
            <w:r>
              <w:rPr>
                <w:rFonts w:hint="eastAsia" w:ascii="宋体" w:hAnsi="宋体"/>
                <w:color w:val="000000" w:themeColor="text1"/>
                <w:szCs w:val="21"/>
                <w:highlight w:val="none"/>
                <w14:textFill>
                  <w14:solidFill>
                    <w14:schemeClr w14:val="tx1"/>
                  </w14:solidFill>
                </w14:textFill>
              </w:rPr>
              <w:t>开展非常规水替代工作</w:t>
            </w:r>
            <w:r>
              <w:rPr>
                <w:rFonts w:hint="eastAsia" w:ascii="宋体" w:hAnsi="宋体"/>
                <w:color w:val="000000" w:themeColor="text1"/>
                <w:szCs w:val="21"/>
                <w:highlight w:val="none"/>
                <w:lang w:eastAsia="zh-CN"/>
                <w14:textFill>
                  <w14:solidFill>
                    <w14:schemeClr w14:val="tx1"/>
                  </w14:solidFill>
                </w14:textFill>
              </w:rPr>
              <w:t>。</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（二）评分依据：</w:t>
            </w:r>
          </w:p>
          <w:p>
            <w:pPr>
              <w:spacing w:line="240" w:lineRule="auto"/>
              <w:jc w:val="left"/>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投标人承诺以上全部</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项的得100分，要求提供承诺（</w:t>
            </w:r>
            <w:r>
              <w:rPr>
                <w:rFonts w:hint="eastAsia" w:ascii="宋体" w:hAnsi="宋体" w:cs="宋体"/>
                <w:color w:val="000000" w:themeColor="text1"/>
                <w:sz w:val="21"/>
                <w:szCs w:val="21"/>
                <w:highlight w:val="none"/>
                <w:lang w:val="en-US" w:eastAsia="zh-CN"/>
                <w14:textFill>
                  <w14:solidFill>
                    <w14:schemeClr w14:val="tx1"/>
                  </w14:solidFill>
                </w14:textFill>
              </w:rPr>
              <w:t>格式自拟）作为得分依据，未提供承诺或承诺内容不满足要求不得分。</w:t>
            </w:r>
          </w:p>
          <w:p>
            <w:pPr>
              <w:spacing w:line="240" w:lineRule="auto"/>
              <w:jc w:val="left"/>
              <w:rPr>
                <w:rFonts w:hint="eastAsia"/>
              </w:rPr>
            </w:pPr>
            <w:r>
              <w:rPr>
                <w:rFonts w:hint="eastAsia" w:ascii="宋体" w:hAnsi="宋体" w:cs="宋体"/>
                <w:color w:val="000000" w:themeColor="text1"/>
                <w:szCs w:val="21"/>
                <w:highlight w:val="none"/>
                <w14:textFill>
                  <w14:solidFill>
                    <w14:schemeClr w14:val="tx1"/>
                  </w14:solidFill>
                </w14:textFill>
              </w:rPr>
              <w:t>2.组成联合体投标的投标人，</w:t>
            </w:r>
            <w:r>
              <w:rPr>
                <w:rFonts w:hint="eastAsia" w:ascii="宋体" w:hAnsi="宋体" w:cs="宋体"/>
                <w:color w:val="000000" w:themeColor="text1"/>
                <w:szCs w:val="21"/>
                <w:highlight w:val="none"/>
                <w:lang w:eastAsia="zh-CN"/>
                <w14:textFill>
                  <w14:solidFill>
                    <w14:schemeClr w14:val="tx1"/>
                  </w14:solidFill>
                </w14:textFill>
              </w:rPr>
              <w:t>双方</w:t>
            </w:r>
            <w:r>
              <w:rPr>
                <w:rFonts w:hint="eastAsia" w:ascii="宋体" w:hAnsi="宋体" w:cs="宋体"/>
                <w:color w:val="000000" w:themeColor="text1"/>
                <w:szCs w:val="21"/>
                <w:highlight w:val="none"/>
                <w:lang w:val="en-US" w:eastAsia="zh-CN"/>
                <w14:textFill>
                  <w14:solidFill>
                    <w14:schemeClr w14:val="tx1"/>
                  </w14:solidFill>
                </w14:textFill>
              </w:rPr>
              <w:t>均</w:t>
            </w:r>
            <w:r>
              <w:rPr>
                <w:rFonts w:hint="eastAsia" w:ascii="宋体" w:hAnsi="宋体" w:cs="宋体"/>
                <w:color w:val="000000" w:themeColor="text1"/>
                <w:szCs w:val="21"/>
                <w:highlight w:val="none"/>
                <w14:textFill>
                  <w14:solidFill>
                    <w14:schemeClr w14:val="tx1"/>
                  </w14:solidFill>
                </w14:textFill>
              </w:rPr>
              <w:t>须</w:t>
            </w:r>
            <w:r>
              <w:rPr>
                <w:rFonts w:hint="eastAsia" w:ascii="宋体" w:hAnsi="宋体" w:cs="宋体"/>
                <w:color w:val="000000" w:themeColor="text1"/>
                <w:szCs w:val="21"/>
                <w:highlight w:val="none"/>
                <w:lang w:eastAsia="zh-CN"/>
                <w14:textFill>
                  <w14:solidFill>
                    <w14:schemeClr w14:val="tx1"/>
                  </w14:solidFill>
                </w14:textFill>
              </w:rPr>
              <w:t>提供承诺函</w:t>
            </w:r>
            <w:r>
              <w:rPr>
                <w:rFonts w:hint="eastAsia" w:ascii="宋体" w:hAnsi="宋体" w:cs="宋体"/>
                <w:color w:val="000000" w:themeColor="text1"/>
                <w:szCs w:val="21"/>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vMerge w:val="continue"/>
            <w:tcBorders>
              <w:left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686"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p>
        </w:tc>
        <w:tc>
          <w:tcPr>
            <w:tcW w:w="166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投标人具有车辆设备情况</w:t>
            </w:r>
          </w:p>
        </w:tc>
        <w:tc>
          <w:tcPr>
            <w:tcW w:w="120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8</w:t>
            </w:r>
          </w:p>
        </w:tc>
        <w:tc>
          <w:tcPr>
            <w:tcW w:w="111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专家打分</w:t>
            </w:r>
          </w:p>
        </w:tc>
        <w:tc>
          <w:tcPr>
            <w:tcW w:w="4251" w:type="dxa"/>
            <w:tcBorders>
              <w:top w:val="single" w:color="auto" w:sz="4" w:space="0"/>
              <w:left w:val="single" w:color="auto" w:sz="4" w:space="0"/>
              <w:bottom w:val="single" w:color="auto" w:sz="4" w:space="0"/>
              <w:right w:val="single" w:color="auto" w:sz="4" w:space="0"/>
            </w:tcBorders>
            <w:vAlign w:val="center"/>
          </w:tcPr>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（一）评分内容：</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考察</w:t>
            </w:r>
            <w:r>
              <w:rPr>
                <w:rFonts w:hint="eastAsia" w:ascii="宋体" w:hAnsi="宋体" w:eastAsia="宋体" w:cs="宋体"/>
                <w:color w:val="000000" w:themeColor="text1"/>
                <w:sz w:val="21"/>
                <w:szCs w:val="21"/>
                <w:highlight w:val="none"/>
                <w14:textFill>
                  <w14:solidFill>
                    <w14:schemeClr w14:val="tx1"/>
                  </w14:solidFill>
                </w14:textFill>
              </w:rPr>
              <w:t>投标</w:t>
            </w:r>
            <w:r>
              <w:rPr>
                <w:rFonts w:hint="eastAsia" w:ascii="宋体" w:hAnsi="宋体" w:eastAsia="宋体" w:cs="宋体"/>
                <w:color w:val="000000" w:themeColor="text1"/>
                <w:sz w:val="21"/>
                <w:szCs w:val="21"/>
                <w:highlight w:val="none"/>
                <w:lang w:val="en-US" w:eastAsia="zh-CN"/>
                <w14:textFill>
                  <w14:solidFill>
                    <w14:schemeClr w14:val="tx1"/>
                  </w14:solidFill>
                </w14:textFill>
              </w:rPr>
              <w:t>人（如为联合体投标的，联合体成员单位任意一方满足或联合体各方共同满足条件均可）</w:t>
            </w:r>
            <w:r>
              <w:rPr>
                <w:rFonts w:hint="eastAsia" w:ascii="宋体" w:hAnsi="宋体" w:eastAsia="宋体" w:cs="宋体"/>
                <w:color w:val="000000" w:themeColor="text1"/>
                <w:sz w:val="21"/>
                <w:szCs w:val="21"/>
                <w:highlight w:val="none"/>
                <w14:textFill>
                  <w14:solidFill>
                    <w14:schemeClr w14:val="tx1"/>
                  </w14:solidFill>
                </w14:textFill>
              </w:rPr>
              <w:t xml:space="preserve">自有或租赁的环卫作业车辆：： </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1.若投标人有纯电动洗扫</w:t>
            </w:r>
            <w:r>
              <w:rPr>
                <w:rFonts w:hint="eastAsia" w:ascii="宋体" w:hAnsi="宋体" w:cs="宋体"/>
                <w:color w:val="000000" w:themeColor="text1"/>
                <w:sz w:val="21"/>
                <w:szCs w:val="21"/>
                <w:highlight w:val="none"/>
                <w:lang w:eastAsia="zh-CN"/>
                <w14:textFill>
                  <w14:solidFill>
                    <w14:schemeClr w14:val="tx1"/>
                  </w14:solidFill>
                </w14:textFill>
              </w:rPr>
              <w:t>一体</w:t>
            </w:r>
            <w:r>
              <w:rPr>
                <w:rFonts w:hint="eastAsia" w:ascii="宋体" w:hAnsi="宋体" w:eastAsia="宋体" w:cs="宋体"/>
                <w:color w:val="000000" w:themeColor="text1"/>
                <w:sz w:val="21"/>
                <w:szCs w:val="21"/>
                <w:highlight w:val="none"/>
                <w14:textFill>
                  <w14:solidFill>
                    <w14:schemeClr w14:val="tx1"/>
                  </w14:solidFill>
                </w14:textFill>
              </w:rPr>
              <w:t>车</w:t>
            </w:r>
            <w:r>
              <w:rPr>
                <w:rFonts w:hint="eastAsia" w:ascii="宋体" w:hAnsi="宋体" w:cs="宋体"/>
                <w:color w:val="000000" w:themeColor="text1"/>
                <w:sz w:val="21"/>
                <w:szCs w:val="21"/>
                <w:highlight w:val="none"/>
                <w:lang w:eastAsia="zh-CN"/>
                <w14:textFill>
                  <w14:solidFill>
                    <w14:schemeClr w14:val="tx1"/>
                  </w14:solidFill>
                </w14:textFill>
              </w:rPr>
              <w:t>（重型）</w:t>
            </w:r>
            <w:r>
              <w:rPr>
                <w:rFonts w:hint="eastAsia" w:ascii="宋体" w:hAnsi="宋体" w:eastAsia="宋体" w:cs="宋体"/>
                <w:color w:val="000000" w:themeColor="text1"/>
                <w:sz w:val="21"/>
                <w:szCs w:val="21"/>
                <w:highlight w:val="none"/>
                <w14:textFill>
                  <w14:solidFill>
                    <w14:schemeClr w14:val="tx1"/>
                  </w14:solidFill>
                </w14:textFill>
              </w:rPr>
              <w:t>，每台得</w:t>
            </w:r>
            <w:r>
              <w:rPr>
                <w:rFonts w:hint="default" w:ascii="宋体" w:hAnsi="宋体" w:cs="宋体"/>
                <w:color w:val="000000" w:themeColor="text1"/>
                <w:sz w:val="21"/>
                <w:szCs w:val="21"/>
                <w:highlight w:val="none"/>
                <w:lang w:val="en-US"/>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分，本小项最高得</w:t>
            </w:r>
            <w:r>
              <w:rPr>
                <w:rFonts w:hint="eastAsia" w:ascii="宋体" w:hAnsi="宋体" w:cs="宋体"/>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color w:val="000000" w:themeColor="text1"/>
                <w:sz w:val="21"/>
                <w:szCs w:val="21"/>
                <w:highlight w:val="none"/>
                <w14:textFill>
                  <w14:solidFill>
                    <w14:schemeClr w14:val="tx1"/>
                  </w14:solidFill>
                </w14:textFill>
              </w:rPr>
              <w:t>分。</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2.若投标人有纯电动高压清洗车</w:t>
            </w:r>
            <w:r>
              <w:rPr>
                <w:rFonts w:hint="eastAsia" w:ascii="宋体" w:hAnsi="宋体" w:cs="宋体"/>
                <w:color w:val="000000" w:themeColor="text1"/>
                <w:sz w:val="21"/>
                <w:szCs w:val="21"/>
                <w:highlight w:val="none"/>
                <w:lang w:eastAsia="zh-CN"/>
                <w14:textFill>
                  <w14:solidFill>
                    <w14:schemeClr w14:val="tx1"/>
                  </w14:solidFill>
                </w14:textFill>
              </w:rPr>
              <w:t>（重型）</w:t>
            </w:r>
            <w:r>
              <w:rPr>
                <w:rFonts w:hint="eastAsia" w:ascii="宋体" w:hAnsi="宋体" w:eastAsia="宋体" w:cs="宋体"/>
                <w:color w:val="000000" w:themeColor="text1"/>
                <w:sz w:val="21"/>
                <w:szCs w:val="21"/>
                <w:highlight w:val="none"/>
                <w14:textFill>
                  <w14:solidFill>
                    <w14:schemeClr w14:val="tx1"/>
                  </w14:solidFill>
                </w14:textFill>
              </w:rPr>
              <w:t>，每台得</w:t>
            </w:r>
            <w:r>
              <w:rPr>
                <w:rFonts w:hint="default" w:ascii="宋体" w:hAnsi="宋体" w:cs="宋体"/>
                <w:color w:val="000000" w:themeColor="text1"/>
                <w:sz w:val="21"/>
                <w:szCs w:val="21"/>
                <w:highlight w:val="none"/>
                <w:lang w:val="en-US"/>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分，本小项最高得</w:t>
            </w:r>
            <w:r>
              <w:rPr>
                <w:rFonts w:hint="eastAsia" w:ascii="宋体" w:hAnsi="宋体" w:cs="宋体"/>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color w:val="000000" w:themeColor="text1"/>
                <w:sz w:val="21"/>
                <w:szCs w:val="21"/>
                <w:highlight w:val="none"/>
                <w14:textFill>
                  <w14:solidFill>
                    <w14:schemeClr w14:val="tx1"/>
                  </w14:solidFill>
                </w14:textFill>
              </w:rPr>
              <w:t>分。</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3.若投标人有</w:t>
            </w:r>
            <w:r>
              <w:rPr>
                <w:rFonts w:hint="eastAsia" w:ascii="宋体" w:hAnsi="宋体" w:eastAsia="宋体" w:cs="宋体"/>
                <w:color w:val="000000" w:themeColor="text1"/>
                <w:sz w:val="21"/>
                <w:szCs w:val="21"/>
                <w:highlight w:val="none"/>
                <w:lang w:eastAsia="zh-CN"/>
                <w14:textFill>
                  <w14:solidFill>
                    <w14:schemeClr w14:val="tx1"/>
                  </w14:solidFill>
                </w14:textFill>
              </w:rPr>
              <w:t>纯电动路面养护</w:t>
            </w:r>
            <w:r>
              <w:rPr>
                <w:rFonts w:hint="eastAsia" w:ascii="宋体" w:hAnsi="宋体" w:eastAsia="宋体" w:cs="宋体"/>
                <w:color w:val="000000" w:themeColor="text1"/>
                <w:sz w:val="21"/>
                <w:szCs w:val="21"/>
                <w:highlight w:val="none"/>
                <w14:textFill>
                  <w14:solidFill>
                    <w14:schemeClr w14:val="tx1"/>
                  </w14:solidFill>
                </w14:textFill>
              </w:rPr>
              <w:t>车</w:t>
            </w:r>
            <w:r>
              <w:rPr>
                <w:rFonts w:hint="eastAsia" w:ascii="宋体" w:hAnsi="宋体" w:cs="宋体"/>
                <w:color w:val="000000" w:themeColor="text1"/>
                <w:sz w:val="21"/>
                <w:szCs w:val="21"/>
                <w:highlight w:val="none"/>
                <w:lang w:eastAsia="zh-CN"/>
                <w14:textFill>
                  <w14:solidFill>
                    <w14:schemeClr w14:val="tx1"/>
                  </w14:solidFill>
                </w14:textFill>
              </w:rPr>
              <w:t>（中型）</w:t>
            </w:r>
            <w:r>
              <w:rPr>
                <w:rFonts w:hint="eastAsia" w:ascii="宋体" w:hAnsi="宋体" w:eastAsia="宋体" w:cs="宋体"/>
                <w:color w:val="000000" w:themeColor="text1"/>
                <w:sz w:val="21"/>
                <w:szCs w:val="21"/>
                <w:highlight w:val="none"/>
                <w14:textFill>
                  <w14:solidFill>
                    <w14:schemeClr w14:val="tx1"/>
                  </w14:solidFill>
                </w14:textFill>
              </w:rPr>
              <w:t>，每台得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分，本小项最高得</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0分。</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若投标人有纯电动</w:t>
            </w:r>
            <w:r>
              <w:rPr>
                <w:rFonts w:hint="eastAsia" w:ascii="宋体" w:hAnsi="宋体" w:cs="宋体"/>
                <w:color w:val="000000" w:themeColor="text1"/>
                <w:sz w:val="21"/>
                <w:szCs w:val="21"/>
                <w:highlight w:val="none"/>
                <w:lang w:eastAsia="zh-CN"/>
                <w14:textFill>
                  <w14:solidFill>
                    <w14:schemeClr w14:val="tx1"/>
                  </w14:solidFill>
                </w14:textFill>
              </w:rPr>
              <w:t>密闭式</w:t>
            </w:r>
            <w:r>
              <w:rPr>
                <w:rFonts w:hint="eastAsia" w:ascii="宋体" w:hAnsi="宋体" w:eastAsia="宋体" w:cs="宋体"/>
                <w:color w:val="000000" w:themeColor="text1"/>
                <w:sz w:val="21"/>
                <w:szCs w:val="21"/>
                <w:highlight w:val="none"/>
                <w14:textFill>
                  <w14:solidFill>
                    <w14:schemeClr w14:val="tx1"/>
                  </w14:solidFill>
                </w14:textFill>
              </w:rPr>
              <w:t>桶装垃圾车，每台得</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分，本小项最高得</w:t>
            </w:r>
            <w:r>
              <w:rPr>
                <w:rFonts w:hint="eastAsia" w:ascii="宋体" w:hAnsi="宋体" w:cs="宋体"/>
                <w:color w:val="000000" w:themeColor="text1"/>
                <w:sz w:val="21"/>
                <w:szCs w:val="21"/>
                <w:highlight w:val="none"/>
                <w:lang w:val="en-US" w:eastAsia="zh-CN"/>
                <w14:textFill>
                  <w14:solidFill>
                    <w14:schemeClr w14:val="tx1"/>
                  </w14:solidFill>
                </w14:textFill>
              </w:rPr>
              <w:t>16</w:t>
            </w:r>
            <w:r>
              <w:rPr>
                <w:rFonts w:hint="eastAsia" w:ascii="宋体" w:hAnsi="宋体" w:eastAsia="宋体" w:cs="宋体"/>
                <w:color w:val="000000" w:themeColor="text1"/>
                <w:sz w:val="21"/>
                <w:szCs w:val="21"/>
                <w:highlight w:val="none"/>
                <w14:textFill>
                  <w14:solidFill>
                    <w14:schemeClr w14:val="tx1"/>
                  </w14:solidFill>
                </w14:textFill>
              </w:rPr>
              <w:t>分。</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.若投标人有非无人驾驶类小型环卫机械设备（仅计算扫路机、清洗机</w:t>
            </w:r>
            <w:r>
              <w:rPr>
                <w:rFonts w:hint="eastAsia" w:ascii="宋体" w:hAnsi="宋体" w:cs="宋体"/>
                <w:color w:val="000000" w:themeColor="text1"/>
                <w:sz w:val="21"/>
                <w:szCs w:val="21"/>
                <w:highlight w:val="none"/>
                <w:lang w:eastAsia="zh-CN"/>
                <w14:textFill>
                  <w14:solidFill>
                    <w14:schemeClr w14:val="tx1"/>
                  </w14:solidFill>
                </w14:textFill>
              </w:rPr>
              <w:t>，或具备同等功能的设备</w:t>
            </w:r>
            <w:r>
              <w:rPr>
                <w:rFonts w:hint="eastAsia" w:ascii="宋体" w:hAnsi="宋体" w:eastAsia="宋体" w:cs="宋体"/>
                <w:color w:val="000000" w:themeColor="text1"/>
                <w:sz w:val="21"/>
                <w:szCs w:val="21"/>
                <w:highlight w:val="none"/>
                <w14:textFill>
                  <w14:solidFill>
                    <w14:schemeClr w14:val="tx1"/>
                  </w14:solidFill>
                </w14:textFill>
              </w:rPr>
              <w:t>），每台得</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分，最高得</w:t>
            </w:r>
            <w:r>
              <w:rPr>
                <w:rFonts w:hint="eastAsia" w:ascii="宋体" w:hAnsi="宋体" w:cs="宋体"/>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color w:val="000000" w:themeColor="text1"/>
                <w:sz w:val="21"/>
                <w:szCs w:val="21"/>
                <w:highlight w:val="none"/>
                <w14:textFill>
                  <w14:solidFill>
                    <w14:schemeClr w14:val="tx1"/>
                  </w14:solidFill>
                </w14:textFill>
              </w:rPr>
              <w:t>分。</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.若投标人有人工智能环卫机器人，每台得</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分，本小项最高得</w:t>
            </w:r>
            <w:r>
              <w:rPr>
                <w:rFonts w:hint="eastAsia" w:ascii="宋体" w:hAnsi="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分。</w:t>
            </w:r>
          </w:p>
          <w:p>
            <w:pPr>
              <w:pStyle w:val="24"/>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以上6项累计得分，本项最高得100分。</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（二）评分依据：</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①自有车辆需提供车辆行驶证</w:t>
            </w:r>
            <w:r>
              <w:rPr>
                <w:rFonts w:hint="eastAsia" w:ascii="宋体" w:hAnsi="宋体" w:eastAsia="宋体" w:cs="宋体"/>
                <w:color w:val="000000" w:themeColor="text1"/>
                <w:sz w:val="21"/>
                <w:szCs w:val="21"/>
                <w:highlight w:val="none"/>
                <w:lang w:eastAsia="zh-CN"/>
                <w14:textFill>
                  <w14:solidFill>
                    <w14:schemeClr w14:val="tx1"/>
                  </w14:solidFill>
                </w14:textFill>
              </w:rPr>
              <w:t>（非无人驾驶类小型环卫机械设备、人工智能环卫机器人除外）</w:t>
            </w:r>
            <w:r>
              <w:rPr>
                <w:rFonts w:hint="eastAsia" w:ascii="宋体" w:hAnsi="宋体" w:eastAsia="宋体" w:cs="宋体"/>
                <w:color w:val="000000" w:themeColor="text1"/>
                <w:sz w:val="21"/>
                <w:szCs w:val="21"/>
                <w:highlight w:val="none"/>
                <w14:textFill>
                  <w14:solidFill>
                    <w14:schemeClr w14:val="tx1"/>
                  </w14:solidFill>
                </w14:textFill>
              </w:rPr>
              <w:t>及购置发票扫描件，所有权必须属于投标</w:t>
            </w:r>
            <w:r>
              <w:rPr>
                <w:rFonts w:hint="eastAsia" w:ascii="宋体" w:hAnsi="宋体" w:eastAsia="宋体" w:cs="宋体"/>
                <w:color w:val="000000" w:themeColor="text1"/>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sz w:val="21"/>
                <w:szCs w:val="21"/>
                <w:highlight w:val="none"/>
                <w14:textFill>
                  <w14:solidFill>
                    <w14:schemeClr w14:val="tx1"/>
                  </w14:solidFill>
                </w14:textFill>
              </w:rPr>
              <w:t>；租赁车辆需提供车辆行驶证</w:t>
            </w:r>
            <w:r>
              <w:rPr>
                <w:rFonts w:hint="eastAsia" w:ascii="宋体" w:hAnsi="宋体" w:eastAsia="宋体" w:cs="宋体"/>
                <w:color w:val="000000" w:themeColor="text1"/>
                <w:sz w:val="21"/>
                <w:szCs w:val="21"/>
                <w:highlight w:val="none"/>
                <w:lang w:eastAsia="zh-CN"/>
                <w14:textFill>
                  <w14:solidFill>
                    <w14:schemeClr w14:val="tx1"/>
                  </w14:solidFill>
                </w14:textFill>
              </w:rPr>
              <w:t>（非无人驾驶类小型环卫机械设备、人工智能环卫机器人除外）</w:t>
            </w:r>
            <w:r>
              <w:rPr>
                <w:rFonts w:hint="eastAsia" w:ascii="宋体" w:hAnsi="宋体" w:eastAsia="宋体" w:cs="宋体"/>
                <w:color w:val="000000" w:themeColor="text1"/>
                <w:sz w:val="21"/>
                <w:szCs w:val="21"/>
                <w:highlight w:val="none"/>
                <w14:textFill>
                  <w14:solidFill>
                    <w14:schemeClr w14:val="tx1"/>
                  </w14:solidFill>
                </w14:textFill>
              </w:rPr>
              <w:t>、租赁合同及租赁发票</w:t>
            </w:r>
            <w:r>
              <w:rPr>
                <w:rFonts w:hint="eastAsia" w:ascii="宋体" w:hAnsi="宋体" w:cs="宋体"/>
                <w:color w:val="000000" w:themeColor="text1"/>
                <w:sz w:val="21"/>
                <w:szCs w:val="21"/>
                <w:highlight w:val="none"/>
                <w:lang w:eastAsia="zh-CN"/>
                <w14:textFill>
                  <w14:solidFill>
                    <w14:schemeClr w14:val="tx1"/>
                  </w14:solidFill>
                </w14:textFill>
              </w:rPr>
              <w:t>，出租人与车辆行驶证上的所有人的名称须一致</w:t>
            </w:r>
            <w:r>
              <w:rPr>
                <w:rFonts w:hint="eastAsia" w:ascii="宋体" w:hAnsi="宋体" w:eastAsia="宋体" w:cs="宋体"/>
                <w:color w:val="000000" w:themeColor="text1"/>
                <w:sz w:val="21"/>
                <w:szCs w:val="21"/>
                <w:highlight w:val="none"/>
                <w14:textFill>
                  <w14:solidFill>
                    <w14:schemeClr w14:val="tx1"/>
                  </w14:solidFill>
                </w14:textFill>
              </w:rPr>
              <w:t>；</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②车辆行驶证注册日期及购置发票开票日期必须在</w:t>
            </w:r>
            <w:r>
              <w:rPr>
                <w:rFonts w:hint="eastAsia" w:ascii="宋体" w:hAnsi="宋体" w:cs="宋体"/>
                <w:color w:val="000000" w:themeColor="text1"/>
                <w:sz w:val="21"/>
                <w:szCs w:val="21"/>
                <w:highlight w:val="none"/>
                <w:lang w:val="en-US" w:eastAsia="zh-CN"/>
                <w14:textFill>
                  <w14:solidFill>
                    <w14:schemeClr w14:val="tx1"/>
                  </w14:solidFill>
                </w14:textFill>
              </w:rPr>
              <w:t>2023</w:t>
            </w:r>
            <w:r>
              <w:rPr>
                <w:rFonts w:hint="eastAsia" w:ascii="宋体" w:hAnsi="宋体" w:eastAsia="宋体" w:cs="宋体"/>
                <w:color w:val="000000" w:themeColor="text1"/>
                <w:sz w:val="21"/>
                <w:szCs w:val="21"/>
                <w:highlight w:val="none"/>
                <w:lang w:val="en-US" w:eastAsia="zh-CN"/>
                <w14:textFill>
                  <w14:solidFill>
                    <w14:schemeClr w14:val="tx1"/>
                  </w14:solidFill>
                </w14:textFill>
              </w:rPr>
              <w:t>年1月1日至</w:t>
            </w:r>
            <w:r>
              <w:rPr>
                <w:rFonts w:hint="eastAsia" w:ascii="宋体" w:hAnsi="宋体" w:eastAsia="宋体" w:cs="宋体"/>
                <w:color w:val="000000" w:themeColor="text1"/>
                <w:sz w:val="21"/>
                <w:szCs w:val="21"/>
                <w:highlight w:val="none"/>
                <w14:textFill>
                  <w14:solidFill>
                    <w14:schemeClr w14:val="tx1"/>
                  </w14:solidFill>
                </w14:textFill>
              </w:rPr>
              <w:t>投标截止</w:t>
            </w:r>
            <w:r>
              <w:rPr>
                <w:rFonts w:hint="eastAsia" w:ascii="宋体" w:hAnsi="宋体" w:eastAsia="宋体" w:cs="宋体"/>
                <w:color w:val="000000" w:themeColor="text1"/>
                <w:sz w:val="21"/>
                <w:szCs w:val="21"/>
                <w:highlight w:val="none"/>
                <w:lang w:val="en-US" w:eastAsia="zh-CN"/>
                <w14:textFill>
                  <w14:solidFill>
                    <w14:schemeClr w14:val="tx1"/>
                  </w14:solidFill>
                </w14:textFill>
              </w:rPr>
              <w:t>之日内</w:t>
            </w:r>
            <w:r>
              <w:rPr>
                <w:rFonts w:hint="eastAsia" w:ascii="宋体" w:hAnsi="宋体" w:eastAsia="宋体" w:cs="宋体"/>
                <w:color w:val="000000" w:themeColor="text1"/>
                <w:sz w:val="21"/>
                <w:szCs w:val="21"/>
                <w:highlight w:val="none"/>
                <w14:textFill>
                  <w14:solidFill>
                    <w14:schemeClr w14:val="tx1"/>
                  </w14:solidFill>
                </w14:textFill>
              </w:rPr>
              <w:t>。车辆行驶证必须在检验有效期内，需提供行驶证上的车辆照片页及检验记录页；</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③纯电动需要提供证明其属于纯电动车辆的文件。</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.投标人应制作《环卫设备车辆汇总表》（格式自拟），逐台注明车辆设备名称、类型、编号、所有权人、品牌、规格型号、车辆注册日期（发票开票日期）等，并按照表中编号逐台顺序提供相关资料。其中洗扫</w:t>
            </w:r>
            <w:r>
              <w:rPr>
                <w:rFonts w:hint="eastAsia" w:ascii="宋体" w:hAnsi="宋体" w:eastAsia="宋体" w:cs="宋体"/>
                <w:color w:val="000000" w:themeColor="text1"/>
                <w:sz w:val="21"/>
                <w:szCs w:val="21"/>
                <w:highlight w:val="none"/>
                <w:lang w:eastAsia="zh-CN"/>
                <w14:textFill>
                  <w14:solidFill>
                    <w14:schemeClr w14:val="tx1"/>
                  </w14:solidFill>
                </w14:textFill>
              </w:rPr>
              <w:t>一体车</w:t>
            </w:r>
            <w:r>
              <w:rPr>
                <w:rFonts w:hint="eastAsia" w:ascii="宋体" w:hAnsi="宋体" w:eastAsia="宋体" w:cs="宋体"/>
                <w:color w:val="000000" w:themeColor="text1"/>
                <w:sz w:val="21"/>
                <w:szCs w:val="21"/>
                <w:highlight w:val="none"/>
                <w14:textFill>
                  <w14:solidFill>
                    <w14:schemeClr w14:val="tx1"/>
                  </w14:solidFill>
                </w14:textFill>
              </w:rPr>
              <w:t>、高压清洗车、</w:t>
            </w:r>
            <w:r>
              <w:rPr>
                <w:rFonts w:hint="eastAsia" w:ascii="宋体" w:hAnsi="宋体" w:cs="宋体"/>
                <w:color w:val="000000" w:themeColor="text1"/>
                <w:sz w:val="21"/>
                <w:szCs w:val="21"/>
                <w:highlight w:val="none"/>
                <w:lang w:eastAsia="zh-CN"/>
                <w14:textFill>
                  <w14:solidFill>
                    <w14:schemeClr w14:val="tx1"/>
                  </w14:solidFill>
                </w14:textFill>
              </w:rPr>
              <w:t>密闭式</w:t>
            </w:r>
            <w:r>
              <w:rPr>
                <w:rFonts w:hint="eastAsia" w:ascii="宋体" w:hAnsi="宋体" w:eastAsia="宋体" w:cs="宋体"/>
                <w:color w:val="000000" w:themeColor="text1"/>
                <w:sz w:val="21"/>
                <w:szCs w:val="21"/>
                <w:highlight w:val="none"/>
                <w14:textFill>
                  <w14:solidFill>
                    <w14:schemeClr w14:val="tx1"/>
                  </w14:solidFill>
                </w14:textFill>
              </w:rPr>
              <w:t>桶装垃圾车（不包括箱式货车及平板车）证明符合招标要求对应的车辆类型须提供机动车销售统一发票中的“车辆类别”证明或者提供对应品牌型号车辆的生产厂家使用说明书关键页以证明车辆功能符合要求，说明书描述的车辆品牌型号必须与车辆行驶证中登记的品牌型号一致，同品牌同型号的车辆提供一份说明书关键页即可。</w:t>
            </w:r>
            <w:r>
              <w:rPr>
                <w:rFonts w:hint="eastAsia" w:ascii="宋体" w:hAnsi="宋体" w:cs="宋体"/>
                <w:color w:val="000000" w:themeColor="text1"/>
                <w:sz w:val="21"/>
                <w:szCs w:val="21"/>
                <w:highlight w:val="none"/>
                <w:lang w:eastAsia="zh-CN"/>
                <w14:textFill>
                  <w14:solidFill>
                    <w14:schemeClr w14:val="tx1"/>
                  </w14:solidFill>
                </w14:textFill>
              </w:rPr>
              <w:t>密闭式</w:t>
            </w:r>
            <w:r>
              <w:rPr>
                <w:rFonts w:hint="eastAsia" w:ascii="宋体" w:hAnsi="宋体" w:eastAsia="宋体" w:cs="宋体"/>
                <w:color w:val="000000" w:themeColor="text1"/>
                <w:sz w:val="21"/>
                <w:szCs w:val="21"/>
                <w:highlight w:val="none"/>
                <w14:textFill>
                  <w14:solidFill>
                    <w14:schemeClr w14:val="tx1"/>
                  </w14:solidFill>
                </w14:textFill>
              </w:rPr>
              <w:t>桶装垃圾车（不包括</w:t>
            </w:r>
            <w:r>
              <w:rPr>
                <w:rFonts w:hint="eastAsia" w:ascii="宋体" w:hAnsi="宋体" w:eastAsia="宋体" w:cs="宋体"/>
                <w:color w:val="000000" w:themeColor="text1"/>
                <w:sz w:val="21"/>
                <w:szCs w:val="21"/>
                <w:highlight w:val="none"/>
                <w:lang w:eastAsia="zh-CN"/>
                <w14:textFill>
                  <w14:solidFill>
                    <w14:schemeClr w14:val="tx1"/>
                  </w14:solidFill>
                </w14:textFill>
              </w:rPr>
              <w:t>厢式</w:t>
            </w:r>
            <w:r>
              <w:rPr>
                <w:rFonts w:hint="eastAsia" w:ascii="宋体" w:hAnsi="宋体" w:eastAsia="宋体" w:cs="宋体"/>
                <w:color w:val="000000" w:themeColor="text1"/>
                <w:sz w:val="21"/>
                <w:szCs w:val="21"/>
                <w:highlight w:val="none"/>
                <w14:textFill>
                  <w14:solidFill>
                    <w14:schemeClr w14:val="tx1"/>
                  </w14:solidFill>
                </w14:textFill>
              </w:rPr>
              <w:t xml:space="preserve">货车及平板车）必须密闭，为证明其密闭性，投标人应另行提供车辆正前方、正后方、正侧面照片各一张，其中前、后方照片车牌号码应清晰可见。 </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.以上资料均要求提供扫描件（或官方网站截图），原件备查。评分中出现无证明资料或专家无法凭所提供资料判断是否得分的情况，相应评分内容作不得分处理。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vMerge w:val="continue"/>
            <w:tcBorders>
              <w:left w:val="single" w:color="auto" w:sz="4" w:space="0"/>
              <w:right w:val="single" w:color="auto" w:sz="4" w:space="0"/>
            </w:tcBorders>
            <w:vAlign w:val="center"/>
          </w:tcPr>
          <w:p>
            <w:pPr>
              <w:widowControl/>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686"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w:t>
            </w:r>
          </w:p>
        </w:tc>
        <w:tc>
          <w:tcPr>
            <w:tcW w:w="166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拟安排的项目负责人情况</w:t>
            </w:r>
          </w:p>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（仅限一人）</w:t>
            </w:r>
          </w:p>
        </w:tc>
        <w:tc>
          <w:tcPr>
            <w:tcW w:w="120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12</w:t>
            </w:r>
          </w:p>
        </w:tc>
        <w:tc>
          <w:tcPr>
            <w:tcW w:w="111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专家打分</w:t>
            </w:r>
          </w:p>
        </w:tc>
        <w:tc>
          <w:tcPr>
            <w:tcW w:w="4251" w:type="dxa"/>
            <w:tcBorders>
              <w:top w:val="single" w:color="auto" w:sz="4" w:space="0"/>
              <w:left w:val="single" w:color="auto" w:sz="4" w:space="0"/>
              <w:bottom w:val="single" w:color="auto" w:sz="4" w:space="0"/>
              <w:right w:val="single" w:color="auto" w:sz="4" w:space="0"/>
            </w:tcBorders>
            <w:vAlign w:val="center"/>
          </w:tcPr>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（一）评分内容：</w:t>
            </w:r>
          </w:p>
          <w:p>
            <w:pPr>
              <w:spacing w:line="240" w:lineRule="auto"/>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000000" w:themeColor="text1"/>
                <w:sz w:val="21"/>
                <w:szCs w:val="21"/>
                <w:highlight w:val="none"/>
                <w14:textFill>
                  <w14:solidFill>
                    <w14:schemeClr w14:val="tx1"/>
                  </w14:solidFill>
                </w14:textFill>
              </w:rPr>
              <w:t>考察投标人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如为联合体投标的，联合体成员单位任意一方满足</w:t>
            </w:r>
            <w:r>
              <w:rPr>
                <w:rFonts w:hint="eastAsia" w:ascii="宋体" w:hAnsi="宋体" w:cs="宋体"/>
                <w:color w:val="auto"/>
                <w:sz w:val="21"/>
                <w:szCs w:val="21"/>
                <w:highlight w:val="none"/>
                <w:lang w:val="en-US" w:eastAsia="zh-CN"/>
              </w:rPr>
              <w:t>即可</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拟安排的项目负责人情况需为自有员工（以社保为准）：</w:t>
            </w:r>
          </w:p>
          <w:p>
            <w:pPr>
              <w:spacing w:line="24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具有</w:t>
            </w:r>
            <w:r>
              <w:rPr>
                <w:rFonts w:hint="eastAsia" w:ascii="宋体" w:hAnsi="宋体" w:cs="宋体"/>
                <w:color w:val="auto"/>
                <w:sz w:val="21"/>
                <w:szCs w:val="21"/>
                <w:highlight w:val="none"/>
                <w:lang w:eastAsia="zh-CN"/>
              </w:rPr>
              <w:t>环境类专业</w:t>
            </w:r>
            <w:r>
              <w:rPr>
                <w:rFonts w:hint="eastAsia" w:ascii="宋体" w:hAnsi="宋体" w:eastAsia="宋体" w:cs="宋体"/>
                <w:color w:val="auto"/>
                <w:sz w:val="21"/>
                <w:szCs w:val="21"/>
                <w:highlight w:val="none"/>
                <w:lang w:eastAsia="zh-CN"/>
              </w:rPr>
              <w:t>研究生</w:t>
            </w:r>
            <w:r>
              <w:rPr>
                <w:rFonts w:hint="eastAsia" w:ascii="宋体" w:hAnsi="宋体" w:cs="宋体"/>
                <w:color w:val="auto"/>
                <w:sz w:val="21"/>
                <w:szCs w:val="21"/>
                <w:highlight w:val="none"/>
                <w:lang w:val="en-US" w:eastAsia="zh-CN"/>
              </w:rPr>
              <w:t>学历</w:t>
            </w:r>
            <w:r>
              <w:rPr>
                <w:rFonts w:hint="eastAsia" w:ascii="宋体" w:hAnsi="宋体" w:eastAsia="宋体" w:cs="宋体"/>
                <w:strike w:val="0"/>
                <w:dstrike w:val="0"/>
                <w:color w:val="auto"/>
                <w:sz w:val="21"/>
                <w:szCs w:val="21"/>
                <w:highlight w:val="none"/>
              </w:rPr>
              <w:t>得</w:t>
            </w:r>
            <w:r>
              <w:rPr>
                <w:rFonts w:hint="eastAsia" w:ascii="宋体" w:hAnsi="宋体" w:cs="宋体"/>
                <w:strike w:val="0"/>
                <w:dstrike w:val="0"/>
                <w:color w:val="auto"/>
                <w:sz w:val="21"/>
                <w:szCs w:val="21"/>
                <w:highlight w:val="none"/>
                <w:u w:val="none"/>
                <w:lang w:val="en-US" w:eastAsia="zh-CN"/>
              </w:rPr>
              <w:t>30</w:t>
            </w:r>
            <w:r>
              <w:rPr>
                <w:rFonts w:hint="eastAsia" w:ascii="宋体" w:hAnsi="宋体" w:eastAsia="宋体" w:cs="宋体"/>
                <w:strike w:val="0"/>
                <w:dstrike w:val="0"/>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具有</w:t>
            </w:r>
            <w:r>
              <w:rPr>
                <w:rFonts w:hint="eastAsia" w:ascii="宋体" w:hAnsi="宋体" w:cs="宋体"/>
                <w:color w:val="auto"/>
                <w:sz w:val="21"/>
                <w:szCs w:val="21"/>
                <w:highlight w:val="none"/>
                <w:lang w:eastAsia="zh-CN"/>
              </w:rPr>
              <w:t>环境类专业</w:t>
            </w:r>
            <w:r>
              <w:rPr>
                <w:rFonts w:hint="eastAsia" w:ascii="宋体" w:hAnsi="宋体" w:eastAsia="宋体" w:cs="宋体"/>
                <w:color w:val="auto"/>
                <w:sz w:val="21"/>
                <w:szCs w:val="21"/>
                <w:highlight w:val="none"/>
              </w:rPr>
              <w:t>本科学历</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得</w:t>
            </w: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r>
              <w:rPr>
                <w:rFonts w:hint="eastAsia" w:ascii="宋体" w:hAnsi="宋体" w:cs="宋体"/>
                <w:color w:val="auto"/>
                <w:sz w:val="21"/>
                <w:szCs w:val="21"/>
                <w:highlight w:val="none"/>
                <w:lang w:eastAsia="zh-CN"/>
              </w:rPr>
              <w:t>。本小项最高得</w:t>
            </w:r>
            <w:r>
              <w:rPr>
                <w:rFonts w:hint="eastAsia" w:ascii="宋体" w:hAnsi="宋体" w:cs="宋体"/>
                <w:strike w:val="0"/>
                <w:dstrike w:val="0"/>
                <w:color w:val="auto"/>
                <w:sz w:val="21"/>
                <w:szCs w:val="21"/>
                <w:highlight w:val="none"/>
                <w:lang w:val="en-US" w:eastAsia="zh-CN"/>
              </w:rPr>
              <w:t>30</w:t>
            </w:r>
            <w:r>
              <w:rPr>
                <w:rFonts w:hint="eastAsia" w:ascii="宋体" w:hAnsi="宋体" w:cs="宋体"/>
                <w:color w:val="auto"/>
                <w:sz w:val="21"/>
                <w:szCs w:val="21"/>
                <w:highlight w:val="none"/>
                <w:lang w:val="en-US" w:eastAsia="zh-CN"/>
              </w:rPr>
              <w:t>分；</w:t>
            </w:r>
          </w:p>
          <w:p>
            <w:pPr>
              <w:spacing w:line="24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具有环境类专业高级（含副高）职称证书，得</w:t>
            </w:r>
            <w:r>
              <w:rPr>
                <w:rFonts w:hint="eastAsia" w:ascii="宋体" w:hAnsi="宋体" w:cs="宋体"/>
                <w:color w:val="auto"/>
                <w:sz w:val="21"/>
                <w:szCs w:val="21"/>
                <w:highlight w:val="none"/>
                <w:lang w:val="en-US" w:eastAsia="zh-CN"/>
              </w:rPr>
              <w:t>40</w:t>
            </w:r>
            <w:r>
              <w:rPr>
                <w:rFonts w:hint="eastAsia" w:ascii="宋体" w:hAnsi="宋体" w:eastAsia="宋体" w:cs="宋体"/>
                <w:color w:val="auto"/>
                <w:sz w:val="21"/>
                <w:szCs w:val="21"/>
                <w:highlight w:val="none"/>
              </w:rPr>
              <w:t>分；具有环境类专业中级职称证书，得</w:t>
            </w: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本小项</w:t>
            </w:r>
            <w:r>
              <w:rPr>
                <w:rFonts w:hint="eastAsia" w:ascii="宋体" w:hAnsi="宋体" w:eastAsia="宋体" w:cs="宋体"/>
                <w:color w:val="auto"/>
                <w:sz w:val="21"/>
                <w:szCs w:val="21"/>
                <w:highlight w:val="none"/>
              </w:rPr>
              <w:t>最高得</w:t>
            </w:r>
            <w:r>
              <w:rPr>
                <w:rFonts w:hint="eastAsia" w:ascii="宋体" w:hAnsi="宋体" w:cs="宋体"/>
                <w:color w:val="auto"/>
                <w:sz w:val="21"/>
                <w:szCs w:val="21"/>
                <w:highlight w:val="none"/>
                <w:lang w:val="en-US" w:eastAsia="zh-CN"/>
              </w:rPr>
              <w:t>40</w:t>
            </w:r>
            <w:r>
              <w:rPr>
                <w:rFonts w:hint="eastAsia" w:ascii="宋体" w:hAnsi="宋体" w:eastAsia="宋体" w:cs="宋体"/>
                <w:color w:val="auto"/>
                <w:sz w:val="21"/>
                <w:szCs w:val="21"/>
                <w:highlight w:val="none"/>
              </w:rPr>
              <w:t>分</w:t>
            </w:r>
            <w:r>
              <w:rPr>
                <w:rFonts w:hint="eastAsia" w:ascii="宋体" w:hAnsi="宋体" w:cs="宋体"/>
                <w:color w:val="auto"/>
                <w:sz w:val="21"/>
                <w:szCs w:val="21"/>
                <w:highlight w:val="none"/>
                <w:lang w:eastAsia="zh-CN"/>
              </w:rPr>
              <w:t>；</w:t>
            </w:r>
          </w:p>
          <w:p>
            <w:pPr>
              <w:pStyle w:val="37"/>
              <w:keepNext w:val="0"/>
              <w:keepLines w:val="0"/>
              <w:widowControl/>
              <w:suppressLineNumbers w:val="0"/>
              <w:shd w:val="clear" w:color="auto" w:fill="FFFFFF"/>
              <w:wordWrap/>
              <w:spacing w:before="0" w:beforeAutospacing="0" w:after="0" w:afterAutospacing="0"/>
              <w:ind w:left="0" w:right="0" w:firstLine="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.具有1年市政环卫类或城市管家类相关项目管理经验的，得</w:t>
            </w:r>
            <w:r>
              <w:rPr>
                <w:rFonts w:hint="default" w:ascii="宋体" w:hAnsi="宋体" w:eastAsia="宋体" w:cs="宋体"/>
                <w:color w:val="000000" w:themeColor="text1"/>
                <w:kern w:val="2"/>
                <w:sz w:val="21"/>
                <w:szCs w:val="21"/>
                <w:highlight w:val="none"/>
                <w:lang w:eastAsia="zh-CN" w:bidi="ar-SA"/>
                <w14:textFill>
                  <w14:solidFill>
                    <w14:schemeClr w14:val="tx1"/>
                  </w14:solidFill>
                </w14:textFill>
              </w:rPr>
              <w:t>20</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分，每多</w:t>
            </w:r>
            <w:r>
              <w:rPr>
                <w:rFonts w:hint="eastAsia" w:ascii="宋体" w:hAnsi="宋体" w:eastAsia="宋体" w:cs="宋体"/>
                <w:color w:val="000000" w:themeColor="text1"/>
                <w:sz w:val="21"/>
                <w:szCs w:val="21"/>
                <w:highlight w:val="none"/>
                <w14:textFill>
                  <w14:solidFill>
                    <w14:schemeClr w14:val="tx1"/>
                  </w14:solidFill>
                </w14:textFill>
              </w:rPr>
              <w:t>1年管理经验多得5分，</w:t>
            </w:r>
            <w:r>
              <w:rPr>
                <w:rFonts w:hint="eastAsia" w:ascii="宋体" w:hAnsi="宋体" w:eastAsia="宋体" w:cs="宋体"/>
                <w:color w:val="000000" w:themeColor="text1"/>
                <w:sz w:val="21"/>
                <w:szCs w:val="21"/>
                <w:highlight w:val="none"/>
                <w:lang w:val="en-US" w:eastAsia="zh-CN"/>
                <w14:textFill>
                  <w14:solidFill>
                    <w14:schemeClr w14:val="tx1"/>
                  </w14:solidFill>
                </w14:textFill>
              </w:rPr>
              <w:t>本小项</w:t>
            </w:r>
            <w:r>
              <w:rPr>
                <w:rFonts w:hint="eastAsia" w:ascii="宋体" w:hAnsi="宋体" w:eastAsia="宋体" w:cs="宋体"/>
                <w:color w:val="000000" w:themeColor="text1"/>
                <w:sz w:val="21"/>
                <w:szCs w:val="21"/>
                <w:highlight w:val="none"/>
                <w14:textFill>
                  <w14:solidFill>
                    <w14:schemeClr w14:val="tx1"/>
                  </w14:solidFill>
                </w14:textFill>
              </w:rPr>
              <w:t>最高得</w:t>
            </w:r>
            <w:r>
              <w:rPr>
                <w:rFonts w:hint="default" w:ascii="宋体" w:hAnsi="宋体" w:eastAsia="宋体" w:cs="宋体"/>
                <w:color w:val="000000" w:themeColor="text1"/>
                <w:sz w:val="21"/>
                <w:szCs w:val="21"/>
                <w:highlight w:val="none"/>
                <w14:textFill>
                  <w14:solidFill>
                    <w14:schemeClr w14:val="tx1"/>
                  </w14:solidFill>
                </w14:textFill>
              </w:rPr>
              <w:t>30</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pPr>
              <w:spacing w:line="240" w:lineRule="auto"/>
              <w:jc w:val="left"/>
              <w:rPr>
                <w:rFonts w:hint="default" w:ascii="宋体" w:hAnsi="宋体" w:cs="宋体"/>
                <w:color w:val="000000" w:themeColor="text1"/>
                <w:sz w:val="21"/>
                <w:szCs w:val="21"/>
                <w:highlight w:val="none"/>
                <w:lang w:val="en-US" w:eastAsia="zh-CN"/>
                <w14:textFill>
                  <w14:solidFill>
                    <w14:schemeClr w14:val="tx1"/>
                  </w14:solidFill>
                </w14:textFill>
              </w:rPr>
            </w:pPr>
            <w:r>
              <w:rPr>
                <w:rFonts w:hint="default" w:ascii="宋体" w:hAnsi="宋体" w:cs="宋体"/>
                <w:color w:val="000000" w:themeColor="text1"/>
                <w:sz w:val="21"/>
                <w:szCs w:val="21"/>
                <w:highlight w:val="none"/>
                <w:lang w:val="en-US" w:eastAsia="zh-CN"/>
                <w14:textFill>
                  <w14:solidFill>
                    <w14:schemeClr w14:val="tx1"/>
                  </w14:solidFill>
                </w14:textFill>
              </w:rPr>
              <w:t>以上</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default" w:ascii="宋体" w:hAnsi="宋体" w:cs="宋体"/>
                <w:color w:val="000000" w:themeColor="text1"/>
                <w:sz w:val="21"/>
                <w:szCs w:val="21"/>
                <w:highlight w:val="none"/>
                <w:lang w:val="en-US" w:eastAsia="zh-CN"/>
                <w14:textFill>
                  <w14:solidFill>
                    <w14:schemeClr w14:val="tx1"/>
                  </w14:solidFill>
                </w14:textFill>
              </w:rPr>
              <w:t>项累计得分，</w:t>
            </w:r>
            <w:r>
              <w:rPr>
                <w:rFonts w:hint="eastAsia" w:ascii="宋体" w:hAnsi="宋体" w:cs="宋体"/>
                <w:color w:val="000000" w:themeColor="text1"/>
                <w:sz w:val="21"/>
                <w:szCs w:val="21"/>
                <w:highlight w:val="none"/>
                <w:lang w:val="en-US" w:eastAsia="zh-CN"/>
                <w14:textFill>
                  <w14:solidFill>
                    <w14:schemeClr w14:val="tx1"/>
                  </w14:solidFill>
                </w14:textFill>
              </w:rPr>
              <w:t>本项最高得</w:t>
            </w:r>
            <w:r>
              <w:rPr>
                <w:rFonts w:hint="default" w:ascii="宋体" w:hAnsi="宋体" w:cs="宋体"/>
                <w:color w:val="000000" w:themeColor="text1"/>
                <w:sz w:val="21"/>
                <w:szCs w:val="21"/>
                <w:highlight w:val="none"/>
                <w:lang w:val="en-US" w:eastAsia="zh-CN"/>
                <w14:textFill>
                  <w14:solidFill>
                    <w14:schemeClr w14:val="tx1"/>
                  </w14:solidFill>
                </w14:textFill>
              </w:rPr>
              <w:t>100分。</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（二）评分依据：</w:t>
            </w:r>
          </w:p>
          <w:p>
            <w:pPr>
              <w:spacing w:line="240" w:lineRule="auto"/>
              <w:jc w:val="left"/>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涉及学历的，要求提供证书扫描件以及学信网（https://www.chsi.com.cn/）查询记录。对于较早颁发的学历证书，学信网无法查询的，要求提供证书扫描件和其他佐证材料（如毕业院校、人社部门等颁发机构或监管机构等单位出具的证明）作为得分的依据。</w:t>
            </w:r>
          </w:p>
          <w:p>
            <w:pPr>
              <w:spacing w:line="240" w:lineRule="auto"/>
              <w:jc w:val="left"/>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海外留学（含港澳台）人员学历无法通过学信网站查询的，应当提供教育部留学服务中心出具的国外学历学位认证证书以及教育部留学服务中心官网（https://zwfw.cscse.edu.cn/）查询截图。若证明文件为其它语言，必须附中文译文，以中文译文为准。</w:t>
            </w:r>
          </w:p>
          <w:p>
            <w:pPr>
              <w:spacing w:line="240" w:lineRule="auto"/>
              <w:jc w:val="left"/>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2.涉及职称证书的，要求提供职称证书，</w:t>
            </w:r>
            <w:r>
              <w:rPr>
                <w:rFonts w:hint="eastAsia" w:ascii="宋体" w:hAnsi="宋体" w:eastAsia="宋体" w:cs="宋体"/>
                <w:color w:val="auto"/>
                <w:sz w:val="21"/>
                <w:szCs w:val="21"/>
                <w:highlight w:val="none"/>
              </w:rPr>
              <w:t>还需要同时提供“全国人力资源和社会保障政务服务平台”（http://www.12333.gov.cn）或人社部门官网的证书信息查询截图</w:t>
            </w:r>
            <w:r>
              <w:rPr>
                <w:rFonts w:hint="eastAsia" w:ascii="宋体" w:hAnsi="宋体" w:cs="宋体"/>
                <w:color w:val="auto"/>
                <w:sz w:val="21"/>
                <w:szCs w:val="21"/>
                <w:highlight w:val="none"/>
                <w:lang w:eastAsia="zh-CN"/>
              </w:rPr>
              <w:t>，</w:t>
            </w:r>
            <w:r>
              <w:rPr>
                <w:rFonts w:hint="eastAsia"/>
                <w:lang w:val="en-US" w:eastAsia="zh-CN"/>
              </w:rPr>
              <w:t>或人社部门审批的证明文件，否则不予认可，视为无效证书。</w:t>
            </w:r>
          </w:p>
          <w:p>
            <w:pPr>
              <w:spacing w:line="240" w:lineRule="auto"/>
              <w:jc w:val="left"/>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cs="宋体"/>
                <w:color w:val="000000" w:themeColor="text1"/>
                <w:sz w:val="21"/>
                <w:szCs w:val="21"/>
                <w:highlight w:val="none"/>
                <w:lang w:eastAsia="zh-CN"/>
                <w14:textFill>
                  <w14:solidFill>
                    <w14:schemeClr w14:val="tx1"/>
                  </w14:solidFill>
                </w14:textFill>
              </w:rPr>
              <w:t>涉及考察人员工作经验的，要求提供项目合同关键信息作为得分依据，</w:t>
            </w:r>
            <w:r>
              <w:rPr>
                <w:rFonts w:hint="eastAsia" w:ascii="宋体" w:hAnsi="宋体" w:eastAsia="宋体" w:cs="宋体"/>
                <w:color w:val="auto"/>
                <w:kern w:val="2"/>
                <w:sz w:val="21"/>
                <w:szCs w:val="21"/>
                <w:highlight w:val="none"/>
                <w:lang w:val="en-US" w:eastAsia="zh-CN" w:bidi="ar-SA"/>
              </w:rPr>
              <w:t>单个合同服务内容至少包含清扫、清运、清扫清运、公厕管理、垃圾分类、智慧环卫6项中的任意4项或以上服务内容（服务内容包含即可，文字表述可不完全一致），</w:t>
            </w:r>
            <w:r>
              <w:rPr>
                <w:rFonts w:hint="eastAsia" w:ascii="宋体" w:hAnsi="宋体" w:cs="宋体"/>
                <w:color w:val="000000" w:themeColor="text1"/>
                <w:sz w:val="21"/>
                <w:szCs w:val="21"/>
                <w:highlight w:val="none"/>
                <w:lang w:eastAsia="zh-CN"/>
                <w14:textFill>
                  <w14:solidFill>
                    <w14:schemeClr w14:val="tx1"/>
                  </w14:solidFill>
                </w14:textFill>
              </w:rPr>
              <w:t>通过合同关键信息无法判断是否得分的，还须同时提供合同甲方出具的证明文件</w:t>
            </w:r>
            <w:r>
              <w:rPr>
                <w:rFonts w:hint="eastAsia" w:ascii="宋体" w:hAnsi="宋体" w:cs="宋体"/>
                <w:color w:val="auto"/>
                <w:sz w:val="21"/>
                <w:szCs w:val="21"/>
                <w:highlight w:val="none"/>
                <w:lang w:eastAsia="zh-CN"/>
              </w:rPr>
              <w:t>，如提供多份合同且期限存在重叠的，不予重复计算。</w:t>
            </w:r>
          </w:p>
          <w:p>
            <w:pPr>
              <w:ind w:left="0" w:leftChars="0" w:firstLineChars="0"/>
              <w:jc w:val="left"/>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cs="宋体"/>
                <w:color w:val="000000" w:themeColor="text1"/>
                <w:sz w:val="21"/>
                <w:szCs w:val="21"/>
                <w:highlight w:val="none"/>
                <w:lang w:eastAsia="zh-CN"/>
                <w14:textFill>
                  <w14:solidFill>
                    <w14:schemeClr w14:val="tx1"/>
                  </w14:solidFill>
                </w14:textFill>
              </w:rPr>
              <w:t>.涉及人员社保的，要求提供通过投标人缴纳的近三个月的任意一个月的社保证明作为本单位员工的证明依据。若供应商成立不足三个月的，需提供成立情况说明函（格式自拟），无需提供相关人员社保，亦可得分。</w:t>
            </w:r>
          </w:p>
          <w:p>
            <w:pPr>
              <w:ind w:left="0" w:leftChars="0" w:firstLineChars="0"/>
              <w:jc w:val="left"/>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eastAsia" w:hAnsi="宋体" w:cs="宋体"/>
                <w:color w:val="000000" w:themeColor="text1"/>
                <w:sz w:val="21"/>
                <w:szCs w:val="21"/>
                <w:highlight w:val="none"/>
                <w:lang w:val="en-US" w:eastAsia="zh-CN"/>
                <w14:textFill>
                  <w14:solidFill>
                    <w14:schemeClr w14:val="tx1"/>
                  </w14:solidFill>
                </w14:textFill>
              </w:rPr>
              <w:t>涉及人员</w:t>
            </w:r>
            <w:r>
              <w:rPr>
                <w:rFonts w:hint="eastAsia" w:ascii="宋体" w:hAnsi="宋体" w:cs="宋体"/>
                <w:color w:val="000000" w:themeColor="text1"/>
                <w:sz w:val="21"/>
                <w:szCs w:val="21"/>
                <w:highlight w:val="none"/>
                <w:lang w:val="en-US" w:eastAsia="zh-CN"/>
                <w14:textFill>
                  <w14:solidFill>
                    <w14:schemeClr w14:val="tx1"/>
                  </w14:solidFill>
                </w14:textFill>
              </w:rPr>
              <w:t>证书</w:t>
            </w:r>
            <w:r>
              <w:rPr>
                <w:rFonts w:hint="eastAsia" w:hAnsi="宋体" w:cs="宋体"/>
                <w:color w:val="000000" w:themeColor="text1"/>
                <w:sz w:val="21"/>
                <w:szCs w:val="21"/>
                <w:highlight w:val="none"/>
                <w:lang w:val="en-US" w:eastAsia="zh-CN"/>
                <w14:textFill>
                  <w14:solidFill>
                    <w14:schemeClr w14:val="tx1"/>
                  </w14:solidFill>
                </w14:textFill>
              </w:rPr>
              <w:t>的，</w:t>
            </w:r>
            <w:r>
              <w:rPr>
                <w:rFonts w:hint="eastAsia"/>
                <w:color w:val="000000" w:themeColor="text1"/>
                <w:highlight w:val="none"/>
                <w:lang w:val="en-US" w:eastAsia="zh-CN"/>
                <w14:textFill>
                  <w14:solidFill>
                    <w14:schemeClr w14:val="tx1"/>
                  </w14:solidFill>
                </w14:textFill>
              </w:rPr>
              <w:t>提供证书扫描件。</w:t>
            </w:r>
          </w:p>
          <w:p>
            <w:pPr>
              <w:spacing w:line="240" w:lineRule="auto"/>
              <w:jc w:val="left"/>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w:t>
            </w:r>
            <w:r>
              <w:rPr>
                <w:rFonts w:hint="eastAsia" w:ascii="宋体" w:hAnsi="宋体" w:cs="宋体"/>
                <w:color w:val="000000" w:themeColor="text1"/>
                <w:sz w:val="21"/>
                <w:szCs w:val="21"/>
                <w:highlight w:val="none"/>
                <w:lang w:eastAsia="zh-CN"/>
                <w14:textFill>
                  <w14:solidFill>
                    <w14:schemeClr w14:val="tx1"/>
                  </w14:solidFill>
                </w14:textFill>
              </w:rPr>
              <w:t>.以上资料均要求提供扫描件，原件备查，评分中出现无证明资料或证书过期或专家无法凭所提供资料判断是否得分的情况，一律作不得分处理。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blCellSpacing w:w="0" w:type="dxa"/>
          <w:jc w:val="center"/>
        </w:trPr>
        <w:tc>
          <w:tcPr>
            <w:tcW w:w="731" w:type="dxa"/>
            <w:vMerge w:val="continue"/>
            <w:tcBorders>
              <w:left w:val="single" w:color="auto" w:sz="4" w:space="0"/>
              <w:right w:val="single" w:color="auto" w:sz="4" w:space="0"/>
            </w:tcBorders>
            <w:vAlign w:val="center"/>
          </w:tcPr>
          <w:p>
            <w:pPr>
              <w:widowControl/>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686" w:type="dxa"/>
            <w:tcBorders>
              <w:top w:val="single" w:color="auto" w:sz="4" w:space="0"/>
              <w:left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7</w:t>
            </w:r>
          </w:p>
        </w:tc>
        <w:tc>
          <w:tcPr>
            <w:tcW w:w="166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拟安排的项目团队成员</w:t>
            </w:r>
          </w:p>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（主要技术人员）情况（项目负责人除外）</w:t>
            </w:r>
          </w:p>
        </w:tc>
        <w:tc>
          <w:tcPr>
            <w:tcW w:w="120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10</w:t>
            </w:r>
          </w:p>
        </w:tc>
        <w:tc>
          <w:tcPr>
            <w:tcW w:w="111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专家打分</w:t>
            </w:r>
          </w:p>
        </w:tc>
        <w:tc>
          <w:tcPr>
            <w:tcW w:w="4251" w:type="dxa"/>
            <w:tcBorders>
              <w:top w:val="single" w:color="auto" w:sz="4" w:space="0"/>
              <w:left w:val="single" w:color="auto" w:sz="4" w:space="0"/>
              <w:bottom w:val="single" w:color="auto" w:sz="4" w:space="0"/>
              <w:right w:val="single" w:color="auto" w:sz="4" w:space="0"/>
            </w:tcBorders>
            <w:vAlign w:val="center"/>
          </w:tcPr>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（一）评分内容：</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考察投标人</w:t>
            </w:r>
            <w:r>
              <w:rPr>
                <w:rFonts w:hint="eastAsia" w:ascii="宋体" w:hAnsi="宋体" w:eastAsia="宋体" w:cs="宋体"/>
                <w:color w:val="000000" w:themeColor="text1"/>
                <w:sz w:val="21"/>
                <w:szCs w:val="21"/>
                <w:highlight w:val="none"/>
                <w:lang w:val="en-US" w:eastAsia="zh-CN"/>
                <w14:textFill>
                  <w14:solidFill>
                    <w14:schemeClr w14:val="tx1"/>
                  </w14:solidFill>
                </w14:textFill>
              </w:rPr>
              <w:t>（如为联合体投标的，联合体成员单位任意一方满足或联合体各方共同满足条件均可）拟安排的项目团队成员（主要技术人员）情况需为自有员工（以社保为准）：</w:t>
            </w:r>
          </w:p>
          <w:p>
            <w:pPr>
              <w:numPr>
                <w:ilvl w:val="255"/>
                <w:numId w:val="0"/>
              </w:num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1.拟安排的专职安全负责人</w:t>
            </w:r>
            <w:r>
              <w:rPr>
                <w:rFonts w:hint="eastAsia" w:ascii="宋体" w:hAnsi="宋体" w:cs="宋体"/>
                <w:color w:val="000000" w:themeColor="text1"/>
                <w:sz w:val="21"/>
                <w:szCs w:val="21"/>
                <w:highlight w:val="none"/>
                <w:lang w:val="en-US" w:eastAsia="zh-CN"/>
                <w14:textFill>
                  <w14:solidFill>
                    <w14:schemeClr w14:val="tx1"/>
                  </w14:solidFill>
                </w14:textFill>
              </w:rPr>
              <w:t>1人</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60</w:t>
            </w:r>
            <w:r>
              <w:rPr>
                <w:rFonts w:hint="eastAsia" w:ascii="宋体" w:hAnsi="宋体" w:eastAsia="宋体" w:cs="宋体"/>
                <w:color w:val="000000" w:themeColor="text1"/>
                <w:sz w:val="21"/>
                <w:szCs w:val="21"/>
                <w:highlight w:val="none"/>
                <w14:textFill>
                  <w14:solidFill>
                    <w14:schemeClr w14:val="tx1"/>
                  </w14:solidFill>
                </w14:textFill>
              </w:rPr>
              <w:t>分）：</w:t>
            </w:r>
          </w:p>
          <w:p>
            <w:pPr>
              <w:pStyle w:val="15"/>
              <w:ind w:left="0" w:lef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具有本科</w:t>
            </w:r>
            <w:r>
              <w:rPr>
                <w:rFonts w:hint="eastAsia" w:ascii="宋体" w:hAnsi="宋体" w:eastAsia="宋体" w:cs="宋体"/>
                <w:color w:val="000000" w:themeColor="text1"/>
                <w:sz w:val="21"/>
                <w:szCs w:val="21"/>
                <w:highlight w:val="none"/>
                <w:lang w:eastAsia="zh-CN"/>
                <w14:textFill>
                  <w14:solidFill>
                    <w14:schemeClr w14:val="tx1"/>
                  </w14:solidFill>
                </w14:textFill>
              </w:rPr>
              <w:t>（或以上）</w:t>
            </w:r>
            <w:r>
              <w:rPr>
                <w:rFonts w:hint="eastAsia" w:ascii="宋体" w:hAnsi="宋体" w:eastAsia="宋体" w:cs="宋体"/>
                <w:color w:val="000000" w:themeColor="text1"/>
                <w:sz w:val="21"/>
                <w:szCs w:val="21"/>
                <w:highlight w:val="none"/>
                <w14:textFill>
                  <w14:solidFill>
                    <w14:schemeClr w14:val="tx1"/>
                  </w14:solidFill>
                </w14:textFill>
              </w:rPr>
              <w:t>学历</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cs="宋体"/>
                <w:color w:val="000000" w:themeColor="text1"/>
                <w:sz w:val="21"/>
                <w:szCs w:val="21"/>
                <w:highlight w:val="none"/>
                <w:lang w:eastAsia="zh-CN"/>
                <w14:textFill>
                  <w14:solidFill>
                    <w14:schemeClr w14:val="tx1"/>
                  </w14:solidFill>
                </w14:textFill>
              </w:rPr>
              <w:t>。本小项最高得</w:t>
            </w:r>
            <w:r>
              <w:rPr>
                <w:rFonts w:hint="eastAsia" w:ascii="宋体" w:hAnsi="宋体" w:cs="宋体"/>
                <w:color w:val="000000" w:themeColor="text1"/>
                <w:sz w:val="21"/>
                <w:szCs w:val="21"/>
                <w:highlight w:val="none"/>
                <w:lang w:val="en-US" w:eastAsia="zh-CN"/>
                <w14:textFill>
                  <w14:solidFill>
                    <w14:schemeClr w14:val="tx1"/>
                  </w14:solidFill>
                </w14:textFill>
              </w:rPr>
              <w:t>30分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pPr>
              <w:pStyle w:val="15"/>
              <w:ind w:left="0" w:lef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）具有</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年</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市政环卫类或城市管家类</w:t>
            </w:r>
            <w:r>
              <w:rPr>
                <w:rFonts w:hint="eastAsia"/>
                <w:color w:val="000000" w:themeColor="text1"/>
                <w:highlight w:val="none"/>
                <w14:textFill>
                  <w14:solidFill>
                    <w14:schemeClr w14:val="tx1"/>
                  </w14:solidFill>
                </w14:textFill>
              </w:rPr>
              <w:t>相关项目安全管理经验的得</w:t>
            </w: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14:textFill>
                  <w14:solidFill>
                    <w14:schemeClr w14:val="tx1"/>
                  </w14:solidFill>
                </w14:textFill>
              </w:rPr>
              <w:t>分，每多1年安全管理经验多得</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分，</w:t>
            </w:r>
            <w:r>
              <w:rPr>
                <w:rFonts w:hint="eastAsia"/>
                <w:color w:val="000000" w:themeColor="text1"/>
                <w:highlight w:val="none"/>
                <w:lang w:val="en-US" w:eastAsia="zh-CN"/>
                <w14:textFill>
                  <w14:solidFill>
                    <w14:schemeClr w14:val="tx1"/>
                  </w14:solidFill>
                </w14:textFill>
              </w:rPr>
              <w:t>本小项</w:t>
            </w:r>
            <w:r>
              <w:rPr>
                <w:rFonts w:hint="eastAsia"/>
                <w:color w:val="000000" w:themeColor="text1"/>
                <w:highlight w:val="none"/>
                <w14:textFill>
                  <w14:solidFill>
                    <w14:schemeClr w14:val="tx1"/>
                  </w14:solidFill>
                </w14:textFill>
              </w:rPr>
              <w:t>最高得</w:t>
            </w:r>
            <w:r>
              <w:rPr>
                <w:rFonts w:hint="eastAsia"/>
                <w:color w:val="000000" w:themeColor="text1"/>
                <w:highlight w:val="none"/>
                <w:lang w:val="en-US" w:eastAsia="zh-CN"/>
                <w14:textFill>
                  <w14:solidFill>
                    <w14:schemeClr w14:val="tx1"/>
                  </w14:solidFill>
                </w14:textFill>
              </w:rPr>
              <w:t>30</w:t>
            </w:r>
            <w:r>
              <w:rPr>
                <w:rFonts w:hint="eastAsia"/>
                <w:color w:val="000000" w:themeColor="text1"/>
                <w:highlight w:val="none"/>
                <w14:textFill>
                  <w14:solidFill>
                    <w14:schemeClr w14:val="tx1"/>
                  </w14:solidFill>
                </w14:textFill>
              </w:rPr>
              <w:t>分。</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.拟安排的</w:t>
            </w:r>
            <w:r>
              <w:rPr>
                <w:rFonts w:hint="eastAsia" w:ascii="宋体" w:hAnsi="宋体" w:cs="宋体"/>
                <w:color w:val="000000" w:themeColor="text1"/>
                <w:szCs w:val="21"/>
                <w:highlight w:val="none"/>
                <w14:textFill>
                  <w14:solidFill>
                    <w14:schemeClr w14:val="tx1"/>
                  </w14:solidFill>
                </w14:textFill>
              </w:rPr>
              <w:t>信息化管理员</w:t>
            </w:r>
            <w:r>
              <w:rPr>
                <w:rFonts w:hint="eastAsia" w:ascii="宋体" w:hAnsi="宋体" w:cs="宋体"/>
                <w:color w:val="000000" w:themeColor="text1"/>
                <w:sz w:val="21"/>
                <w:szCs w:val="21"/>
                <w:highlight w:val="none"/>
                <w:lang w:val="en-US" w:eastAsia="zh-CN"/>
                <w14:textFill>
                  <w14:solidFill>
                    <w14:schemeClr w14:val="tx1"/>
                  </w14:solidFill>
                </w14:textFill>
              </w:rPr>
              <w:t>1人</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40</w:t>
            </w:r>
            <w:r>
              <w:rPr>
                <w:rFonts w:hint="eastAsia" w:ascii="宋体" w:hAnsi="宋体" w:eastAsia="宋体" w:cs="宋体"/>
                <w:color w:val="000000" w:themeColor="text1"/>
                <w:sz w:val="21"/>
                <w:szCs w:val="21"/>
                <w:highlight w:val="none"/>
                <w14:textFill>
                  <w14:solidFill>
                    <w14:schemeClr w14:val="tx1"/>
                  </w14:solidFill>
                </w14:textFill>
              </w:rPr>
              <w:t>分）：</w:t>
            </w:r>
          </w:p>
          <w:p>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具有计算机类专业本科（或以上）学历</w:t>
            </w:r>
            <w:r>
              <w:rPr>
                <w:rFonts w:hint="eastAsia"/>
                <w:lang w:val="en-US" w:eastAsia="zh-CN"/>
              </w:rPr>
              <w:t>，得15分。</w:t>
            </w:r>
            <w:r>
              <w:rPr>
                <w:rFonts w:hint="eastAsia" w:ascii="宋体" w:hAnsi="宋体" w:cs="宋体"/>
                <w:color w:val="000000" w:themeColor="text1"/>
                <w:sz w:val="21"/>
                <w:szCs w:val="21"/>
                <w:highlight w:val="none"/>
                <w:lang w:val="en-US" w:eastAsia="zh-CN"/>
                <w14:textFill>
                  <w14:solidFill>
                    <w14:schemeClr w14:val="tx1"/>
                  </w14:solidFill>
                </w14:textFill>
              </w:rPr>
              <w:t>本小项</w:t>
            </w:r>
            <w:r>
              <w:rPr>
                <w:rFonts w:hint="eastAsia" w:ascii="宋体" w:hAnsi="宋体" w:eastAsia="宋体" w:cs="宋体"/>
                <w:color w:val="000000" w:themeColor="text1"/>
                <w:sz w:val="21"/>
                <w:szCs w:val="21"/>
                <w:highlight w:val="none"/>
                <w14:textFill>
                  <w14:solidFill>
                    <w14:schemeClr w14:val="tx1"/>
                  </w14:solidFill>
                </w14:textFill>
              </w:rPr>
              <w:t>最高得</w:t>
            </w:r>
            <w:r>
              <w:rPr>
                <w:rFonts w:hint="eastAsia" w:ascii="宋体" w:hAnsi="宋体" w:cs="宋体"/>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pPr>
              <w:numPr>
                <w:ilvl w:val="255"/>
                <w:numId w:val="0"/>
              </w:numPr>
              <w:spacing w:line="240" w:lineRule="auto"/>
              <w:jc w:val="left"/>
              <w:rPr>
                <w:rFonts w:hint="eastAsia" w:ascii="宋体" w:hAnsi="宋体" w:eastAsia="宋体" w:cs="宋体"/>
                <w:color w:val="auto"/>
                <w:sz w:val="21"/>
                <w:szCs w:val="21"/>
                <w:highlight w:val="none"/>
                <w:lang w:eastAsia="zh-CN"/>
              </w:rPr>
            </w:pPr>
            <w:r>
              <w:rPr>
                <w:rFonts w:hint="eastAsia"/>
                <w:color w:val="000000" w:themeColor="text1"/>
                <w:highlight w:val="none"/>
                <w14:textFill>
                  <w14:solidFill>
                    <w14:schemeClr w14:val="tx1"/>
                  </w14:solidFill>
                </w14:textFill>
              </w:rPr>
              <w:t>（2)具有计算机类专业</w:t>
            </w:r>
            <w:r>
              <w:rPr>
                <w:rFonts w:hint="eastAsia"/>
                <w:color w:val="auto"/>
                <w:highlight w:val="none"/>
                <w:lang w:eastAsia="zh-CN"/>
              </w:rPr>
              <w:t>高</w:t>
            </w:r>
            <w:r>
              <w:rPr>
                <w:rFonts w:hint="eastAsia"/>
                <w:color w:val="auto"/>
                <w:highlight w:val="none"/>
              </w:rPr>
              <w:t>级技术资格证书</w:t>
            </w:r>
            <w:r>
              <w:rPr>
                <w:rFonts w:hint="eastAsia"/>
                <w:color w:val="auto"/>
                <w:highlight w:val="none"/>
                <w:lang w:eastAsia="zh-CN"/>
              </w:rPr>
              <w:t>，</w:t>
            </w:r>
            <w:r>
              <w:rPr>
                <w:rFonts w:hint="eastAsia"/>
                <w:color w:val="auto"/>
                <w:highlight w:val="none"/>
              </w:rPr>
              <w:t>得</w:t>
            </w:r>
            <w:r>
              <w:rPr>
                <w:rFonts w:hint="eastAsia"/>
                <w:color w:val="auto"/>
                <w:highlight w:val="none"/>
                <w:lang w:val="en-US" w:eastAsia="zh-CN"/>
              </w:rPr>
              <w:t>15</w:t>
            </w:r>
            <w:r>
              <w:rPr>
                <w:rFonts w:hint="eastAsia"/>
                <w:color w:val="auto"/>
                <w:highlight w:val="none"/>
              </w:rPr>
              <w:t>分</w:t>
            </w:r>
            <w:r>
              <w:rPr>
                <w:rFonts w:hint="eastAsia"/>
                <w:color w:val="auto"/>
                <w:highlight w:val="none"/>
                <w:lang w:eastAsia="zh-CN"/>
              </w:rPr>
              <w:t>；</w:t>
            </w:r>
            <w:r>
              <w:rPr>
                <w:rFonts w:hint="eastAsia"/>
                <w:color w:val="auto"/>
                <w:highlight w:val="none"/>
              </w:rPr>
              <w:t>具有计算机类专业</w:t>
            </w:r>
            <w:r>
              <w:rPr>
                <w:rFonts w:hint="eastAsia"/>
                <w:strike w:val="0"/>
                <w:dstrike w:val="0"/>
                <w:color w:val="auto"/>
                <w:highlight w:val="none"/>
                <w:lang w:eastAsia="zh-CN"/>
              </w:rPr>
              <w:t>中</w:t>
            </w:r>
            <w:r>
              <w:rPr>
                <w:rFonts w:hint="eastAsia"/>
                <w:color w:val="auto"/>
                <w:highlight w:val="none"/>
              </w:rPr>
              <w:t>级技术资格证书</w:t>
            </w:r>
            <w:r>
              <w:rPr>
                <w:rFonts w:hint="eastAsia"/>
                <w:color w:val="auto"/>
                <w:highlight w:val="none"/>
                <w:lang w:eastAsia="zh-CN"/>
              </w:rPr>
              <w:t>，</w:t>
            </w:r>
            <w:r>
              <w:rPr>
                <w:rFonts w:hint="eastAsia"/>
                <w:color w:val="auto"/>
                <w:highlight w:val="none"/>
              </w:rPr>
              <w:t>得</w:t>
            </w:r>
            <w:r>
              <w:rPr>
                <w:rFonts w:hint="eastAsia"/>
                <w:color w:val="auto"/>
                <w:highlight w:val="none"/>
                <w:lang w:val="en-US" w:eastAsia="zh-CN"/>
              </w:rPr>
              <w:t>10</w:t>
            </w:r>
            <w:r>
              <w:rPr>
                <w:rFonts w:hint="eastAsia"/>
                <w:color w:val="auto"/>
                <w:highlight w:val="none"/>
              </w:rPr>
              <w:t>分</w:t>
            </w:r>
            <w:r>
              <w:rPr>
                <w:rFonts w:hint="eastAsia"/>
                <w:color w:val="auto"/>
                <w:highlight w:val="none"/>
                <w:lang w:eastAsia="zh-CN"/>
              </w:rPr>
              <w:t>。</w:t>
            </w:r>
            <w:r>
              <w:rPr>
                <w:rFonts w:hint="eastAsia" w:ascii="宋体" w:hAnsi="宋体" w:eastAsia="宋体" w:cs="宋体"/>
                <w:color w:val="auto"/>
                <w:sz w:val="21"/>
                <w:szCs w:val="21"/>
                <w:highlight w:val="none"/>
                <w:lang w:val="en-US" w:eastAsia="zh-CN"/>
              </w:rPr>
              <w:t>本小项</w:t>
            </w:r>
            <w:r>
              <w:rPr>
                <w:rFonts w:hint="eastAsia" w:ascii="宋体" w:hAnsi="宋体" w:eastAsia="宋体" w:cs="宋体"/>
                <w:color w:val="auto"/>
                <w:sz w:val="21"/>
                <w:szCs w:val="21"/>
                <w:highlight w:val="none"/>
              </w:rPr>
              <w:t>最高得</w:t>
            </w:r>
            <w:r>
              <w:rPr>
                <w:rFonts w:hint="eastAsia" w:ascii="Times New Roman" w:hAnsi="Times New Roman" w:eastAsia="宋体" w:cs="Times New Roman"/>
                <w:color w:val="auto"/>
                <w:kern w:val="2"/>
                <w:sz w:val="21"/>
                <w:szCs w:val="24"/>
                <w:highlight w:val="none"/>
                <w:lang w:val="en-US" w:eastAsia="zh-CN" w:bidi="ar-SA"/>
              </w:rPr>
              <w:t>15</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p>
          <w:p>
            <w:pPr>
              <w:rPr>
                <w:rFonts w:hint="eastAsia"/>
                <w:color w:val="000000" w:themeColor="text1"/>
                <w:highlight w:val="none"/>
                <w14:textFill>
                  <w14:solidFill>
                    <w14:schemeClr w14:val="tx1"/>
                  </w14:solidFill>
                </w14:textFill>
              </w:rPr>
            </w:pPr>
            <w:r>
              <w:rPr>
                <w:rFonts w:hint="eastAsia"/>
                <w:color w:val="auto"/>
                <w:highlight w:val="none"/>
              </w:rPr>
              <w:t>（3)具有1年</w:t>
            </w:r>
            <w:r>
              <w:rPr>
                <w:rFonts w:hint="eastAsia" w:ascii="宋体" w:hAnsi="宋体" w:eastAsia="宋体" w:cs="宋体"/>
                <w:color w:val="auto"/>
                <w:sz w:val="21"/>
                <w:szCs w:val="21"/>
                <w:highlight w:val="none"/>
                <w:lang w:eastAsia="zh-CN"/>
              </w:rPr>
              <w:t>（或以上）</w:t>
            </w:r>
            <w:r>
              <w:rPr>
                <w:rFonts w:hint="eastAsia" w:ascii="宋体" w:hAnsi="宋体" w:eastAsia="宋体" w:cs="宋体"/>
                <w:color w:val="auto"/>
                <w:kern w:val="2"/>
                <w:sz w:val="21"/>
                <w:szCs w:val="21"/>
                <w:highlight w:val="none"/>
                <w:lang w:val="en-US" w:eastAsia="zh-CN" w:bidi="ar-SA"/>
              </w:rPr>
              <w:t>市政</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环卫类或城市管家类</w:t>
            </w:r>
            <w:r>
              <w:rPr>
                <w:rFonts w:hint="eastAsia"/>
                <w:color w:val="000000" w:themeColor="text1"/>
                <w:highlight w:val="none"/>
                <w14:textFill>
                  <w14:solidFill>
                    <w14:schemeClr w14:val="tx1"/>
                  </w14:solidFill>
                </w14:textFill>
              </w:rPr>
              <w:t>相关项目工作经验的得1</w:t>
            </w:r>
            <w:r>
              <w:rPr>
                <w:rFonts w:hint="eastAsia"/>
                <w:color w:val="000000" w:themeColor="text1"/>
                <w:highlight w:val="none"/>
                <w:lang w:val="en-US" w:eastAsia="zh-CN"/>
                <w14:textFill>
                  <w14:solidFill>
                    <w14:schemeClr w14:val="tx1"/>
                  </w14:solidFill>
                </w14:textFill>
              </w:rPr>
              <w:t>0</w:t>
            </w:r>
            <w:r>
              <w:rPr>
                <w:rFonts w:hint="eastAsia"/>
                <w:color w:val="000000" w:themeColor="text1"/>
                <w:highlight w:val="none"/>
                <w14:textFill>
                  <w14:solidFill>
                    <w14:schemeClr w14:val="tx1"/>
                  </w14:solidFill>
                </w14:textFill>
              </w:rPr>
              <w:t>分。</w:t>
            </w:r>
          </w:p>
          <w:p>
            <w:pPr>
              <w:pStyle w:val="24"/>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上述1.2项人员不可重复得分，一人符合多个条件时，只按照对投标人最有利的方案计算一次得分。</w:t>
            </w:r>
          </w:p>
          <w:p>
            <w:pPr>
              <w:pStyle w:val="24"/>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以上2项累计得分，本项最高得100分。</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（二）评分依据：</w:t>
            </w:r>
          </w:p>
          <w:p>
            <w:pPr>
              <w:spacing w:line="240" w:lineRule="auto"/>
              <w:jc w:val="left"/>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涉及学历的，要求提供证书扫描件以及学信网（https://www.chsi.com.cn/）查询记录。对于较早颁发的学历证书，学信网无法查询的，要求提供证书扫描件和其他佐证材料（如毕业院校、人社部门等颁发机构或监管机构等单位出具的证明）作为得分的依据。</w:t>
            </w:r>
          </w:p>
          <w:p>
            <w:pPr>
              <w:spacing w:line="240" w:lineRule="auto"/>
              <w:jc w:val="left"/>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海外留学（含港澳台）人员学历无法通过学信网站查询的，应当提供教育部留学服务中心出具的国外学历学位认证证书以及教育部留学服务中心官网（https://zwfw.cscse.edu.cn/）查询截图。若证明文件为其它语言，必须附中文译文，以中文译文为准。</w:t>
            </w:r>
          </w:p>
          <w:p>
            <w:pPr>
              <w:spacing w:line="24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b w:val="0"/>
                <w:bCs w:val="0"/>
                <w:color w:val="auto"/>
                <w:sz w:val="21"/>
                <w:szCs w:val="21"/>
                <w:highlight w:val="none"/>
              </w:rPr>
              <w:t>涉及</w:t>
            </w:r>
            <w:r>
              <w:rPr>
                <w:rFonts w:hint="eastAsia" w:ascii="宋体" w:hAnsi="宋体" w:cs="宋体"/>
                <w:b w:val="0"/>
                <w:bCs w:val="0"/>
                <w:color w:val="auto"/>
                <w:sz w:val="21"/>
                <w:szCs w:val="21"/>
                <w:highlight w:val="none"/>
                <w:lang w:val="en-US" w:eastAsia="zh-CN"/>
              </w:rPr>
              <w:t>职业资格</w:t>
            </w:r>
            <w:r>
              <w:rPr>
                <w:rFonts w:hint="eastAsia" w:ascii="宋体" w:hAnsi="宋体" w:eastAsia="宋体" w:cs="宋体"/>
                <w:b w:val="0"/>
                <w:bCs w:val="0"/>
                <w:color w:val="auto"/>
                <w:sz w:val="21"/>
                <w:szCs w:val="21"/>
                <w:highlight w:val="none"/>
              </w:rPr>
              <w:t>或职业技能等级证书的</w:t>
            </w:r>
            <w:r>
              <w:rPr>
                <w:rFonts w:hint="eastAsia" w:ascii="宋体" w:hAnsi="宋体" w:eastAsia="宋体" w:cs="宋体"/>
                <w:color w:val="auto"/>
                <w:sz w:val="21"/>
                <w:szCs w:val="21"/>
                <w:highlight w:val="none"/>
                <w:lang w:eastAsia="zh-CN"/>
              </w:rPr>
              <w:t>，要求</w:t>
            </w:r>
            <w:r>
              <w:rPr>
                <w:rFonts w:hint="eastAsia" w:ascii="宋体" w:hAnsi="宋体" w:eastAsia="宋体" w:cs="宋体"/>
                <w:color w:val="auto"/>
                <w:sz w:val="21"/>
                <w:szCs w:val="21"/>
                <w:highlight w:val="none"/>
              </w:rPr>
              <w:t>提供相关有效证书；</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若为职业资格证书或职业技能等级证书，还需要同时提供证书在</w:t>
            </w:r>
            <w:r>
              <w:rPr>
                <w:rFonts w:hint="eastAsia" w:ascii="宋体" w:hAnsi="宋体" w:cs="宋体"/>
                <w:color w:val="auto"/>
                <w:sz w:val="21"/>
                <w:szCs w:val="21"/>
                <w:highlight w:val="none"/>
                <w:lang w:val="en-US" w:eastAsia="zh-CN"/>
              </w:rPr>
              <w:t>国家职业资格证书查询官网（</w:t>
            </w:r>
            <w:r>
              <w:rPr>
                <w:rFonts w:hint="eastAsia" w:ascii="宋体" w:hAnsi="宋体" w:eastAsia="宋体" w:cs="宋体"/>
                <w:color w:val="auto"/>
                <w:sz w:val="21"/>
                <w:szCs w:val="21"/>
                <w:highlight w:val="none"/>
              </w:rPr>
              <w:t>https://jndj.osta.org.cn/h5/</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或</w:t>
            </w:r>
            <w:r>
              <w:rPr>
                <w:rFonts w:hint="eastAsia" w:ascii="宋体" w:hAnsi="宋体" w:eastAsia="宋体" w:cs="宋体"/>
                <w:color w:val="auto"/>
                <w:sz w:val="21"/>
                <w:szCs w:val="21"/>
                <w:highlight w:val="none"/>
              </w:rPr>
              <w:t>技能人才评价证书全国联网查询</w:t>
            </w:r>
            <w:r>
              <w:rPr>
                <w:rFonts w:hint="eastAsia" w:ascii="宋体" w:hAnsi="宋体" w:cs="宋体"/>
                <w:color w:val="auto"/>
                <w:sz w:val="21"/>
                <w:szCs w:val="21"/>
                <w:highlight w:val="none"/>
                <w:lang w:val="en-US" w:eastAsia="zh-CN"/>
              </w:rPr>
              <w:t>系统</w:t>
            </w:r>
            <w:r>
              <w:rPr>
                <w:rFonts w:hint="eastAsia" w:ascii="宋体" w:hAnsi="宋体" w:eastAsia="宋体" w:cs="宋体"/>
                <w:color w:val="auto"/>
                <w:sz w:val="21"/>
                <w:szCs w:val="21"/>
                <w:highlight w:val="none"/>
              </w:rPr>
              <w:t>（http://zscx.osta.org.cn/）</w:t>
            </w:r>
            <w:r>
              <w:rPr>
                <w:rFonts w:hint="eastAsia" w:ascii="宋体" w:hAnsi="宋体" w:cs="宋体"/>
                <w:color w:val="auto"/>
                <w:sz w:val="21"/>
                <w:szCs w:val="21"/>
                <w:highlight w:val="none"/>
                <w:lang w:val="en-US" w:eastAsia="zh-CN"/>
              </w:rPr>
              <w:t>的</w:t>
            </w:r>
            <w:r>
              <w:rPr>
                <w:rFonts w:hint="eastAsia" w:ascii="宋体" w:hAnsi="宋体" w:eastAsia="宋体" w:cs="宋体"/>
                <w:color w:val="auto"/>
                <w:sz w:val="21"/>
                <w:szCs w:val="21"/>
                <w:highlight w:val="none"/>
              </w:rPr>
              <w:t>查询截图；</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若为</w:t>
            </w:r>
            <w:r>
              <w:rPr>
                <w:rFonts w:hint="eastAsia" w:ascii="宋体" w:hAnsi="宋体" w:eastAsia="宋体" w:cs="宋体"/>
                <w:b w:val="0"/>
                <w:bCs w:val="0"/>
                <w:color w:val="auto"/>
                <w:sz w:val="21"/>
                <w:szCs w:val="21"/>
                <w:highlight w:val="none"/>
              </w:rPr>
              <w:t>相关行业协会（学会、机构）颁发的，还需要同时提供该协会（学会、机构）在中国社会组织政务服务平台（网址 https://chinanpo.mca.gov.cn)的查询“正常”页面截图；或该协会（学会、机构）由政府部门或行政事业单位审批的证明文件，</w:t>
            </w:r>
            <w:r>
              <w:rPr>
                <w:rFonts w:hint="eastAsia" w:ascii="宋体" w:hAnsi="宋体" w:eastAsia="宋体" w:cs="宋体"/>
                <w:color w:val="auto"/>
                <w:sz w:val="21"/>
                <w:szCs w:val="21"/>
                <w:highlight w:val="none"/>
              </w:rPr>
              <w:t>否则不予认可，视为无效证书</w:t>
            </w:r>
            <w:r>
              <w:rPr>
                <w:rFonts w:hint="eastAsia" w:ascii="宋体" w:hAnsi="宋体" w:eastAsia="宋体" w:cs="宋体"/>
                <w:color w:val="auto"/>
                <w:sz w:val="21"/>
                <w:szCs w:val="21"/>
                <w:highlight w:val="none"/>
                <w:lang w:eastAsia="zh-CN"/>
              </w:rPr>
              <w:t>。</w:t>
            </w:r>
          </w:p>
          <w:p>
            <w:pPr>
              <w:spacing w:line="240" w:lineRule="auto"/>
              <w:jc w:val="left"/>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cs="宋体"/>
                <w:color w:val="000000" w:themeColor="text1"/>
                <w:sz w:val="21"/>
                <w:szCs w:val="21"/>
                <w:highlight w:val="none"/>
                <w:lang w:eastAsia="zh-CN"/>
                <w14:textFill>
                  <w14:solidFill>
                    <w14:schemeClr w14:val="tx1"/>
                  </w14:solidFill>
                </w14:textFill>
              </w:rPr>
              <w:t>涉及考察人员工作经验的，</w:t>
            </w:r>
            <w:r>
              <w:rPr>
                <w:rFonts w:hint="eastAsia" w:ascii="宋体" w:hAnsi="宋体" w:cs="宋体"/>
                <w:color w:val="auto"/>
                <w:sz w:val="21"/>
                <w:szCs w:val="21"/>
                <w:highlight w:val="none"/>
                <w:lang w:eastAsia="zh-CN"/>
              </w:rPr>
              <w:t>要求提供项目合同关键信息作为得分依据，</w:t>
            </w:r>
            <w:r>
              <w:rPr>
                <w:rFonts w:hint="eastAsia" w:ascii="宋体" w:hAnsi="宋体" w:eastAsia="宋体" w:cs="宋体"/>
                <w:color w:val="auto"/>
                <w:kern w:val="2"/>
                <w:sz w:val="21"/>
                <w:szCs w:val="21"/>
                <w:highlight w:val="none"/>
                <w:lang w:val="en-US" w:eastAsia="zh-CN" w:bidi="ar-SA"/>
              </w:rPr>
              <w:t>单个合同服务内容至少包含清扫、清运、清扫清运、公厕管理、垃圾分类、智慧环卫6项中的任意4项或以上服务内容（服务内容包含即可，文字表述可不完全一致），</w:t>
            </w:r>
            <w:r>
              <w:rPr>
                <w:rFonts w:hint="eastAsia" w:ascii="宋体" w:hAnsi="宋体" w:cs="宋体"/>
                <w:color w:val="auto"/>
                <w:sz w:val="21"/>
                <w:szCs w:val="21"/>
                <w:highlight w:val="none"/>
                <w:lang w:eastAsia="zh-CN"/>
              </w:rPr>
              <w:t>通过</w:t>
            </w:r>
            <w:r>
              <w:rPr>
                <w:rFonts w:hint="eastAsia" w:ascii="宋体" w:hAnsi="宋体" w:cs="宋体"/>
                <w:color w:val="000000" w:themeColor="text1"/>
                <w:sz w:val="21"/>
                <w:szCs w:val="21"/>
                <w:highlight w:val="none"/>
                <w:lang w:eastAsia="zh-CN"/>
                <w14:textFill>
                  <w14:solidFill>
                    <w14:schemeClr w14:val="tx1"/>
                  </w14:solidFill>
                </w14:textFill>
              </w:rPr>
              <w:t>合同关键信息无法判断是否得分的，还须同时提供合同甲方出具的证明文件，</w:t>
            </w:r>
            <w:r>
              <w:rPr>
                <w:rFonts w:hint="eastAsia" w:ascii="宋体" w:hAnsi="宋体" w:cs="宋体"/>
                <w:color w:val="auto"/>
                <w:sz w:val="21"/>
                <w:szCs w:val="21"/>
                <w:highlight w:val="none"/>
                <w:lang w:eastAsia="zh-CN"/>
              </w:rPr>
              <w:t>如提供多份合同且期限存在重叠的，不予重复计算。</w:t>
            </w:r>
          </w:p>
          <w:p>
            <w:pPr>
              <w:spacing w:line="240" w:lineRule="auto"/>
              <w:jc w:val="left"/>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cs="宋体"/>
                <w:color w:val="000000" w:themeColor="text1"/>
                <w:sz w:val="21"/>
                <w:szCs w:val="21"/>
                <w:highlight w:val="none"/>
                <w:lang w:eastAsia="zh-CN"/>
                <w14:textFill>
                  <w14:solidFill>
                    <w14:schemeClr w14:val="tx1"/>
                  </w14:solidFill>
                </w14:textFill>
              </w:rPr>
              <w:t>.涉及人员社保的，要求提供通过投标人缴纳的近三个月的任意一个月的社保证明作为本单位员工的证明依据。若供应商成立不足三个月的，需提供成立情况说明函（格式自拟），无需提供相关人员社保，亦可得分。</w:t>
            </w:r>
          </w:p>
          <w:p>
            <w:pPr>
              <w:rPr>
                <w:rFonts w:hint="default"/>
                <w:lang w:val="en-US" w:eastAsia="zh-CN"/>
              </w:rPr>
            </w:pPr>
            <w:r>
              <w:rPr>
                <w:rFonts w:hint="eastAsia"/>
                <w:color w:val="000000" w:themeColor="text1"/>
                <w:highlight w:val="none"/>
                <w:lang w:val="en-US" w:eastAsia="zh-CN"/>
                <w14:textFill>
                  <w14:solidFill>
                    <w14:schemeClr w14:val="tx1"/>
                  </w14:solidFill>
                </w14:textFill>
              </w:rPr>
              <w:t>5.</w:t>
            </w:r>
            <w:r>
              <w:rPr>
                <w:rFonts w:hint="eastAsia" w:hAnsi="宋体" w:cs="宋体"/>
                <w:color w:val="000000" w:themeColor="text1"/>
                <w:sz w:val="21"/>
                <w:szCs w:val="21"/>
                <w:highlight w:val="none"/>
                <w:lang w:val="en-US" w:eastAsia="zh-CN"/>
                <w14:textFill>
                  <w14:solidFill>
                    <w14:schemeClr w14:val="tx1"/>
                  </w14:solidFill>
                </w14:textFill>
              </w:rPr>
              <w:t>涉及人员</w:t>
            </w:r>
            <w:r>
              <w:rPr>
                <w:rFonts w:hint="eastAsia" w:ascii="宋体" w:hAnsi="宋体" w:cs="宋体"/>
                <w:color w:val="000000" w:themeColor="text1"/>
                <w:sz w:val="21"/>
                <w:szCs w:val="21"/>
                <w:highlight w:val="none"/>
                <w:lang w:val="en-US" w:eastAsia="zh-CN"/>
                <w14:textFill>
                  <w14:solidFill>
                    <w14:schemeClr w14:val="tx1"/>
                  </w14:solidFill>
                </w14:textFill>
              </w:rPr>
              <w:t>证书</w:t>
            </w:r>
            <w:r>
              <w:rPr>
                <w:rFonts w:hint="eastAsia" w:hAnsi="宋体" w:cs="宋体"/>
                <w:color w:val="000000" w:themeColor="text1"/>
                <w:sz w:val="21"/>
                <w:szCs w:val="21"/>
                <w:highlight w:val="none"/>
                <w:lang w:val="en-US" w:eastAsia="zh-CN"/>
                <w14:textFill>
                  <w14:solidFill>
                    <w14:schemeClr w14:val="tx1"/>
                  </w14:solidFill>
                </w14:textFill>
              </w:rPr>
              <w:t>的，</w:t>
            </w:r>
            <w:r>
              <w:rPr>
                <w:rFonts w:hint="eastAsia"/>
                <w:color w:val="000000" w:themeColor="text1"/>
                <w:highlight w:val="none"/>
                <w:lang w:val="en-US" w:eastAsia="zh-CN"/>
                <w14:textFill>
                  <w14:solidFill>
                    <w14:schemeClr w14:val="tx1"/>
                  </w14:solidFill>
                </w14:textFill>
              </w:rPr>
              <w:t>提供证书扫描件</w:t>
            </w:r>
          </w:p>
          <w:p>
            <w:pPr>
              <w:pStyle w:val="15"/>
              <w:ind w:left="0" w:leftChars="0" w:firstLine="0" w:firstLineChars="0"/>
              <w:rPr>
                <w:rFonts w:hint="eastAsia"/>
                <w:color w:val="000000" w:themeColor="text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w:t>
            </w:r>
            <w:r>
              <w:rPr>
                <w:rFonts w:hint="eastAsia" w:ascii="宋体" w:hAnsi="宋体" w:cs="宋体"/>
                <w:color w:val="000000" w:themeColor="text1"/>
                <w:sz w:val="21"/>
                <w:szCs w:val="21"/>
                <w:highlight w:val="none"/>
                <w:lang w:eastAsia="zh-CN"/>
                <w14:textFill>
                  <w14:solidFill>
                    <w14:schemeClr w14:val="tx1"/>
                  </w14:solidFill>
                </w14:textFill>
              </w:rPr>
              <w:t>.以上资料均要求提供扫描件，原件备查，评分中出现无证明资料或证书过期</w:t>
            </w:r>
            <w:r>
              <w:rPr>
                <w:rFonts w:hint="eastAsia" w:ascii="Times New Roman" w:hAnsi="Times New Roman" w:cs="Times New Roman"/>
                <w:color w:val="000000" w:themeColor="text1"/>
                <w:highlight w:val="none"/>
                <w:lang w:val="en-US" w:eastAsia="zh-CN"/>
                <w14:textFill>
                  <w14:solidFill>
                    <w14:schemeClr w14:val="tx1"/>
                  </w14:solidFill>
                </w14:textFill>
              </w:rPr>
              <w:t>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vMerge w:val="continue"/>
            <w:tcBorders>
              <w:left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686"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8</w:t>
            </w:r>
          </w:p>
        </w:tc>
        <w:tc>
          <w:tcPr>
            <w:tcW w:w="166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拟</w:t>
            </w:r>
            <w:r>
              <w:rPr>
                <w:rFonts w:hint="eastAsia" w:ascii="宋体" w:hAnsi="宋体" w:eastAsia="宋体" w:cs="宋体"/>
                <w:color w:val="000000" w:themeColor="text1"/>
                <w:sz w:val="21"/>
                <w:szCs w:val="21"/>
                <w:highlight w:val="none"/>
                <w:lang w:val="en-US" w:eastAsia="zh-CN"/>
                <w14:textFill>
                  <w14:solidFill>
                    <w14:schemeClr w14:val="tx1"/>
                  </w14:solidFill>
                </w14:textFill>
              </w:rPr>
              <w:t>投入本</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项目一线作业人员工资水平评价</w:t>
            </w:r>
          </w:p>
        </w:tc>
        <w:tc>
          <w:tcPr>
            <w:tcW w:w="120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 xml:space="preserve">8 </w:t>
            </w:r>
          </w:p>
        </w:tc>
        <w:tc>
          <w:tcPr>
            <w:tcW w:w="111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专家打分</w:t>
            </w:r>
          </w:p>
        </w:tc>
        <w:tc>
          <w:tcPr>
            <w:tcW w:w="4251" w:type="dxa"/>
            <w:tcBorders>
              <w:top w:val="single" w:color="auto" w:sz="4" w:space="0"/>
              <w:left w:val="single" w:color="auto" w:sz="4" w:space="0"/>
              <w:bottom w:val="single" w:color="auto" w:sz="4" w:space="0"/>
              <w:right w:val="single" w:color="auto" w:sz="4" w:space="0"/>
            </w:tcBorders>
            <w:vAlign w:val="top"/>
          </w:tcPr>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（一）评分内容：</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考察投标人拟投入本项目一线作业人员工资水平情况。</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1.投标人必须满足：</w:t>
            </w:r>
          </w:p>
          <w:p>
            <w:pPr>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000000" w:themeColor="text1"/>
                <w:sz w:val="21"/>
                <w:szCs w:val="21"/>
                <w:highlight w:val="none"/>
                <w14:textFill>
                  <w14:solidFill>
                    <w14:schemeClr w14:val="tx1"/>
                  </w14:solidFill>
                </w14:textFill>
              </w:rPr>
              <w:t>（1）拟投入本项目负责清扫保洁、公厕保洁</w:t>
            </w:r>
            <w:r>
              <w:rPr>
                <w:rFonts w:hint="eastAsia"/>
                <w:highlight w:val="none"/>
                <w:lang w:eastAsia="zh-CN"/>
              </w:rPr>
              <w:t>、中水点管理、垃圾站管理、非机动车协助管理员</w:t>
            </w:r>
            <w:r>
              <w:rPr>
                <w:rFonts w:hint="eastAsia" w:ascii="宋体" w:hAnsi="宋体" w:eastAsia="宋体" w:cs="宋体"/>
                <w:color w:val="000000" w:themeColor="text1"/>
                <w:sz w:val="21"/>
                <w:szCs w:val="21"/>
                <w:highlight w:val="none"/>
                <w14:textFill>
                  <w14:solidFill>
                    <w14:schemeClr w14:val="tx1"/>
                  </w14:solidFill>
                </w14:textFill>
              </w:rPr>
              <w:t>及垃圾收运工作</w:t>
            </w:r>
            <w:r>
              <w:rPr>
                <w:rFonts w:hint="eastAsia" w:ascii="宋体" w:hAnsi="宋体" w:cs="宋体"/>
                <w:color w:val="000000" w:themeColor="text1"/>
                <w:sz w:val="21"/>
                <w:szCs w:val="21"/>
                <w:highlight w:val="none"/>
                <w:lang w:eastAsia="zh-CN"/>
                <w14:textFill>
                  <w14:solidFill>
                    <w14:schemeClr w14:val="tx1"/>
                  </w14:solidFill>
                </w14:textFill>
              </w:rPr>
              <w:t>（跟车辅工）</w:t>
            </w:r>
            <w:r>
              <w:rPr>
                <w:rFonts w:hint="eastAsia" w:ascii="宋体" w:hAnsi="宋体" w:eastAsia="宋体" w:cs="宋体"/>
                <w:color w:val="auto"/>
                <w:sz w:val="21"/>
                <w:szCs w:val="21"/>
                <w:highlight w:val="none"/>
              </w:rPr>
              <w:t>的一线环卫工人单人月平均人工成本不低于</w:t>
            </w:r>
            <w:r>
              <w:rPr>
                <w:rFonts w:hint="eastAsia" w:ascii="宋体" w:hAnsi="宋体" w:cs="宋体"/>
                <w:color w:val="auto"/>
                <w:szCs w:val="21"/>
                <w:highlight w:val="none"/>
                <w:u w:val="single"/>
                <w:lang w:val="en-US" w:eastAsia="zh-CN"/>
              </w:rPr>
              <w:t>5900</w:t>
            </w:r>
            <w:r>
              <w:rPr>
                <w:rFonts w:hint="eastAsia" w:ascii="宋体" w:hAnsi="宋体" w:eastAsia="宋体" w:cs="宋体"/>
                <w:color w:val="auto"/>
                <w:sz w:val="21"/>
                <w:szCs w:val="21"/>
                <w:highlight w:val="none"/>
              </w:rPr>
              <w:t>元[项目要求一线环卫工人月实发最低</w:t>
            </w:r>
            <w:r>
              <w:rPr>
                <w:rFonts w:hint="eastAsia" w:ascii="宋体" w:hAnsi="宋体" w:cs="宋体"/>
                <w:color w:val="auto"/>
                <w:sz w:val="21"/>
                <w:szCs w:val="21"/>
                <w:highlight w:val="none"/>
                <w:u w:val="single"/>
                <w:lang w:val="en-US" w:eastAsia="zh-CN"/>
              </w:rPr>
              <w:t>4335</w:t>
            </w:r>
            <w:r>
              <w:rPr>
                <w:rFonts w:hint="eastAsia" w:ascii="宋体" w:hAnsi="宋体" w:eastAsia="宋体" w:cs="宋体"/>
                <w:color w:val="auto"/>
                <w:sz w:val="21"/>
                <w:szCs w:val="21"/>
                <w:highlight w:val="none"/>
              </w:rPr>
              <w:t>元＋社保公积金（企业和个人缴纳部分之和）现行标准最低</w:t>
            </w:r>
            <w:r>
              <w:rPr>
                <w:rFonts w:hint="eastAsia" w:ascii="宋体" w:hAnsi="宋体" w:cs="宋体"/>
                <w:color w:val="auto"/>
                <w:sz w:val="21"/>
                <w:szCs w:val="21"/>
                <w:highlight w:val="none"/>
                <w:u w:val="single"/>
                <w:lang w:val="en-US" w:eastAsia="zh-CN"/>
              </w:rPr>
              <w:t>1565</w:t>
            </w:r>
            <w:r>
              <w:rPr>
                <w:rFonts w:hint="eastAsia" w:ascii="宋体" w:hAnsi="宋体" w:eastAsia="宋体" w:cs="宋体"/>
                <w:color w:val="auto"/>
                <w:sz w:val="21"/>
                <w:szCs w:val="21"/>
                <w:highlight w:val="none"/>
              </w:rPr>
              <w:t>元]；</w:t>
            </w:r>
          </w:p>
          <w:p>
            <w:pPr>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（2）拟投入本项目的司机单人月平均人工成本不低于</w:t>
            </w:r>
            <w:r>
              <w:rPr>
                <w:rFonts w:hint="eastAsia" w:ascii="宋体" w:hAnsi="宋体" w:cs="宋体"/>
                <w:color w:val="auto"/>
                <w:sz w:val="21"/>
                <w:szCs w:val="21"/>
                <w:highlight w:val="none"/>
                <w:u w:val="single"/>
                <w:lang w:val="en-US" w:eastAsia="zh-CN"/>
              </w:rPr>
              <w:t>80</w:t>
            </w:r>
            <w:r>
              <w:rPr>
                <w:rFonts w:hint="eastAsia" w:ascii="宋体" w:hAnsi="宋体" w:eastAsia="宋体" w:cs="宋体"/>
                <w:color w:val="auto"/>
                <w:sz w:val="21"/>
                <w:szCs w:val="21"/>
                <w:highlight w:val="none"/>
                <w:u w:val="single"/>
              </w:rPr>
              <w:t>00</w:t>
            </w:r>
            <w:r>
              <w:rPr>
                <w:rFonts w:hint="eastAsia" w:ascii="宋体" w:hAnsi="宋体" w:eastAsia="宋体" w:cs="宋体"/>
                <w:color w:val="auto"/>
                <w:sz w:val="21"/>
                <w:szCs w:val="21"/>
                <w:highlight w:val="none"/>
              </w:rPr>
              <w:t>元[项目要求司机月实发最低</w:t>
            </w:r>
            <w:r>
              <w:rPr>
                <w:rFonts w:hint="eastAsia" w:ascii="宋体" w:hAnsi="宋体" w:cs="宋体"/>
                <w:color w:val="auto"/>
                <w:sz w:val="21"/>
                <w:szCs w:val="21"/>
                <w:highlight w:val="none"/>
                <w:u w:val="single"/>
                <w:lang w:val="en-US" w:eastAsia="zh-CN"/>
              </w:rPr>
              <w:t>6435</w:t>
            </w:r>
            <w:r>
              <w:rPr>
                <w:rFonts w:hint="eastAsia" w:ascii="宋体" w:hAnsi="宋体" w:eastAsia="宋体" w:cs="宋体"/>
                <w:color w:val="auto"/>
                <w:sz w:val="21"/>
                <w:szCs w:val="21"/>
                <w:highlight w:val="none"/>
              </w:rPr>
              <w:t>元＋社保公积金（企业和个人缴纳部分之和）现行标准最低</w:t>
            </w:r>
            <w:r>
              <w:rPr>
                <w:rFonts w:hint="eastAsia" w:ascii="宋体" w:hAnsi="宋体" w:cs="宋体"/>
                <w:color w:val="auto"/>
                <w:sz w:val="21"/>
                <w:szCs w:val="21"/>
                <w:highlight w:val="none"/>
                <w:u w:val="single"/>
                <w:lang w:val="en-US" w:eastAsia="zh-CN"/>
              </w:rPr>
              <w:t>1565</w:t>
            </w:r>
            <w:r>
              <w:rPr>
                <w:rFonts w:hint="eastAsia" w:ascii="宋体" w:hAnsi="宋体" w:eastAsia="宋体" w:cs="宋体"/>
                <w:color w:val="auto"/>
                <w:sz w:val="21"/>
                <w:szCs w:val="21"/>
                <w:highlight w:val="none"/>
              </w:rPr>
              <w:t>元]。</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2.在满足前项单人月平均人工成本要求的基础上，对所有负责清扫保洁、公厕保洁</w:t>
            </w:r>
            <w:r>
              <w:rPr>
                <w:rFonts w:hint="eastAsia"/>
                <w:highlight w:val="none"/>
                <w:lang w:eastAsia="zh-CN"/>
              </w:rPr>
              <w:t>、中水点管理、垃圾站管理、非机动车协助管理员</w:t>
            </w:r>
            <w:r>
              <w:rPr>
                <w:rFonts w:hint="eastAsia" w:ascii="宋体" w:hAnsi="宋体" w:eastAsia="宋体" w:cs="宋体"/>
                <w:color w:val="000000" w:themeColor="text1"/>
                <w:sz w:val="21"/>
                <w:szCs w:val="21"/>
                <w:highlight w:val="none"/>
                <w14:textFill>
                  <w14:solidFill>
                    <w14:schemeClr w14:val="tx1"/>
                  </w14:solidFill>
                </w14:textFill>
              </w:rPr>
              <w:t>及垃圾收运工作</w:t>
            </w:r>
            <w:r>
              <w:rPr>
                <w:rFonts w:hint="eastAsia" w:ascii="宋体" w:hAnsi="宋体" w:cs="宋体"/>
                <w:color w:val="000000" w:themeColor="text1"/>
                <w:sz w:val="21"/>
                <w:szCs w:val="21"/>
                <w:highlight w:val="none"/>
                <w:lang w:eastAsia="zh-CN"/>
                <w14:textFill>
                  <w14:solidFill>
                    <w14:schemeClr w14:val="tx1"/>
                  </w14:solidFill>
                </w14:textFill>
              </w:rPr>
              <w:t>（跟车辅工）</w:t>
            </w:r>
            <w:r>
              <w:rPr>
                <w:rFonts w:hint="eastAsia" w:ascii="宋体" w:hAnsi="宋体" w:eastAsia="宋体" w:cs="宋体"/>
                <w:color w:val="000000" w:themeColor="text1"/>
                <w:sz w:val="21"/>
                <w:szCs w:val="21"/>
                <w:highlight w:val="none"/>
                <w14:textFill>
                  <w14:solidFill>
                    <w14:schemeClr w14:val="tx1"/>
                  </w14:solidFill>
                </w14:textFill>
              </w:rPr>
              <w:t>的一线环卫工人及司机单人月平均人工成本每增加</w:t>
            </w:r>
            <w:r>
              <w:rPr>
                <w:rFonts w:hint="eastAsia" w:ascii="宋体" w:hAnsi="宋体" w:cs="宋体"/>
                <w:color w:val="000000" w:themeColor="text1"/>
                <w:sz w:val="21"/>
                <w:szCs w:val="21"/>
                <w:highlight w:val="none"/>
                <w:u w:val="single"/>
                <w:lang w:val="en-US" w:eastAsia="zh-CN"/>
                <w14:textFill>
                  <w14:solidFill>
                    <w14:schemeClr w14:val="tx1"/>
                  </w14:solidFill>
                </w14:textFill>
              </w:rPr>
              <w:t>20</w:t>
            </w:r>
            <w:r>
              <w:rPr>
                <w:rFonts w:hint="eastAsia" w:ascii="宋体" w:hAnsi="宋体" w:eastAsia="宋体" w:cs="宋体"/>
                <w:color w:val="000000" w:themeColor="text1"/>
                <w:sz w:val="21"/>
                <w:szCs w:val="21"/>
                <w:highlight w:val="none"/>
                <w14:textFill>
                  <w14:solidFill>
                    <w14:schemeClr w14:val="tx1"/>
                  </w14:solidFill>
                </w14:textFill>
              </w:rPr>
              <w:t>元的，得20分，</w:t>
            </w:r>
            <w:r>
              <w:rPr>
                <w:rFonts w:hint="eastAsia" w:ascii="宋体" w:hAnsi="宋体" w:cs="宋体"/>
                <w:color w:val="000000" w:themeColor="text1"/>
                <w:sz w:val="21"/>
                <w:szCs w:val="21"/>
                <w:highlight w:val="none"/>
                <w:lang w:val="en-US" w:eastAsia="zh-CN"/>
                <w14:textFill>
                  <w14:solidFill>
                    <w14:schemeClr w14:val="tx1"/>
                  </w14:solidFill>
                </w14:textFill>
              </w:rPr>
              <w:t>本项</w:t>
            </w:r>
            <w:r>
              <w:rPr>
                <w:rFonts w:hint="eastAsia" w:ascii="宋体" w:hAnsi="宋体" w:eastAsia="宋体" w:cs="宋体"/>
                <w:color w:val="000000" w:themeColor="text1"/>
                <w:sz w:val="21"/>
                <w:szCs w:val="21"/>
                <w:highlight w:val="none"/>
                <w14:textFill>
                  <w14:solidFill>
                    <w14:schemeClr w14:val="tx1"/>
                  </w14:solidFill>
                </w14:textFill>
              </w:rPr>
              <w:t>最高得100分。</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3.承诺落实中标后一线作业人员工资水平（承诺函</w:t>
            </w:r>
            <w:r>
              <w:rPr>
                <w:rFonts w:hint="eastAsia" w:ascii="宋体" w:hAnsi="宋体" w:cs="宋体"/>
                <w:color w:val="000000" w:themeColor="text1"/>
                <w:sz w:val="21"/>
                <w:szCs w:val="21"/>
                <w:highlight w:val="none"/>
                <w:lang w:eastAsia="zh-CN"/>
                <w14:textFill>
                  <w14:solidFill>
                    <w14:schemeClr w14:val="tx1"/>
                  </w14:solidFill>
                </w14:textFill>
              </w:rPr>
              <w:t>格式自拟</w:t>
            </w:r>
            <w:r>
              <w:rPr>
                <w:rFonts w:hint="eastAsia" w:ascii="宋体" w:hAnsi="宋体" w:eastAsia="宋体" w:cs="宋体"/>
                <w:color w:val="000000" w:themeColor="text1"/>
                <w:sz w:val="21"/>
                <w:szCs w:val="21"/>
                <w:highlight w:val="none"/>
                <w14:textFill>
                  <w14:solidFill>
                    <w14:schemeClr w14:val="tx1"/>
                  </w14:solidFill>
                </w14:textFill>
              </w:rPr>
              <w:t>）。</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（二）评分依据：</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1、单人月平均人工成本含基本工资、加班工资、岗位津贴、过节费，以及社保和公积金企业和个人承担部分等所有与人员成本有关的费用总和，一线作业人员、司机的单人月平均人工成本以分项报价表为准</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如</w:t>
            </w:r>
            <w:r>
              <w:rPr>
                <w:rFonts w:hint="eastAsia" w:ascii="宋体" w:hAnsi="宋体" w:eastAsia="宋体" w:cs="宋体"/>
                <w:color w:val="000000" w:themeColor="text1"/>
                <w:sz w:val="21"/>
                <w:szCs w:val="21"/>
                <w:highlight w:val="none"/>
                <w14:textFill>
                  <w14:solidFill>
                    <w14:schemeClr w14:val="tx1"/>
                  </w14:solidFill>
                </w14:textFill>
              </w:rPr>
              <w:t>有缺项漏项、单项负数或前后不一致、不符合招标文件要求或不符合国家相关规定的，本项作不得分处理。（未提供或未按要求提供或提供的资料不清晰导致专家无法判断的，不得分）</w:t>
            </w:r>
          </w:p>
          <w:p>
            <w:pPr>
              <w:spacing w:line="240" w:lineRule="auto"/>
              <w:jc w:val="left"/>
              <w:rPr>
                <w:rFonts w:hint="eastAsia"/>
              </w:rPr>
            </w:pPr>
            <w:r>
              <w:rPr>
                <w:rFonts w:hint="eastAsia" w:ascii="宋体" w:hAnsi="宋体" w:cs="宋体"/>
                <w:color w:val="000000" w:themeColor="text1"/>
                <w:szCs w:val="21"/>
                <w:highlight w:val="none"/>
                <w14:textFill>
                  <w14:solidFill>
                    <w14:schemeClr w14:val="tx1"/>
                  </w14:solidFill>
                </w14:textFill>
              </w:rPr>
              <w:t>2.组成联合体投标的投标人，</w:t>
            </w:r>
            <w:r>
              <w:rPr>
                <w:rFonts w:hint="eastAsia" w:ascii="宋体" w:hAnsi="宋体" w:cs="宋体"/>
                <w:color w:val="000000" w:themeColor="text1"/>
                <w:szCs w:val="21"/>
                <w:highlight w:val="none"/>
                <w:lang w:eastAsia="zh-CN"/>
                <w14:textFill>
                  <w14:solidFill>
                    <w14:schemeClr w14:val="tx1"/>
                  </w14:solidFill>
                </w14:textFill>
              </w:rPr>
              <w:t>双方</w:t>
            </w:r>
            <w:r>
              <w:rPr>
                <w:rFonts w:hint="eastAsia" w:ascii="宋体" w:hAnsi="宋体" w:cs="宋体"/>
                <w:color w:val="000000" w:themeColor="text1"/>
                <w:szCs w:val="21"/>
                <w:highlight w:val="none"/>
                <w:lang w:val="en-US" w:eastAsia="zh-CN"/>
                <w14:textFill>
                  <w14:solidFill>
                    <w14:schemeClr w14:val="tx1"/>
                  </w14:solidFill>
                </w14:textFill>
              </w:rPr>
              <w:t>均</w:t>
            </w:r>
            <w:r>
              <w:rPr>
                <w:rFonts w:hint="eastAsia" w:ascii="宋体" w:hAnsi="宋体" w:cs="宋体"/>
                <w:color w:val="000000" w:themeColor="text1"/>
                <w:szCs w:val="21"/>
                <w:highlight w:val="none"/>
                <w14:textFill>
                  <w14:solidFill>
                    <w14:schemeClr w14:val="tx1"/>
                  </w14:solidFill>
                </w14:textFill>
              </w:rPr>
              <w:t>须</w:t>
            </w:r>
            <w:r>
              <w:rPr>
                <w:rFonts w:hint="eastAsia" w:ascii="宋体" w:hAnsi="宋体" w:cs="宋体"/>
                <w:color w:val="000000" w:themeColor="text1"/>
                <w:szCs w:val="21"/>
                <w:highlight w:val="none"/>
                <w:lang w:eastAsia="zh-CN"/>
                <w14:textFill>
                  <w14:solidFill>
                    <w14:schemeClr w14:val="tx1"/>
                  </w14:solidFill>
                </w14:textFill>
              </w:rPr>
              <w:t>提供承诺函</w:t>
            </w:r>
            <w:r>
              <w:rPr>
                <w:rFonts w:hint="eastAsia" w:ascii="宋体" w:hAnsi="宋体" w:cs="宋体"/>
                <w:color w:val="000000" w:themeColor="text1"/>
                <w:szCs w:val="21"/>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vMerge w:val="continue"/>
            <w:tcBorders>
              <w:left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686"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9</w:t>
            </w:r>
          </w:p>
        </w:tc>
        <w:tc>
          <w:tcPr>
            <w:tcW w:w="166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投标人停车场、维修场地</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应急</w:t>
            </w:r>
            <w:r>
              <w:rPr>
                <w:rFonts w:hint="eastAsia"/>
                <w:color w:val="000000" w:themeColor="text1"/>
                <w:szCs w:val="21"/>
                <w:highlight w:val="none"/>
                <w:lang w:val="en-US" w:eastAsia="zh-CN"/>
                <w14:textFill>
                  <w14:solidFill>
                    <w14:schemeClr w14:val="tx1"/>
                  </w14:solidFill>
                </w14:textFill>
              </w:rPr>
              <w:t>工作能力</w:t>
            </w:r>
            <w:r>
              <w:rPr>
                <w:rFonts w:hint="eastAsia"/>
                <w:color w:val="000000" w:themeColor="text1"/>
                <w:szCs w:val="21"/>
                <w:highlight w:val="none"/>
                <w14:textFill>
                  <w14:solidFill>
                    <w14:schemeClr w14:val="tx1"/>
                  </w14:solidFill>
                </w14:textFill>
              </w:rPr>
              <w:t>情况评价</w:t>
            </w:r>
          </w:p>
        </w:tc>
        <w:tc>
          <w:tcPr>
            <w:tcW w:w="120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p>
        </w:tc>
        <w:tc>
          <w:tcPr>
            <w:tcW w:w="111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专家打分</w:t>
            </w:r>
          </w:p>
        </w:tc>
        <w:tc>
          <w:tcPr>
            <w:tcW w:w="4251"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（一）评分内容：</w:t>
            </w:r>
          </w:p>
          <w:p>
            <w:pP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投标人承诺在项目服务过程中，承诺为本项目提供可使用的停车场及维修场地承诺</w:t>
            </w:r>
            <w:r>
              <w:rPr>
                <w:rFonts w:hint="default" w:ascii="宋体" w:hAnsi="宋体" w:eastAsia="宋体" w:cs="宋体"/>
                <w:color w:val="000000" w:themeColor="text1"/>
                <w:highlight w:val="none"/>
                <w:lang w:val="en-US" w:eastAsia="zh-CN"/>
                <w14:textFill>
                  <w14:solidFill>
                    <w14:schemeClr w14:val="tx1"/>
                  </w14:solidFill>
                </w14:textFill>
              </w:rPr>
              <w:t>：</w:t>
            </w:r>
          </w:p>
          <w:p>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承诺在中标通知书发出后2个月内在</w:t>
            </w:r>
            <w:r>
              <w:rPr>
                <w:rFonts w:hint="eastAsia" w:ascii="宋体" w:hAnsi="宋体" w:cs="宋体"/>
                <w:color w:val="000000" w:themeColor="text1"/>
                <w:highlight w:val="none"/>
                <w:lang w:val="en-US" w:eastAsia="zh-CN"/>
                <w14:textFill>
                  <w14:solidFill>
                    <w14:schemeClr w14:val="tx1"/>
                  </w14:solidFill>
                </w14:textFill>
              </w:rPr>
              <w:t>盐田区</w:t>
            </w:r>
            <w:r>
              <w:rPr>
                <w:rFonts w:hint="eastAsia" w:ascii="宋体" w:hAnsi="宋体" w:eastAsia="宋体" w:cs="宋体"/>
                <w:color w:val="000000" w:themeColor="text1"/>
                <w:highlight w:val="none"/>
                <w:lang w:val="en-US" w:eastAsia="zh-CN"/>
                <w14:textFill>
                  <w14:solidFill>
                    <w14:schemeClr w14:val="tx1"/>
                  </w14:solidFill>
                </w14:textFill>
              </w:rPr>
              <w:t>范围内，为本项目提供可使用的固定停车场或维修场地不少于</w:t>
            </w:r>
            <w:r>
              <w:rPr>
                <w:rFonts w:hint="eastAsia" w:ascii="宋体" w:hAnsi="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lang w:val="en-US" w:eastAsia="zh-CN"/>
                <w14:textFill>
                  <w14:solidFill>
                    <w14:schemeClr w14:val="tx1"/>
                  </w14:solidFill>
                </w14:textFill>
              </w:rPr>
              <w:t>00平方米的，得100分。</w:t>
            </w:r>
          </w:p>
          <w:p>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（二）评分依据</w:t>
            </w:r>
          </w:p>
          <w:p>
            <w:pPr>
              <w:spacing w:line="240" w:lineRule="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w:t>
            </w:r>
            <w:r>
              <w:rPr>
                <w:rFonts w:hint="default" w:ascii="宋体" w:hAnsi="宋体" w:eastAsia="宋体" w:cs="宋体"/>
                <w:color w:val="000000" w:themeColor="text1"/>
                <w:highlight w:val="none"/>
                <w:lang w:val="en-US" w:eastAsia="zh-CN"/>
                <w14:textFill>
                  <w14:solidFill>
                    <w14:schemeClr w14:val="tx1"/>
                  </w14:solidFill>
                </w14:textFill>
              </w:rPr>
              <w:t>投标人需提供相应承诺的，要求提供承诺函作为得分依据，未提供承诺或承诺内容不满足要求的不得</w:t>
            </w:r>
            <w:r>
              <w:rPr>
                <w:rFonts w:hint="eastAsia" w:ascii="宋体" w:hAnsi="宋体" w:eastAsia="宋体" w:cs="宋体"/>
                <w:color w:val="000000" w:themeColor="text1"/>
                <w:highlight w:val="none"/>
                <w:lang w:val="en-US" w:eastAsia="zh-CN"/>
                <w14:textFill>
                  <w14:solidFill>
                    <w14:schemeClr w14:val="tx1"/>
                  </w14:solidFill>
                </w14:textFill>
              </w:rPr>
              <w:t>分（承诺函格式</w:t>
            </w:r>
            <w:r>
              <w:rPr>
                <w:rFonts w:hint="eastAsia" w:ascii="宋体" w:hAnsi="宋体" w:cs="宋体"/>
                <w:color w:val="000000" w:themeColor="text1"/>
                <w:highlight w:val="none"/>
                <w:lang w:val="en-US" w:eastAsia="zh-CN"/>
                <w14:textFill>
                  <w14:solidFill>
                    <w14:schemeClr w14:val="tx1"/>
                  </w14:solidFill>
                </w14:textFill>
              </w:rPr>
              <w:t>自拟</w:t>
            </w:r>
            <w:r>
              <w:rPr>
                <w:rFonts w:hint="eastAsia" w:ascii="宋体" w:hAnsi="宋体" w:eastAsia="宋体" w:cs="宋体"/>
                <w:color w:val="000000" w:themeColor="text1"/>
                <w:highlight w:val="none"/>
                <w:lang w:val="en-US" w:eastAsia="zh-CN"/>
                <w14:textFill>
                  <w14:solidFill>
                    <w14:schemeClr w14:val="tx1"/>
                  </w14:solidFill>
                </w14:textFill>
              </w:rPr>
              <w:t>）。</w:t>
            </w:r>
          </w:p>
          <w:p>
            <w:pPr>
              <w:spacing w:line="240" w:lineRule="auto"/>
              <w:rPr>
                <w:rFonts w:hint="default"/>
                <w:lang w:val="en-US"/>
              </w:rPr>
            </w:pPr>
            <w:r>
              <w:rPr>
                <w:rFonts w:hint="eastAsia" w:ascii="宋体" w:hAnsi="宋体" w:cs="宋体"/>
                <w:color w:val="000000" w:themeColor="text1"/>
                <w:szCs w:val="21"/>
                <w:highlight w:val="none"/>
                <w14:textFill>
                  <w14:solidFill>
                    <w14:schemeClr w14:val="tx1"/>
                  </w14:solidFill>
                </w14:textFill>
              </w:rPr>
              <w:t>2.组成联合体投标的投标人，</w:t>
            </w:r>
            <w:r>
              <w:rPr>
                <w:rFonts w:hint="eastAsia" w:ascii="宋体" w:hAnsi="宋体" w:cs="宋体"/>
                <w:color w:val="000000" w:themeColor="text1"/>
                <w:szCs w:val="21"/>
                <w:highlight w:val="none"/>
                <w:lang w:eastAsia="zh-CN"/>
                <w14:textFill>
                  <w14:solidFill>
                    <w14:schemeClr w14:val="tx1"/>
                  </w14:solidFill>
                </w14:textFill>
              </w:rPr>
              <w:t>双方</w:t>
            </w:r>
            <w:r>
              <w:rPr>
                <w:rFonts w:hint="eastAsia" w:ascii="宋体" w:hAnsi="宋体" w:cs="宋体"/>
                <w:color w:val="000000" w:themeColor="text1"/>
                <w:szCs w:val="21"/>
                <w:highlight w:val="none"/>
                <w:lang w:val="en-US" w:eastAsia="zh-CN"/>
                <w14:textFill>
                  <w14:solidFill>
                    <w14:schemeClr w14:val="tx1"/>
                  </w14:solidFill>
                </w14:textFill>
              </w:rPr>
              <w:t>均</w:t>
            </w:r>
            <w:r>
              <w:rPr>
                <w:rFonts w:hint="eastAsia" w:ascii="宋体" w:hAnsi="宋体" w:cs="宋体"/>
                <w:color w:val="000000" w:themeColor="text1"/>
                <w:szCs w:val="21"/>
                <w:highlight w:val="none"/>
                <w14:textFill>
                  <w14:solidFill>
                    <w14:schemeClr w14:val="tx1"/>
                  </w14:solidFill>
                </w14:textFill>
              </w:rPr>
              <w:t>须</w:t>
            </w:r>
            <w:r>
              <w:rPr>
                <w:rFonts w:hint="eastAsia" w:ascii="宋体" w:hAnsi="宋体" w:cs="宋体"/>
                <w:color w:val="000000" w:themeColor="text1"/>
                <w:szCs w:val="21"/>
                <w:highlight w:val="none"/>
                <w:lang w:eastAsia="zh-CN"/>
                <w14:textFill>
                  <w14:solidFill>
                    <w14:schemeClr w14:val="tx1"/>
                  </w14:solidFill>
                </w14:textFill>
              </w:rPr>
              <w:t>提供承诺函</w:t>
            </w:r>
            <w:r>
              <w:rPr>
                <w:rFonts w:hint="eastAsia" w:ascii="宋体" w:hAnsi="宋体" w:cs="宋体"/>
                <w:color w:val="000000" w:themeColor="text1"/>
                <w:szCs w:val="21"/>
                <w:highlight w:val="none"/>
                <w14:textFill>
                  <w14:solidFill>
                    <w14:schemeClr w14:val="tx1"/>
                  </w14:solidFill>
                </w14:textFill>
              </w:rPr>
              <w:t>。</w:t>
            </w:r>
            <w:bookmarkStart w:id="108" w:name="_GoBack"/>
            <w:bookmarkEnd w:id="10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vMerge w:val="continue"/>
            <w:tcBorders>
              <w:left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686"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10</w:t>
            </w:r>
          </w:p>
        </w:tc>
        <w:tc>
          <w:tcPr>
            <w:tcW w:w="166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w:t>
            </w:r>
            <w:r>
              <w:rPr>
                <w:rFonts w:hint="eastAsia" w:ascii="宋体" w:hAnsi="宋体" w:eastAsia="宋体" w:cs="宋体"/>
                <w:color w:val="000000" w:themeColor="text1"/>
                <w:sz w:val="21"/>
                <w:szCs w:val="21"/>
                <w:highlight w:val="none"/>
                <w:lang w:val="en-US" w:eastAsia="zh-CN"/>
                <w14:textFill>
                  <w14:solidFill>
                    <w14:schemeClr w14:val="tx1"/>
                  </w14:solidFill>
                </w14:textFill>
              </w:rPr>
              <w:t>同</w:t>
            </w:r>
            <w:r>
              <w:rPr>
                <w:rFonts w:hint="eastAsia" w:ascii="宋体" w:hAnsi="宋体" w:eastAsia="宋体" w:cs="宋体"/>
                <w:color w:val="000000" w:themeColor="text1"/>
                <w:sz w:val="21"/>
                <w:szCs w:val="21"/>
                <w:highlight w:val="none"/>
                <w14:textFill>
                  <w14:solidFill>
                    <w14:schemeClr w14:val="tx1"/>
                  </w14:solidFill>
                </w14:textFill>
              </w:rPr>
              <w:t>类项目业绩情况</w:t>
            </w:r>
          </w:p>
        </w:tc>
        <w:tc>
          <w:tcPr>
            <w:tcW w:w="120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w:t>
            </w:r>
          </w:p>
        </w:tc>
        <w:tc>
          <w:tcPr>
            <w:tcW w:w="111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专家打分</w:t>
            </w:r>
          </w:p>
        </w:tc>
        <w:tc>
          <w:tcPr>
            <w:tcW w:w="4251" w:type="dxa"/>
            <w:tcBorders>
              <w:top w:val="single" w:color="auto" w:sz="4" w:space="0"/>
              <w:left w:val="single" w:color="auto" w:sz="4" w:space="0"/>
              <w:bottom w:val="single" w:color="auto" w:sz="4" w:space="0"/>
              <w:right w:val="single" w:color="auto" w:sz="4" w:space="0"/>
            </w:tcBorders>
            <w:vAlign w:val="center"/>
          </w:tcPr>
          <w:p>
            <w:pPr>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（一）评分内容：</w:t>
            </w:r>
          </w:p>
          <w:p>
            <w:pPr>
              <w:spacing w:after="72" w:afterLines="30" w:line="280" w:lineRule="exact"/>
              <w:rPr>
                <w:rFonts w:ascii="宋体" w:hAnsi="宋体" w:cs="宋体"/>
                <w:color w:val="000000" w:themeColor="text1"/>
                <w:szCs w:val="21"/>
                <w14:textFill>
                  <w14:solidFill>
                    <w14:schemeClr w14:val="tx1"/>
                  </w14:solidFill>
                </w14:textFill>
              </w:rPr>
            </w:pPr>
            <w:r>
              <w:rPr>
                <w:rFonts w:hint="eastAsia"/>
                <w:color w:val="000000" w:themeColor="text1"/>
                <w:highlight w:val="none"/>
                <w14:textFill>
                  <w14:solidFill>
                    <w14:schemeClr w14:val="tx1"/>
                  </w14:solidFill>
                </w14:textFill>
              </w:rPr>
              <w:t>考察投标</w:t>
            </w:r>
            <w:r>
              <w:rPr>
                <w:rFonts w:hint="eastAsia"/>
                <w:color w:val="000000" w:themeColor="text1"/>
                <w:highlight w:val="none"/>
                <w:lang w:val="en-US" w:eastAsia="zh-CN"/>
                <w14:textFill>
                  <w14:solidFill>
                    <w14:schemeClr w14:val="tx1"/>
                  </w14:solidFill>
                </w14:textFill>
              </w:rPr>
              <w:t>人（如为联合体投标的，联合体成员单位任意一方满足或联合体各方共同满足条件均可）</w:t>
            </w:r>
            <w:r>
              <w:rPr>
                <w:rFonts w:hint="eastAsia"/>
                <w:color w:val="000000" w:themeColor="text1"/>
                <w:highlight w:val="none"/>
                <w14:textFill>
                  <w14:solidFill>
                    <w14:schemeClr w14:val="tx1"/>
                  </w14:solidFill>
                </w14:textFill>
              </w:rPr>
              <w:t>自</w:t>
            </w:r>
            <w:r>
              <w:rPr>
                <w:rFonts w:hint="eastAsia"/>
                <w:color w:val="000000" w:themeColor="text1"/>
                <w:highlight w:val="none"/>
                <w:u w:val="single"/>
                <w14:textFill>
                  <w14:solidFill>
                    <w14:schemeClr w14:val="tx1"/>
                  </w14:solidFill>
                </w14:textFill>
              </w:rPr>
              <w:t>20</w:t>
            </w:r>
            <w:r>
              <w:rPr>
                <w:rFonts w:hint="eastAsia"/>
                <w:color w:val="000000" w:themeColor="text1"/>
                <w:highlight w:val="none"/>
                <w:u w:val="single"/>
                <w:lang w:val="en-US" w:eastAsia="zh-CN"/>
                <w14:textFill>
                  <w14:solidFill>
                    <w14:schemeClr w14:val="tx1"/>
                  </w14:solidFill>
                </w14:textFill>
              </w:rPr>
              <w:t>23</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lang w:val="en-US" w:eastAsia="zh-CN"/>
                <w14:textFill>
                  <w14:solidFill>
                    <w14:schemeClr w14:val="tx1"/>
                  </w14:solidFill>
                </w14:textFill>
              </w:rPr>
              <w:t xml:space="preserve"> 1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 xml:space="preserve"> 1</w:t>
            </w:r>
            <w:r>
              <w:rPr>
                <w:rFonts w:hint="eastAsia"/>
                <w:color w:val="000000" w:themeColor="text1"/>
                <w:highlight w:val="none"/>
                <w14:textFill>
                  <w14:solidFill>
                    <w14:schemeClr w14:val="tx1"/>
                  </w14:solidFill>
                </w14:textFill>
              </w:rPr>
              <w:t>日至投标截止日</w:t>
            </w:r>
            <w:r>
              <w:rPr>
                <w:rFonts w:hint="eastAsia"/>
                <w:color w:val="000000" w:themeColor="text1"/>
                <w:highlight w:val="none"/>
                <w:lang w:val="en-US" w:eastAsia="zh-CN"/>
                <w14:textFill>
                  <w14:solidFill>
                    <w14:schemeClr w14:val="tx1"/>
                  </w14:solidFill>
                </w14:textFill>
              </w:rPr>
              <w:t>承担过</w:t>
            </w:r>
            <w:r>
              <w:rPr>
                <w:rFonts w:hint="eastAsia"/>
                <w:color w:val="000000" w:themeColor="text1"/>
                <w:highlight w:val="none"/>
                <w14:textFill>
                  <w14:solidFill>
                    <w14:schemeClr w14:val="tx1"/>
                  </w14:solidFill>
                </w14:textFill>
              </w:rPr>
              <w:t>履约合格</w:t>
            </w:r>
            <w:r>
              <w:rPr>
                <w:rFonts w:hint="eastAsia"/>
                <w:color w:val="auto"/>
                <w:highlight w:val="none"/>
              </w:rPr>
              <w:t>的</w:t>
            </w:r>
            <w:r>
              <w:rPr>
                <w:rFonts w:hint="eastAsia" w:ascii="宋体" w:hAnsi="宋体" w:cs="宋体"/>
                <w:color w:val="auto"/>
                <w:szCs w:val="21"/>
              </w:rPr>
              <w:t>副省级</w:t>
            </w:r>
            <w:r>
              <w:rPr>
                <w:rFonts w:hint="eastAsia" w:ascii="宋体" w:hAnsi="宋体" w:cs="宋体"/>
                <w:color w:val="auto"/>
                <w:szCs w:val="21"/>
                <w:lang w:eastAsia="zh-CN"/>
              </w:rPr>
              <w:t>（或以上）</w:t>
            </w:r>
            <w:r>
              <w:rPr>
                <w:rFonts w:hint="eastAsia" w:ascii="宋体" w:hAnsi="宋体" w:cs="宋体"/>
                <w:color w:val="auto"/>
                <w:szCs w:val="21"/>
              </w:rPr>
              <w:t>城市</w:t>
            </w:r>
            <w:r>
              <w:rPr>
                <w:rFonts w:hint="eastAsia"/>
                <w:color w:val="auto"/>
                <w:highlight w:val="none"/>
                <w:lang w:val="en-US" w:eastAsia="zh-CN"/>
              </w:rPr>
              <w:t>（包含其下属行政区域（含街道））</w:t>
            </w:r>
            <w:r>
              <w:rPr>
                <w:rFonts w:hint="eastAsia" w:ascii="宋体" w:hAnsi="宋体" w:cs="宋体"/>
                <w:color w:val="000000" w:themeColor="text1"/>
                <w:szCs w:val="21"/>
                <w14:textFill>
                  <w14:solidFill>
                    <w14:schemeClr w14:val="tx1"/>
                  </w14:solidFill>
                </w14:textFill>
              </w:rPr>
              <w:t>的含清扫保洁或垃圾清运相关表述的</w:t>
            </w:r>
            <w:r>
              <w:rPr>
                <w:rFonts w:hint="eastAsia" w:ascii="宋体" w:hAnsi="宋体" w:eastAsia="宋体" w:cs="宋体"/>
                <w:color w:val="000000" w:themeColor="text1"/>
                <w:sz w:val="21"/>
                <w:szCs w:val="21"/>
                <w:highlight w:val="none"/>
                <w:lang w:val="en-US" w:eastAsia="zh-CN"/>
                <w14:textFill>
                  <w14:solidFill>
                    <w14:schemeClr w14:val="tx1"/>
                  </w14:solidFill>
                </w14:textFill>
              </w:rPr>
              <w:t>承担过清扫清运一体化项目</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（城管业务一体化或城市管家或物管城市）</w:t>
            </w:r>
            <w:r>
              <w:rPr>
                <w:rFonts w:hint="eastAsia" w:ascii="宋体" w:hAnsi="宋体" w:eastAsia="宋体" w:cs="宋体"/>
                <w:color w:val="000000" w:themeColor="text1"/>
                <w:sz w:val="21"/>
                <w:szCs w:val="21"/>
                <w:highlight w:val="none"/>
                <w:lang w:val="en-US" w:eastAsia="zh-CN"/>
                <w14:textFill>
                  <w14:solidFill>
                    <w14:schemeClr w14:val="tx1"/>
                  </w14:solidFill>
                </w14:textFill>
              </w:rPr>
              <w:t>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项目</w:t>
            </w:r>
            <w:r>
              <w:rPr>
                <w:rFonts w:ascii="宋体" w:hAnsi="宋体" w:cs="宋体"/>
                <w:color w:val="000000" w:themeColor="text1"/>
                <w:szCs w:val="21"/>
                <w14:textFill>
                  <w14:solidFill>
                    <w14:schemeClr w14:val="tx1"/>
                  </w14:solidFill>
                </w14:textFill>
              </w:rPr>
              <w:t>：</w:t>
            </w:r>
          </w:p>
          <w:p>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1.承担过清扫清运一体化项目</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（城管业务一体化或城市管家或物管城市）</w:t>
            </w:r>
            <w:r>
              <w:rPr>
                <w:rFonts w:hint="eastAsia" w:ascii="宋体" w:hAnsi="宋体" w:eastAsia="宋体" w:cs="宋体"/>
                <w:color w:val="000000" w:themeColor="text1"/>
                <w:sz w:val="21"/>
                <w:szCs w:val="21"/>
                <w:highlight w:val="none"/>
                <w:lang w:val="en-US" w:eastAsia="zh-CN"/>
                <w14:textFill>
                  <w14:solidFill>
                    <w14:schemeClr w14:val="tx1"/>
                  </w14:solidFill>
                </w14:textFill>
              </w:rPr>
              <w:t>的</w:t>
            </w:r>
            <w:r>
              <w:rPr>
                <w:rFonts w:hint="eastAsia" w:ascii="宋体" w:hAnsi="宋体" w:eastAsia="宋体" w:cs="宋体"/>
                <w:color w:val="auto"/>
                <w:sz w:val="21"/>
                <w:szCs w:val="21"/>
                <w:highlight w:val="none"/>
                <w:lang w:val="en-US" w:eastAsia="zh-CN"/>
              </w:rPr>
              <w:t>，得100分；</w:t>
            </w:r>
          </w:p>
          <w:p>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2.承担过单项清扫保洁项目的，得</w:t>
            </w:r>
            <w:r>
              <w:rPr>
                <w:rFonts w:hint="eastAsia" w:ascii="宋体" w:hAnsi="宋体" w:cs="宋体"/>
                <w:color w:val="auto"/>
                <w:sz w:val="21"/>
                <w:szCs w:val="21"/>
                <w:highlight w:val="none"/>
                <w:lang w:val="en-US" w:eastAsia="zh-CN"/>
              </w:rPr>
              <w:t>40</w:t>
            </w:r>
            <w:r>
              <w:rPr>
                <w:rFonts w:hint="eastAsia" w:ascii="宋体" w:hAnsi="宋体" w:eastAsia="宋体" w:cs="宋体"/>
                <w:color w:val="auto"/>
                <w:sz w:val="21"/>
                <w:szCs w:val="21"/>
                <w:highlight w:val="none"/>
                <w:lang w:val="en-US" w:eastAsia="zh-CN"/>
              </w:rPr>
              <w:t>分；</w:t>
            </w:r>
          </w:p>
          <w:p>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3.承担过单项垃圾清运项目的，得</w:t>
            </w:r>
            <w:r>
              <w:rPr>
                <w:rFonts w:hint="eastAsia" w:ascii="宋体" w:hAnsi="宋体" w:cs="宋体"/>
                <w:color w:val="auto"/>
                <w:sz w:val="21"/>
                <w:szCs w:val="21"/>
                <w:highlight w:val="none"/>
                <w:lang w:val="en-US" w:eastAsia="zh-CN"/>
              </w:rPr>
              <w:t>40</w:t>
            </w:r>
            <w:r>
              <w:rPr>
                <w:rFonts w:hint="eastAsia" w:ascii="宋体" w:hAnsi="宋体" w:eastAsia="宋体" w:cs="宋体"/>
                <w:color w:val="auto"/>
                <w:sz w:val="21"/>
                <w:szCs w:val="21"/>
                <w:highlight w:val="none"/>
                <w:lang w:val="en-US" w:eastAsia="zh-CN"/>
              </w:rPr>
              <w:t>分。</w:t>
            </w:r>
          </w:p>
          <w:p>
            <w:pPr>
              <w:jc w:val="left"/>
              <w:rPr>
                <w:rFonts w:hint="eastAsia"/>
                <w:color w:val="000000" w:themeColor="text1"/>
                <w:highlight w:val="none"/>
                <w14:textFill>
                  <w14:solidFill>
                    <w14:schemeClr w14:val="tx1"/>
                  </w14:solidFill>
                </w14:textFill>
              </w:rPr>
            </w:pPr>
            <w:r>
              <w:rPr>
                <w:rFonts w:hint="eastAsia" w:ascii="宋体" w:hAnsi="宋体" w:eastAsia="宋体" w:cs="宋体"/>
                <w:color w:val="auto"/>
                <w:sz w:val="21"/>
                <w:szCs w:val="21"/>
                <w:highlight w:val="none"/>
                <w:lang w:val="en-US" w:eastAsia="zh-CN"/>
              </w:rPr>
              <w:t>以上3项累计得分，本项最高得100</w:t>
            </w:r>
            <w:r>
              <w:rPr>
                <w:rFonts w:hint="eastAsia" w:ascii="宋体" w:hAnsi="宋体" w:eastAsia="宋体" w:cs="宋体"/>
                <w:color w:val="000000" w:themeColor="text1"/>
                <w:sz w:val="21"/>
                <w:szCs w:val="21"/>
                <w:highlight w:val="none"/>
                <w:lang w:val="en-US" w:eastAsia="zh-CN"/>
                <w14:textFill>
                  <w14:solidFill>
                    <w14:schemeClr w14:val="tx1"/>
                  </w14:solidFill>
                </w14:textFill>
              </w:rPr>
              <w:t>分。</w:t>
            </w:r>
          </w:p>
          <w:p>
            <w:pPr>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（二）评分依据：</w:t>
            </w:r>
          </w:p>
          <w:p>
            <w:pPr>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1.投标人需提供合同关键页（应包含但不限于合同甲乙双方名称、服务项目名称、涉及业绩的服务内容、服务期限、签订合同时间、甲乙双方公章等关键信息）、中标或成交通知书</w:t>
            </w:r>
            <w:r>
              <w:rPr>
                <w:rFonts w:hint="eastAsia"/>
                <w:color w:val="auto"/>
                <w:highlight w:val="none"/>
                <w:lang w:eastAsia="zh-CN"/>
              </w:rPr>
              <w:t>或</w:t>
            </w:r>
            <w:r>
              <w:rPr>
                <w:rFonts w:hint="eastAsia"/>
                <w:color w:val="000000" w:themeColor="text1"/>
                <w:highlight w:val="none"/>
                <w14:textFill>
                  <w14:solidFill>
                    <w14:schemeClr w14:val="tx1"/>
                  </w14:solidFill>
                </w14:textFill>
              </w:rPr>
              <w:t>在官方交易平台的中标（成交）结果公示。</w:t>
            </w:r>
          </w:p>
          <w:p>
            <w:pPr>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2.由合同甲方出具的用户证明或合同验收意见（相关履约评价需达到“优”“优秀”“满意”等最高评价，或为最高评价对应分值</w:t>
            </w:r>
            <w:r>
              <w:rPr>
                <w:rFonts w:hint="eastAsia"/>
                <w:color w:val="auto"/>
                <w:highlight w:val="none"/>
              </w:rPr>
              <w:t>（如采用百分值评价且注明最高评价为某具体区间分值的，则在此分值区间的均予以认可）</w:t>
            </w:r>
            <w:r>
              <w:rPr>
                <w:rFonts w:hint="eastAsia"/>
                <w:color w:val="000000" w:themeColor="text1"/>
                <w:highlight w:val="none"/>
                <w14:textFill>
                  <w14:solidFill>
                    <w14:schemeClr w14:val="tx1"/>
                  </w14:solidFill>
                </w14:textFill>
              </w:rPr>
              <w:t>的</w:t>
            </w:r>
            <w:bookmarkStart w:id="1" w:name="_Hlk234422114"/>
            <w:r>
              <w:rPr>
                <w:rFonts w:hint="eastAsia"/>
              </w:rPr>
              <w:t>（出具证明的签署日期需在项目合同服务结束时间之后，即履约评价或验收的出具日期至少为服务期的最后一天或服务期满之后）</w:t>
            </w:r>
            <w:bookmarkEnd w:id="1"/>
            <w:r>
              <w:rPr>
                <w:rFonts w:hint="eastAsia"/>
                <w:color w:val="000000" w:themeColor="text1"/>
                <w:highlight w:val="none"/>
                <w14:textFill>
                  <w14:solidFill>
                    <w14:schemeClr w14:val="tx1"/>
                  </w14:solidFill>
                </w14:textFill>
              </w:rPr>
              <w:t>，证明材料需加盖合同甲方公章或甲方业务章）、由项目当地城管部门或街道办出具的项目实施书面证明（</w:t>
            </w:r>
            <w:r>
              <w:rPr>
                <w:rFonts w:hint="eastAsia"/>
                <w:color w:val="000000" w:themeColor="text1"/>
                <w:highlight w:val="none"/>
                <w:lang w:val="en-US" w:eastAsia="zh-CN"/>
                <w14:textFill>
                  <w14:solidFill>
                    <w14:schemeClr w14:val="tx1"/>
                  </w14:solidFill>
                </w14:textFill>
              </w:rPr>
              <w:t>格式自拟</w:t>
            </w:r>
            <w:r>
              <w:rPr>
                <w:rFonts w:hint="eastAsia"/>
                <w:color w:val="000000" w:themeColor="text1"/>
                <w:highlight w:val="none"/>
                <w14:textFill>
                  <w14:solidFill>
                    <w14:schemeClr w14:val="tx1"/>
                  </w14:solidFill>
                </w14:textFill>
              </w:rPr>
              <w:t>）。</w:t>
            </w:r>
          </w:p>
          <w:p>
            <w:pPr>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3.由于行政区域变更导致合同甲方名称变更，造成出具服务评价证明的甲方名称与合同甲方名称不一致的，可提供以下证明材料之一：</w:t>
            </w:r>
          </w:p>
          <w:p>
            <w:pPr>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（1）提供行政区域发生变更或重新划分或分设街道的证明文件以及由原合同单位和现有服务单位同时加盖公章的服务评价证明（或原合同单位和现有服务单位均需出具服务评价证明）；</w:t>
            </w:r>
          </w:p>
          <w:p>
            <w:pPr>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（2）提供原合同单位和现有服务单位以及投标人企业共同签订同时加盖三方公章的转让协议以及现有服务单位出具加盖公章的服务评价证明；</w:t>
            </w:r>
          </w:p>
          <w:p>
            <w:pPr>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（3）如政府行政机关或事业单位因部门合并、调整等原因出现合同甲方名称变更，造成出具服务评价证明的甲方名称与合同甲方名称不一致的情况可提供以现有服务单位名称出具加盖公章的变更说明。</w:t>
            </w:r>
          </w:p>
          <w:p>
            <w:pPr>
              <w:jc w:val="left"/>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.组成联合体投标的投标人，联合体任意一方提供的符合上述要求的资料均为有效资料。</w:t>
            </w:r>
          </w:p>
          <w:p>
            <w:pPr>
              <w:spacing w:line="240" w:lineRule="auto"/>
              <w:jc w:val="left"/>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.以上资料均要求提供扫描件，原件备查。</w:t>
            </w:r>
          </w:p>
          <w:p>
            <w:pPr>
              <w:jc w:val="left"/>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备注：评分中出现无证明资料或证书过期或专家无法凭所提供资料判断是否得分的情况，一律作不得分处理。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3</w:t>
            </w:r>
          </w:p>
        </w:tc>
        <w:tc>
          <w:tcPr>
            <w:tcW w:w="4657" w:type="dxa"/>
            <w:gridSpan w:val="4"/>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商务</w:t>
            </w:r>
            <w:r>
              <w:rPr>
                <w:rFonts w:hint="eastAsia" w:ascii="宋体" w:hAnsi="宋体" w:eastAsia="宋体" w:cs="宋体"/>
                <w:b/>
                <w:color w:val="000000" w:themeColor="text1"/>
                <w:sz w:val="21"/>
                <w:szCs w:val="21"/>
                <w:highlight w:val="none"/>
                <w14:textFill>
                  <w14:solidFill>
                    <w14:schemeClr w14:val="tx1"/>
                  </w14:solidFill>
                </w14:textFill>
              </w:rPr>
              <w:t>部分</w:t>
            </w:r>
          </w:p>
        </w:tc>
        <w:tc>
          <w:tcPr>
            <w:tcW w:w="425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default" w:ascii="宋体" w:hAnsi="宋体" w:eastAsia="宋体" w:cs="宋体"/>
                <w:b/>
                <w:color w:val="000000" w:themeColor="text1"/>
                <w:sz w:val="21"/>
                <w:szCs w:val="21"/>
                <w:highlight w:val="none"/>
                <w:lang w:val="en-US" w:eastAsia="zh-CN"/>
                <w14:textFill>
                  <w14:solidFill>
                    <w14:schemeClr w14:val="tx1"/>
                  </w14:solidFill>
                </w14:textFill>
              </w:rPr>
            </w:pPr>
            <w:r>
              <w:rPr>
                <w:rFonts w:hint="eastAsia" w:ascii="宋体" w:hAnsi="宋体" w:cs="宋体"/>
                <w:strike w:val="0"/>
                <w:dstrike w:val="0"/>
                <w:color w:val="000000" w:themeColor="text1"/>
                <w:sz w:val="21"/>
                <w:szCs w:val="21"/>
                <w:highlight w:val="none"/>
                <w:lang w:val="en-US" w:eastAsia="zh-CN"/>
                <w14:textFill>
                  <w14:solidFill>
                    <w14:schemeClr w14:val="tx1"/>
                  </w14:solidFill>
                </w14:textFill>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vMerge w:val="restart"/>
            <w:tcBorders>
              <w:top w:val="single" w:color="auto" w:sz="4" w:space="0"/>
              <w:left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686"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66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评分因素</w:t>
            </w:r>
          </w:p>
        </w:tc>
        <w:tc>
          <w:tcPr>
            <w:tcW w:w="120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权重</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eastAsia="zh-CN"/>
                <w14:textFill>
                  <w14:solidFill>
                    <w14:schemeClr w14:val="tx1"/>
                  </w14:solidFill>
                </w14:textFill>
              </w:rPr>
              <w:t>）</w:t>
            </w:r>
          </w:p>
        </w:tc>
        <w:tc>
          <w:tcPr>
            <w:tcW w:w="111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评分方式</w:t>
            </w:r>
          </w:p>
        </w:tc>
        <w:tc>
          <w:tcPr>
            <w:tcW w:w="425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vMerge w:val="continue"/>
            <w:tcBorders>
              <w:left w:val="single" w:color="auto" w:sz="4" w:space="0"/>
              <w:right w:val="single" w:color="auto" w:sz="4" w:space="0"/>
            </w:tcBorders>
            <w:vAlign w:val="center"/>
          </w:tcPr>
          <w:p>
            <w:pPr>
              <w:widowControl/>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686"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66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体系认证情况</w:t>
            </w:r>
          </w:p>
        </w:tc>
        <w:tc>
          <w:tcPr>
            <w:tcW w:w="120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9</w:t>
            </w:r>
          </w:p>
        </w:tc>
        <w:tc>
          <w:tcPr>
            <w:tcW w:w="111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专家打分</w:t>
            </w:r>
          </w:p>
        </w:tc>
        <w:tc>
          <w:tcPr>
            <w:tcW w:w="4251" w:type="dxa"/>
            <w:tcBorders>
              <w:top w:val="single" w:color="auto" w:sz="4" w:space="0"/>
              <w:left w:val="single" w:color="auto" w:sz="4" w:space="0"/>
              <w:bottom w:val="single" w:color="auto" w:sz="4" w:space="0"/>
              <w:right w:val="single" w:color="auto" w:sz="4" w:space="0"/>
            </w:tcBorders>
            <w:vAlign w:val="top"/>
          </w:tcPr>
          <w:p>
            <w:pPr>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（一） 评分内容：</w:t>
            </w:r>
          </w:p>
          <w:p>
            <w:pP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考察投标人</w:t>
            </w:r>
            <w:r>
              <w:rPr>
                <w:rFonts w:hint="eastAsia" w:ascii="宋体" w:hAnsi="宋体" w:eastAsia="宋体" w:cs="宋体"/>
                <w:color w:val="000000" w:themeColor="text1"/>
                <w:highlight w:val="none"/>
                <w:lang w:val="en-US" w:eastAsia="zh-CN"/>
                <w14:textFill>
                  <w14:solidFill>
                    <w14:schemeClr w14:val="tx1"/>
                  </w14:solidFill>
                </w14:textFill>
              </w:rPr>
              <w:t>（如为联合体投标的，联合体成员单位任意一方满足或联合体各方共同满足条件均可）</w:t>
            </w:r>
            <w:r>
              <w:rPr>
                <w:rFonts w:hint="eastAsia" w:ascii="宋体" w:hAnsi="宋体" w:eastAsia="宋体" w:cs="宋体"/>
                <w:color w:val="000000" w:themeColor="text1"/>
                <w:highlight w:val="none"/>
                <w14:textFill>
                  <w14:solidFill>
                    <w14:schemeClr w14:val="tx1"/>
                  </w14:solidFill>
                </w14:textFill>
              </w:rPr>
              <w:t>具有</w:t>
            </w:r>
            <w:r>
              <w:rPr>
                <w:rFonts w:hint="eastAsia" w:ascii="宋体" w:hAnsi="宋体" w:eastAsia="宋体" w:cs="宋体"/>
                <w:color w:val="000000" w:themeColor="text1"/>
                <w:highlight w:val="none"/>
                <w:lang w:eastAsia="zh-CN"/>
                <w14:textFill>
                  <w14:solidFill>
                    <w14:schemeClr w14:val="tx1"/>
                  </w14:solidFill>
                </w14:textFill>
              </w:rPr>
              <w:t>：</w:t>
            </w:r>
          </w:p>
          <w:p>
            <w:pPr>
              <w:rPr>
                <w:rFonts w:hint="eastAsia" w:ascii="宋体" w:hAnsi="宋体" w:eastAsia="宋体" w:cs="宋体"/>
                <w:color w:val="auto"/>
                <w:highlight w:val="none"/>
              </w:rPr>
            </w:pPr>
            <w:r>
              <w:rPr>
                <w:rFonts w:hint="eastAsia" w:ascii="宋体" w:hAnsi="宋体" w:eastAsia="宋体" w:cs="宋体"/>
                <w:color w:val="000000" w:themeColor="text1"/>
                <w:highlight w:val="none"/>
                <w:lang w:val="en-US" w:eastAsia="zh-CN"/>
                <w14:textFill>
                  <w14:solidFill>
                    <w14:schemeClr w14:val="tx1"/>
                  </w14:solidFill>
                </w14:textFill>
              </w:rPr>
              <w:t>1.质量管理体系认证证书得</w:t>
            </w:r>
            <w:r>
              <w:rPr>
                <w:rFonts w:hint="eastAsia" w:ascii="宋体" w:hAnsi="宋体" w:cs="宋体"/>
                <w:color w:val="auto"/>
                <w:highlight w:val="none"/>
                <w:lang w:val="en-US" w:eastAsia="zh-CN"/>
              </w:rPr>
              <w:t>25</w:t>
            </w:r>
            <w:r>
              <w:rPr>
                <w:rFonts w:hint="eastAsia" w:ascii="宋体" w:hAnsi="宋体" w:eastAsia="宋体" w:cs="宋体"/>
                <w:color w:val="auto"/>
                <w:highlight w:val="none"/>
                <w:lang w:val="en-US" w:eastAsia="zh-CN"/>
              </w:rPr>
              <w:t>分</w:t>
            </w:r>
            <w:r>
              <w:rPr>
                <w:rFonts w:hint="eastAsia" w:ascii="宋体" w:hAnsi="宋体" w:eastAsia="宋体" w:cs="宋体"/>
                <w:color w:val="auto"/>
                <w:highlight w:val="none"/>
              </w:rPr>
              <w:t>；</w:t>
            </w:r>
          </w:p>
          <w:p>
            <w:pP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职业健康安全管理体系认证证书得</w:t>
            </w:r>
            <w:r>
              <w:rPr>
                <w:rFonts w:hint="eastAsia" w:ascii="宋体" w:hAnsi="宋体" w:cs="宋体"/>
                <w:color w:val="auto"/>
                <w:highlight w:val="none"/>
                <w:lang w:val="en-US" w:eastAsia="zh-CN"/>
              </w:rPr>
              <w:t>25</w:t>
            </w:r>
            <w:r>
              <w:rPr>
                <w:rFonts w:hint="eastAsia" w:ascii="宋体" w:hAnsi="宋体" w:eastAsia="宋体" w:cs="宋体"/>
                <w:color w:val="auto"/>
                <w:highlight w:val="none"/>
              </w:rPr>
              <w:t>分；</w:t>
            </w:r>
          </w:p>
          <w:p>
            <w:pPr>
              <w:ind w:left="0" w:leftChars="0" w:firstLine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3.环境管理体系认证证书得</w:t>
            </w:r>
            <w:r>
              <w:rPr>
                <w:rFonts w:hint="eastAsia" w:ascii="宋体" w:hAnsi="宋体" w:cs="宋体"/>
                <w:color w:val="auto"/>
                <w:highlight w:val="none"/>
                <w:lang w:val="en-US" w:eastAsia="zh-CN"/>
              </w:rPr>
              <w:t>25</w:t>
            </w:r>
            <w:r>
              <w:rPr>
                <w:rFonts w:hint="eastAsia" w:ascii="宋体" w:hAnsi="宋体" w:eastAsia="宋体" w:cs="宋体"/>
                <w:color w:val="auto"/>
                <w:highlight w:val="none"/>
                <w:lang w:val="en-US" w:eastAsia="zh-CN"/>
              </w:rPr>
              <w:t>分；</w:t>
            </w:r>
          </w:p>
          <w:p>
            <w:pPr>
              <w:ind w:left="0" w:leftChars="0" w:firstLine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4.生活垃圾分类服务能力认证证书得</w:t>
            </w:r>
            <w:r>
              <w:rPr>
                <w:rFonts w:hint="eastAsia" w:ascii="宋体" w:hAnsi="宋体" w:cs="宋体"/>
                <w:color w:val="auto"/>
                <w:highlight w:val="none"/>
                <w:lang w:val="en-US" w:eastAsia="zh-CN"/>
              </w:rPr>
              <w:t>25</w:t>
            </w:r>
            <w:r>
              <w:rPr>
                <w:rFonts w:hint="eastAsia" w:ascii="宋体" w:hAnsi="宋体" w:eastAsia="宋体" w:cs="宋体"/>
                <w:color w:val="auto"/>
                <w:highlight w:val="none"/>
                <w:lang w:val="en-US" w:eastAsia="zh-CN"/>
              </w:rPr>
              <w:t>分；</w:t>
            </w:r>
          </w:p>
          <w:p>
            <w:pPr>
              <w:rPr>
                <w:rFonts w:hint="eastAsia" w:ascii="宋体" w:hAnsi="宋体" w:eastAsia="宋体" w:cs="宋体"/>
                <w:color w:val="auto"/>
                <w:highlight w:val="none"/>
              </w:rPr>
            </w:pPr>
            <w:r>
              <w:rPr>
                <w:rFonts w:hint="eastAsia" w:ascii="宋体" w:hAnsi="宋体" w:eastAsia="宋体" w:cs="宋体"/>
                <w:color w:val="auto"/>
                <w:highlight w:val="none"/>
              </w:rPr>
              <w:t>以上</w:t>
            </w:r>
            <w:r>
              <w:rPr>
                <w:rFonts w:hint="eastAsia" w:ascii="宋体" w:hAnsi="宋体" w:cs="宋体"/>
                <w:b w:val="0"/>
                <w:bCs w:val="0"/>
                <w:color w:val="auto"/>
                <w:kern w:val="0"/>
                <w:szCs w:val="21"/>
                <w:highlight w:val="none"/>
                <w:u w:val="none"/>
                <w:lang w:val="en-US" w:eastAsia="zh-CN"/>
              </w:rPr>
              <w:t>4</w:t>
            </w:r>
            <w:r>
              <w:rPr>
                <w:rFonts w:hint="eastAsia" w:ascii="宋体" w:hAnsi="宋体" w:eastAsia="宋体" w:cs="宋体"/>
                <w:color w:val="auto"/>
                <w:highlight w:val="none"/>
                <w:u w:val="none"/>
              </w:rPr>
              <w:t>项</w:t>
            </w:r>
            <w:r>
              <w:rPr>
                <w:rFonts w:hint="eastAsia" w:ascii="宋体" w:hAnsi="宋体" w:eastAsia="宋体" w:cs="宋体"/>
                <w:color w:val="auto"/>
                <w:highlight w:val="none"/>
                <w:u w:val="none"/>
                <w:lang w:val="en-US" w:eastAsia="zh-CN"/>
              </w:rPr>
              <w:t>累</w:t>
            </w:r>
            <w:r>
              <w:rPr>
                <w:rFonts w:hint="eastAsia" w:ascii="宋体" w:hAnsi="宋体" w:eastAsia="宋体" w:cs="宋体"/>
                <w:color w:val="auto"/>
                <w:highlight w:val="none"/>
                <w:lang w:val="en-US" w:eastAsia="zh-CN"/>
              </w:rPr>
              <w:t>计得分</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本项</w:t>
            </w:r>
            <w:r>
              <w:rPr>
                <w:rFonts w:hint="eastAsia" w:ascii="宋体" w:hAnsi="宋体" w:eastAsia="宋体" w:cs="宋体"/>
                <w:color w:val="auto"/>
                <w:highlight w:val="none"/>
              </w:rPr>
              <w:t>最高得100分。</w:t>
            </w:r>
          </w:p>
          <w:p>
            <w:pPr>
              <w:rPr>
                <w:b/>
                <w:color w:val="auto"/>
                <w:highlight w:val="none"/>
              </w:rPr>
            </w:pPr>
            <w:r>
              <w:rPr>
                <w:rFonts w:hint="eastAsia"/>
                <w:b/>
                <w:color w:val="auto"/>
                <w:highlight w:val="none"/>
              </w:rPr>
              <w:t>（二）评分依据：</w:t>
            </w:r>
          </w:p>
          <w:p>
            <w:pP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须同时提供有效的认证证书扫描件，及认证证书在全国认证认可信息公共服务平台（认e云）查询有效的截图（http://cx.cnca.cn）。</w:t>
            </w:r>
          </w:p>
          <w:p>
            <w:pPr>
              <w:rPr>
                <w:rFonts w:hint="eastAsia"/>
                <w:highlight w:val="none"/>
              </w:rPr>
            </w:pPr>
            <w:r>
              <w:rPr>
                <w:rFonts w:hint="eastAsia"/>
                <w:highlight w:val="none"/>
              </w:rPr>
              <w:t>如投标人成立时间不足三个月，可承诺中标后按招标文件要求获取有关认证证书，每承诺获取一项得</w:t>
            </w:r>
            <w:r>
              <w:rPr>
                <w:rFonts w:hint="eastAsia"/>
                <w:highlight w:val="none"/>
                <w:lang w:val="en-US" w:eastAsia="zh-CN"/>
              </w:rPr>
              <w:t>25</w:t>
            </w:r>
            <w:r>
              <w:rPr>
                <w:rFonts w:hint="eastAsia"/>
                <w:highlight w:val="none"/>
              </w:rPr>
              <w:t>分，</w:t>
            </w:r>
            <w:r>
              <w:rPr>
                <w:rFonts w:hint="eastAsia"/>
                <w:highlight w:val="none"/>
                <w:lang w:val="en-US" w:eastAsia="zh-CN"/>
              </w:rPr>
              <w:t>最高得100分。</w:t>
            </w:r>
            <w:r>
              <w:rPr>
                <w:rFonts w:hint="eastAsia"/>
                <w:highlight w:val="none"/>
              </w:rPr>
              <w:t>投标人提供《承诺函》（格式自拟）作为证明材料。</w:t>
            </w:r>
          </w:p>
          <w:p>
            <w:pPr>
              <w:rPr>
                <w:rFonts w:hint="default" w:eastAsia="宋体"/>
                <w:lang w:val="en-US" w:eastAsia="zh-CN"/>
              </w:rPr>
            </w:pPr>
            <w:r>
              <w:rPr>
                <w:rFonts w:hint="eastAsia" w:ascii="宋体" w:hAnsi="宋体" w:eastAsia="宋体" w:cs="宋体"/>
                <w:kern w:val="2"/>
                <w:sz w:val="21"/>
                <w:szCs w:val="21"/>
                <w:lang w:val="en-US" w:eastAsia="zh-CN"/>
              </w:rPr>
              <w:t>2.组成联合体投标的投标人，联合体任意一方提供的符合上述要求的资料均为有效资料。</w:t>
            </w:r>
          </w:p>
          <w:p>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备注：以上资料均要求提供扫描件，原件备查，评分中出现无证明资料或证书过期或专家无法凭所提供资料判断是否得分的情况，一律作不得分处理。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vMerge w:val="continue"/>
            <w:tcBorders>
              <w:left w:val="single" w:color="auto" w:sz="4" w:space="0"/>
              <w:right w:val="single" w:color="auto" w:sz="4" w:space="0"/>
            </w:tcBorders>
            <w:vAlign w:val="center"/>
          </w:tcPr>
          <w:p>
            <w:pPr>
              <w:widowControl/>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686"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166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投标人获奖（荣誉）情况</w:t>
            </w:r>
          </w:p>
        </w:tc>
        <w:tc>
          <w:tcPr>
            <w:tcW w:w="120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p>
        </w:tc>
        <w:tc>
          <w:tcPr>
            <w:tcW w:w="111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专家打分</w:t>
            </w:r>
          </w:p>
        </w:tc>
        <w:tc>
          <w:tcPr>
            <w:tcW w:w="4251" w:type="dxa"/>
            <w:tcBorders>
              <w:top w:val="single" w:color="auto" w:sz="4" w:space="0"/>
              <w:left w:val="single" w:color="auto" w:sz="4" w:space="0"/>
              <w:bottom w:val="single" w:color="auto" w:sz="4" w:space="0"/>
              <w:right w:val="single" w:color="auto" w:sz="4" w:space="0"/>
            </w:tcBorders>
            <w:vAlign w:val="center"/>
          </w:tcPr>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（一）评分内容：</w:t>
            </w:r>
          </w:p>
          <w:p>
            <w:pPr>
              <w:rPr>
                <w:rFonts w:hint="eastAsia" w:eastAsia="宋体"/>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考察</w:t>
            </w:r>
            <w:r>
              <w:rPr>
                <w:rFonts w:hint="eastAsia" w:eastAsia="宋体"/>
                <w:color w:val="000000" w:themeColor="text1"/>
                <w:highlight w:val="none"/>
                <w:lang w:val="en-US" w:eastAsia="zh-CN"/>
                <w14:textFill>
                  <w14:solidFill>
                    <w14:schemeClr w14:val="tx1"/>
                  </w14:solidFill>
                </w14:textFill>
              </w:rPr>
              <w:t>投标人</w:t>
            </w:r>
            <w:r>
              <w:rPr>
                <w:rFonts w:hint="eastAsia"/>
                <w:color w:val="000000" w:themeColor="text1"/>
                <w:highlight w:val="none"/>
                <w14:textFill>
                  <w14:solidFill>
                    <w14:schemeClr w14:val="tx1"/>
                  </w14:solidFill>
                </w14:textFill>
              </w:rPr>
              <w:t>自</w:t>
            </w:r>
            <w:r>
              <w:rPr>
                <w:rFonts w:hint="eastAsia"/>
                <w:color w:val="000000" w:themeColor="text1"/>
                <w:highlight w:val="none"/>
                <w:u w:val="single"/>
                <w14:textFill>
                  <w14:solidFill>
                    <w14:schemeClr w14:val="tx1"/>
                  </w14:solidFill>
                </w14:textFill>
              </w:rPr>
              <w:t>20</w:t>
            </w:r>
            <w:r>
              <w:rPr>
                <w:rFonts w:hint="eastAsia"/>
                <w:color w:val="000000" w:themeColor="text1"/>
                <w:highlight w:val="none"/>
                <w:u w:val="single"/>
                <w:lang w:val="en-US" w:eastAsia="zh-CN"/>
                <w14:textFill>
                  <w14:solidFill>
                    <w14:schemeClr w14:val="tx1"/>
                  </w14:solidFill>
                </w14:textFill>
              </w:rPr>
              <w:t>21</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lang w:val="en-US" w:eastAsia="zh-CN"/>
                <w14:textFill>
                  <w14:solidFill>
                    <w14:schemeClr w14:val="tx1"/>
                  </w14:solidFill>
                </w14:textFill>
              </w:rPr>
              <w:t xml:space="preserve"> 1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 xml:space="preserve"> 1</w:t>
            </w:r>
            <w:r>
              <w:rPr>
                <w:rFonts w:hint="eastAsia"/>
                <w:color w:val="000000" w:themeColor="text1"/>
                <w:highlight w:val="none"/>
                <w14:textFill>
                  <w14:solidFill>
                    <w14:schemeClr w14:val="tx1"/>
                  </w14:solidFill>
                </w14:textFill>
              </w:rPr>
              <w:t>日至投标截止日</w:t>
            </w:r>
            <w:r>
              <w:rPr>
                <w:rFonts w:hint="eastAsia" w:eastAsia="宋体"/>
                <w:color w:val="000000" w:themeColor="text1"/>
                <w:highlight w:val="none"/>
                <w:lang w:val="en-US" w:eastAsia="zh-CN"/>
                <w14:textFill>
                  <w14:solidFill>
                    <w14:schemeClr w14:val="tx1"/>
                  </w14:solidFill>
                </w14:textFill>
              </w:rPr>
              <w:t>（如为联合体投标的，联合体成员单位任意一方满足或联合体各方共同满足条件均可）</w:t>
            </w:r>
            <w:r>
              <w:rPr>
                <w:rFonts w:hint="eastAsia" w:eastAsia="宋体"/>
                <w:color w:val="000000" w:themeColor="text1"/>
                <w:highlight w:val="none"/>
                <w14:textFill>
                  <w14:solidFill>
                    <w14:schemeClr w14:val="tx1"/>
                  </w14:solidFill>
                </w14:textFill>
              </w:rPr>
              <w:t>：</w:t>
            </w:r>
          </w:p>
          <w:p>
            <w:pPr>
              <w:rPr>
                <w:rFonts w:hint="default" w:eastAsia="宋体"/>
                <w:strike/>
                <w:dstrike w:val="0"/>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eastAsia" w:eastAsia="宋体"/>
                <w:color w:val="000000" w:themeColor="text1"/>
                <w:highlight w:val="none"/>
                <w14:textFill>
                  <w14:solidFill>
                    <w14:schemeClr w14:val="tx1"/>
                  </w14:solidFill>
                </w14:textFill>
              </w:rPr>
              <w:t>投标人获得政府部门或事业单位颁发的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市政环卫类（清扫或清运或清扫清运或公厕管理或垃圾分类或智慧环卫类）或城市管家类（城管业务一体化或城市管家或物管城市）</w:t>
            </w:r>
            <w:r>
              <w:rPr>
                <w:rFonts w:hint="eastAsia" w:eastAsia="宋体"/>
                <w:color w:val="000000" w:themeColor="text1"/>
                <w:highlight w:val="none"/>
                <w14:textFill>
                  <w14:solidFill>
                    <w14:schemeClr w14:val="tx1"/>
                  </w14:solidFill>
                </w14:textFill>
              </w:rPr>
              <w:t>相关的奖项或荣誉</w:t>
            </w:r>
            <w:r>
              <w:rPr>
                <w:rFonts w:hint="eastAsia"/>
                <w:color w:val="000000" w:themeColor="text1"/>
                <w:highlight w:val="none"/>
                <w:lang w:eastAsia="zh-CN"/>
                <w14:textFill>
                  <w14:solidFill>
                    <w14:schemeClr w14:val="tx1"/>
                  </w14:solidFill>
                </w14:textFill>
              </w:rPr>
              <w:t>，得</w:t>
            </w:r>
            <w:r>
              <w:rPr>
                <w:rFonts w:hint="eastAsia"/>
                <w:color w:val="000000" w:themeColor="text1"/>
                <w:highlight w:val="none"/>
                <w:lang w:val="en-US" w:eastAsia="zh-CN"/>
                <w14:textFill>
                  <w14:solidFill>
                    <w14:schemeClr w14:val="tx1"/>
                  </w14:solidFill>
                </w14:textFill>
              </w:rPr>
              <w:t>60分，本小项最高得60分；</w:t>
            </w:r>
          </w:p>
          <w:p>
            <w:pPr>
              <w:rPr>
                <w:rFonts w:hint="default" w:eastAsia="宋体"/>
                <w:strike/>
                <w:dstrike w:val="0"/>
                <w:color w:val="000000" w:themeColor="text1"/>
                <w:highlight w:val="yellow"/>
                <w:lang w:val="en-US" w:eastAsia="zh-CN"/>
                <w14:textFill>
                  <w14:solidFill>
                    <w14:schemeClr w14:val="tx1"/>
                  </w14:solidFill>
                </w14:textFill>
              </w:rPr>
            </w:pPr>
            <w:r>
              <w:rPr>
                <w:rFonts w:hint="eastAsia" w:eastAsia="宋体"/>
                <w:color w:val="000000" w:themeColor="text1"/>
                <w:highlight w:val="none"/>
                <w14:textFill>
                  <w14:solidFill>
                    <w14:schemeClr w14:val="tx1"/>
                  </w14:solidFill>
                </w14:textFill>
              </w:rPr>
              <w:t>2.投标人</w:t>
            </w:r>
            <w:r>
              <w:rPr>
                <w:rFonts w:hint="eastAsia"/>
                <w:color w:val="000000" w:themeColor="text1"/>
                <w:highlight w:val="none"/>
                <w:lang w:eastAsia="zh-CN"/>
                <w14:textFill>
                  <w14:solidFill>
                    <w14:schemeClr w14:val="tx1"/>
                  </w14:solidFill>
                </w14:textFill>
              </w:rPr>
              <w:t>获得</w:t>
            </w:r>
            <w:r>
              <w:rPr>
                <w:rFonts w:hint="eastAsia" w:eastAsia="宋体"/>
                <w:color w:val="000000" w:themeColor="text1"/>
                <w:highlight w:val="none"/>
                <w14:textFill>
                  <w14:solidFill>
                    <w14:schemeClr w14:val="tx1"/>
                  </w14:solidFill>
                </w14:textFill>
              </w:rPr>
              <w:t>政府部门</w:t>
            </w:r>
            <w:r>
              <w:rPr>
                <w:rFonts w:hint="eastAsia"/>
                <w:color w:val="000000" w:themeColor="text1"/>
                <w:highlight w:val="none"/>
                <w:lang w:eastAsia="zh-CN"/>
                <w14:textFill>
                  <w14:solidFill>
                    <w14:schemeClr w14:val="tx1"/>
                  </w14:solidFill>
                </w14:textFill>
              </w:rPr>
              <w:t>或事业单位颁发的</w:t>
            </w:r>
            <w:r>
              <w:rPr>
                <w:rFonts w:hint="eastAsia" w:eastAsia="宋体"/>
                <w:color w:val="000000" w:themeColor="text1"/>
                <w:highlight w:val="none"/>
                <w14:textFill>
                  <w14:solidFill>
                    <w14:schemeClr w14:val="tx1"/>
                  </w14:solidFill>
                </w14:textFill>
              </w:rPr>
              <w:t>应急抢险或救援工作奖项或荣誉</w:t>
            </w:r>
            <w:r>
              <w:rPr>
                <w:rFonts w:hint="eastAsia"/>
                <w:color w:val="000000" w:themeColor="text1"/>
                <w:highlight w:val="none"/>
                <w:lang w:eastAsia="zh-CN"/>
                <w14:textFill>
                  <w14:solidFill>
                    <w14:schemeClr w14:val="tx1"/>
                  </w14:solidFill>
                </w14:textFill>
              </w:rPr>
              <w:t>，得</w:t>
            </w:r>
            <w:r>
              <w:rPr>
                <w:rFonts w:hint="eastAsia"/>
                <w:color w:val="000000" w:themeColor="text1"/>
                <w:highlight w:val="none"/>
                <w:lang w:val="en-US" w:eastAsia="zh-CN"/>
                <w14:textFill>
                  <w14:solidFill>
                    <w14:schemeClr w14:val="tx1"/>
                  </w14:solidFill>
                </w14:textFill>
              </w:rPr>
              <w:t>40分，本小项最高得40分。</w:t>
            </w:r>
          </w:p>
          <w:p>
            <w:pPr>
              <w:spacing w:line="240" w:lineRule="auto"/>
              <w:jc w:val="left"/>
              <w:rPr>
                <w:rFonts w:hint="eastAsia"/>
                <w:color w:val="000000" w:themeColor="text1"/>
                <w:highlight w:val="none"/>
                <w14:textFill>
                  <w14:solidFill>
                    <w14:schemeClr w14:val="tx1"/>
                  </w14:solidFill>
                </w14:textFill>
              </w:rPr>
            </w:pPr>
            <w:r>
              <w:rPr>
                <w:rFonts w:hint="eastAsia" w:eastAsia="宋体"/>
                <w:color w:val="000000" w:themeColor="text1"/>
                <w:highlight w:val="none"/>
                <w14:textFill>
                  <w14:solidFill>
                    <w14:schemeClr w14:val="tx1"/>
                  </w14:solidFill>
                </w14:textFill>
              </w:rPr>
              <w:t>以上</w:t>
            </w:r>
            <w:r>
              <w:rPr>
                <w:rFonts w:hint="eastAsia" w:eastAsia="宋体"/>
                <w:color w:val="000000" w:themeColor="text1"/>
                <w:highlight w:val="none"/>
                <w:lang w:val="en-US" w:eastAsia="zh-CN"/>
                <w14:textFill>
                  <w14:solidFill>
                    <w14:schemeClr w14:val="tx1"/>
                  </w14:solidFill>
                </w14:textFill>
              </w:rPr>
              <w:t>2</w:t>
            </w:r>
            <w:r>
              <w:rPr>
                <w:rFonts w:hint="eastAsia" w:eastAsia="宋体"/>
                <w:color w:val="000000" w:themeColor="text1"/>
                <w:highlight w:val="none"/>
                <w14:textFill>
                  <w14:solidFill>
                    <w14:schemeClr w14:val="tx1"/>
                  </w14:solidFill>
                </w14:textFill>
              </w:rPr>
              <w:t>项</w:t>
            </w:r>
            <w:r>
              <w:rPr>
                <w:rFonts w:hint="eastAsia" w:eastAsia="宋体"/>
                <w:color w:val="000000" w:themeColor="text1"/>
                <w:highlight w:val="none"/>
                <w:lang w:val="en-US" w:eastAsia="zh-CN"/>
                <w14:textFill>
                  <w14:solidFill>
                    <w14:schemeClr w14:val="tx1"/>
                  </w14:solidFill>
                </w14:textFill>
              </w:rPr>
              <w:t>累计得</w:t>
            </w:r>
            <w:r>
              <w:rPr>
                <w:rFonts w:hint="eastAsia" w:eastAsia="宋体"/>
                <w:color w:val="000000" w:themeColor="text1"/>
                <w:highlight w:val="none"/>
                <w14:textFill>
                  <w14:solidFill>
                    <w14:schemeClr w14:val="tx1"/>
                  </w14:solidFill>
                </w14:textFill>
              </w:rPr>
              <w:t>分，</w:t>
            </w:r>
            <w:r>
              <w:rPr>
                <w:rFonts w:hint="eastAsia" w:eastAsia="宋体"/>
                <w:color w:val="000000" w:themeColor="text1"/>
                <w:highlight w:val="none"/>
                <w:lang w:val="en-US" w:eastAsia="zh-CN"/>
                <w14:textFill>
                  <w14:solidFill>
                    <w14:schemeClr w14:val="tx1"/>
                  </w14:solidFill>
                </w14:textFill>
              </w:rPr>
              <w:t>本</w:t>
            </w:r>
            <w:r>
              <w:rPr>
                <w:rFonts w:hint="eastAsia"/>
                <w:color w:val="000000" w:themeColor="text1"/>
                <w:highlight w:val="none"/>
                <w:lang w:val="en-US" w:eastAsia="zh-CN"/>
                <w14:textFill>
                  <w14:solidFill>
                    <w14:schemeClr w14:val="tx1"/>
                  </w14:solidFill>
                </w14:textFill>
              </w:rPr>
              <w:t>项</w:t>
            </w:r>
            <w:r>
              <w:rPr>
                <w:rFonts w:hint="eastAsia"/>
                <w:color w:val="000000" w:themeColor="text1"/>
                <w:highlight w:val="none"/>
                <w14:textFill>
                  <w14:solidFill>
                    <w14:schemeClr w14:val="tx1"/>
                  </w14:solidFill>
                </w14:textFill>
              </w:rPr>
              <w:t>最高得100分。</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（二）评分依据：</w:t>
            </w:r>
          </w:p>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提供奖项照片或获奖（荣誉）证书或红头文件</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不包</w:t>
            </w:r>
            <w:r>
              <w:rPr>
                <w:rFonts w:hint="eastAsia" w:ascii="宋体" w:hAnsi="宋体" w:eastAsia="宋体" w:cs="宋体"/>
                <w:color w:val="auto"/>
                <w:sz w:val="21"/>
                <w:szCs w:val="21"/>
                <w:highlight w:val="none"/>
              </w:rPr>
              <w:t>含感谢信或表扬信）等证明材料扫描件作为得分依据</w:t>
            </w:r>
            <w:r>
              <w:rPr>
                <w:rFonts w:hint="eastAsia" w:hAnsi="宋体" w:cs="宋体"/>
                <w:color w:val="auto"/>
                <w:sz w:val="21"/>
                <w:szCs w:val="21"/>
                <w:highlight w:val="none"/>
                <w:lang w:val="en-US" w:eastAsia="zh-CN"/>
              </w:rPr>
              <w:t>，证</w:t>
            </w:r>
            <w:r>
              <w:rPr>
                <w:rFonts w:hint="eastAsia" w:hAnsi="宋体" w:cs="宋体"/>
                <w:color w:val="000000" w:themeColor="text1"/>
                <w:sz w:val="21"/>
                <w:szCs w:val="21"/>
                <w:highlight w:val="none"/>
                <w:lang w:val="en-US" w:eastAsia="zh-CN"/>
                <w14:textFill>
                  <w14:solidFill>
                    <w14:schemeClr w14:val="tx1"/>
                  </w14:solidFill>
                </w14:textFill>
              </w:rPr>
              <w:t>明材料无法判断是否得分的，</w:t>
            </w:r>
            <w:r>
              <w:rPr>
                <w:rFonts w:hint="eastAsia" w:ascii="宋体" w:hAnsi="宋体" w:cs="宋体"/>
                <w:color w:val="000000" w:themeColor="text1"/>
                <w:sz w:val="21"/>
                <w:szCs w:val="21"/>
                <w:highlight w:val="none"/>
                <w:lang w:eastAsia="zh-CN"/>
                <w14:textFill>
                  <w14:solidFill>
                    <w14:schemeClr w14:val="tx1"/>
                  </w14:solidFill>
                </w14:textFill>
              </w:rPr>
              <w:t>还须同时提供</w:t>
            </w:r>
            <w:r>
              <w:rPr>
                <w:rFonts w:hint="eastAsia" w:ascii="宋体" w:hAnsi="宋体" w:cs="宋体"/>
                <w:color w:val="000000" w:themeColor="text1"/>
                <w:sz w:val="21"/>
                <w:szCs w:val="21"/>
                <w:highlight w:val="none"/>
                <w:lang w:val="en-US" w:eastAsia="zh-CN"/>
                <w14:textFill>
                  <w14:solidFill>
                    <w14:schemeClr w14:val="tx1"/>
                  </w14:solidFill>
                </w14:textFill>
              </w:rPr>
              <w:t>荣誉颁发单位</w:t>
            </w:r>
            <w:r>
              <w:rPr>
                <w:rFonts w:hint="eastAsia" w:ascii="宋体" w:hAnsi="宋体" w:cs="宋体"/>
                <w:color w:val="000000" w:themeColor="text1"/>
                <w:sz w:val="21"/>
                <w:szCs w:val="21"/>
                <w:highlight w:val="none"/>
                <w:lang w:eastAsia="zh-CN"/>
                <w14:textFill>
                  <w14:solidFill>
                    <w14:schemeClr w14:val="tx1"/>
                  </w14:solidFill>
                </w14:textFill>
              </w:rPr>
              <w:t>出具的证明文件，</w:t>
            </w:r>
            <w:r>
              <w:rPr>
                <w:rFonts w:hint="eastAsia" w:ascii="宋体" w:hAnsi="宋体" w:cs="宋体"/>
                <w:color w:val="000000" w:themeColor="text1"/>
                <w:sz w:val="21"/>
                <w:szCs w:val="21"/>
                <w:highlight w:val="none"/>
                <w:lang w:val="en-US" w:eastAsia="zh-CN"/>
                <w14:textFill>
                  <w14:solidFill>
                    <w14:schemeClr w14:val="tx1"/>
                  </w14:solidFill>
                </w14:textFill>
              </w:rPr>
              <w:t>证明文件须体现服务内容</w:t>
            </w:r>
            <w:r>
              <w:rPr>
                <w:rFonts w:hint="eastAsia" w:ascii="宋体" w:hAnsi="宋体" w:cs="宋体"/>
                <w:color w:val="000000" w:themeColor="text1"/>
                <w:sz w:val="21"/>
                <w:szCs w:val="21"/>
                <w:highlight w:val="none"/>
                <w:lang w:eastAsia="zh-CN"/>
                <w14:textFill>
                  <w14:solidFill>
                    <w14:schemeClr w14:val="tx1"/>
                  </w14:solidFill>
                </w14:textFill>
              </w:rPr>
              <w:t>。</w:t>
            </w:r>
          </w:p>
          <w:p>
            <w:pPr>
              <w:spacing w:line="32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kern w:val="2"/>
                <w:sz w:val="21"/>
                <w:szCs w:val="21"/>
                <w:lang w:val="en-US" w:eastAsia="zh-CN"/>
              </w:rPr>
              <w:t>2.组成联合体投标的投标人，联合体任意一方提供的符合上述要求的资料均为有效资料。</w:t>
            </w:r>
          </w:p>
          <w:p>
            <w:pPr>
              <w:jc w:val="left"/>
              <w:rPr>
                <w:rFonts w:hint="eastAsia"/>
                <w:color w:val="000000" w:themeColor="text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备注：以上资料均要求提供扫描件，原件备查，评分中出现无证明资料或证书过期或专家无法凭所提供资料判断是否得分的情况，一律作不得分处理。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vMerge w:val="continue"/>
            <w:tcBorders>
              <w:left w:val="single" w:color="auto" w:sz="4" w:space="0"/>
              <w:right w:val="single" w:color="auto" w:sz="4" w:space="0"/>
            </w:tcBorders>
            <w:vAlign w:val="center"/>
          </w:tcPr>
          <w:p>
            <w:pPr>
              <w:widowControl/>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686"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166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投标人自主知识产权产品（创新、设计）情况</w:t>
            </w:r>
          </w:p>
        </w:tc>
        <w:tc>
          <w:tcPr>
            <w:tcW w:w="120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p>
        </w:tc>
        <w:tc>
          <w:tcPr>
            <w:tcW w:w="111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专家打分</w:t>
            </w:r>
          </w:p>
        </w:tc>
        <w:tc>
          <w:tcPr>
            <w:tcW w:w="4251" w:type="dxa"/>
            <w:tcBorders>
              <w:top w:val="single" w:color="auto" w:sz="4" w:space="0"/>
              <w:left w:val="single" w:color="auto" w:sz="4" w:space="0"/>
              <w:bottom w:val="single" w:color="auto" w:sz="4" w:space="0"/>
              <w:right w:val="single" w:color="auto" w:sz="4" w:space="0"/>
            </w:tcBorders>
            <w:vAlign w:val="center"/>
          </w:tcPr>
          <w:p>
            <w:pPr>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（一）评分内容：</w:t>
            </w:r>
          </w:p>
          <w:p>
            <w:pPr>
              <w:ind w:left="0" w:leftChars="0" w:firstLineChars="0"/>
              <w:jc w:val="left"/>
              <w:rPr>
                <w:rFonts w:hint="default" w:eastAsia="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投标人（如为联合体投标的，联合体成员单位任意一方满足或联合体各方共同满足条件均可）具有</w:t>
            </w:r>
            <w:r>
              <w:rPr>
                <w:rFonts w:hint="eastAsia" w:ascii="宋体" w:hAnsi="宋体" w:eastAsia="宋体" w:cs="宋体"/>
                <w:color w:val="auto"/>
                <w:sz w:val="21"/>
                <w:szCs w:val="21"/>
                <w:highlight w:val="none"/>
              </w:rPr>
              <w:t>清扫</w:t>
            </w:r>
            <w:r>
              <w:rPr>
                <w:rFonts w:hint="eastAsia" w:ascii="宋体" w:hAnsi="宋体" w:cs="宋体"/>
                <w:color w:val="auto"/>
                <w:sz w:val="21"/>
                <w:szCs w:val="21"/>
                <w:highlight w:val="none"/>
                <w:lang w:eastAsia="zh-CN"/>
              </w:rPr>
              <w:t>保洁类或</w:t>
            </w:r>
            <w:r>
              <w:rPr>
                <w:rFonts w:hint="eastAsia" w:ascii="宋体" w:hAnsi="宋体" w:cs="宋体"/>
                <w:color w:val="auto"/>
                <w:sz w:val="21"/>
                <w:szCs w:val="21"/>
                <w:highlight w:val="none"/>
                <w:lang w:val="en-US" w:eastAsia="zh-CN"/>
              </w:rPr>
              <w:t>垃圾</w:t>
            </w:r>
            <w:r>
              <w:rPr>
                <w:rFonts w:hint="eastAsia" w:ascii="宋体" w:hAnsi="宋体" w:eastAsia="宋体" w:cs="宋体"/>
                <w:color w:val="auto"/>
                <w:sz w:val="21"/>
                <w:szCs w:val="21"/>
                <w:highlight w:val="none"/>
              </w:rPr>
              <w:t>清运</w:t>
            </w:r>
            <w:r>
              <w:rPr>
                <w:rFonts w:hint="eastAsia" w:ascii="宋体" w:hAnsi="宋体" w:cs="宋体"/>
                <w:color w:val="auto"/>
                <w:sz w:val="21"/>
                <w:szCs w:val="21"/>
                <w:highlight w:val="none"/>
                <w:lang w:eastAsia="zh-CN"/>
              </w:rPr>
              <w:t>类或</w:t>
            </w:r>
            <w:r>
              <w:rPr>
                <w:rFonts w:hint="eastAsia" w:ascii="宋体" w:hAnsi="宋体" w:eastAsia="宋体" w:cs="宋体"/>
                <w:color w:val="auto"/>
                <w:sz w:val="21"/>
                <w:szCs w:val="21"/>
                <w:highlight w:val="none"/>
              </w:rPr>
              <w:t>公厕管理</w:t>
            </w:r>
            <w:r>
              <w:rPr>
                <w:rFonts w:hint="eastAsia" w:ascii="宋体" w:hAnsi="宋体" w:cs="宋体"/>
                <w:color w:val="auto"/>
                <w:sz w:val="21"/>
                <w:szCs w:val="21"/>
                <w:highlight w:val="none"/>
                <w:lang w:eastAsia="zh-CN"/>
              </w:rPr>
              <w:t>类或</w:t>
            </w:r>
            <w:r>
              <w:rPr>
                <w:rFonts w:hint="eastAsia" w:ascii="宋体" w:hAnsi="宋体" w:eastAsia="宋体" w:cs="宋体"/>
                <w:color w:val="auto"/>
                <w:sz w:val="21"/>
                <w:szCs w:val="21"/>
                <w:highlight w:val="none"/>
                <w:lang w:val="en-US" w:eastAsia="zh-CN"/>
              </w:rPr>
              <w:t>垃圾分类</w:t>
            </w:r>
            <w:r>
              <w:rPr>
                <w:rFonts w:hint="eastAsia" w:ascii="宋体" w:hAnsi="宋体" w:cs="宋体"/>
                <w:color w:val="auto"/>
                <w:sz w:val="21"/>
                <w:szCs w:val="21"/>
                <w:highlight w:val="none"/>
                <w:lang w:val="en-US" w:eastAsia="zh-CN"/>
              </w:rPr>
              <w:t>类或</w:t>
            </w:r>
            <w:r>
              <w:rPr>
                <w:rFonts w:hint="eastAsia" w:ascii="宋体" w:hAnsi="宋体" w:eastAsia="宋体" w:cs="宋体"/>
                <w:color w:val="auto"/>
                <w:sz w:val="21"/>
                <w:szCs w:val="21"/>
                <w:highlight w:val="none"/>
                <w:lang w:val="en-US" w:eastAsia="zh-CN"/>
              </w:rPr>
              <w:t>智慧环卫类</w:t>
            </w:r>
            <w:r>
              <w:rPr>
                <w:rFonts w:hint="eastAsia" w:ascii="宋体" w:hAnsi="宋体" w:eastAsia="宋体" w:cs="宋体"/>
                <w:color w:val="auto"/>
                <w:sz w:val="21"/>
                <w:szCs w:val="21"/>
                <w:highlight w:val="none"/>
              </w:rPr>
              <w:t>相关</w:t>
            </w:r>
            <w:r>
              <w:rPr>
                <w:rFonts w:hint="eastAsia" w:ascii="宋体" w:hAnsi="宋体" w:cs="宋体"/>
                <w:color w:val="auto"/>
                <w:sz w:val="21"/>
                <w:szCs w:val="21"/>
                <w:highlight w:val="none"/>
                <w:lang w:eastAsia="zh-CN"/>
              </w:rPr>
              <w:t>的：</w:t>
            </w:r>
            <w:r>
              <w:rPr>
                <w:rFonts w:hint="eastAsia" w:ascii="宋体" w:hAnsi="宋体" w:eastAsia="宋体" w:cs="宋体"/>
                <w:color w:val="auto"/>
                <w:sz w:val="21"/>
                <w:szCs w:val="21"/>
                <w:highlight w:val="none"/>
              </w:rPr>
              <w:t>计算机软件著作权</w:t>
            </w:r>
            <w:r>
              <w:rPr>
                <w:rFonts w:hint="eastAsia" w:ascii="宋体" w:hAnsi="宋体" w:cs="宋体"/>
                <w:color w:val="auto"/>
                <w:sz w:val="21"/>
                <w:szCs w:val="21"/>
                <w:highlight w:val="none"/>
                <w:lang w:val="en-US" w:eastAsia="zh-CN"/>
              </w:rPr>
              <w:t>或</w:t>
            </w:r>
            <w:r>
              <w:rPr>
                <w:rFonts w:hint="eastAsia" w:ascii="宋体" w:hAnsi="宋体" w:eastAsia="宋体" w:cs="宋体"/>
                <w:color w:val="auto"/>
                <w:sz w:val="21"/>
                <w:szCs w:val="21"/>
                <w:highlight w:val="none"/>
              </w:rPr>
              <w:t>发明或实用新型专利证书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每提供</w:t>
            </w:r>
            <w:r>
              <w:rPr>
                <w:rFonts w:hint="eastAsia" w:ascii="宋体" w:hAnsi="宋体" w:cs="宋体"/>
                <w:color w:val="auto"/>
                <w:sz w:val="21"/>
                <w:szCs w:val="21"/>
                <w:highlight w:val="none"/>
                <w:lang w:eastAsia="zh-CN"/>
              </w:rPr>
              <w:t>任意一类中任意</w:t>
            </w:r>
            <w:r>
              <w:rPr>
                <w:rFonts w:hint="eastAsia" w:ascii="宋体" w:hAnsi="宋体" w:eastAsia="宋体" w:cs="宋体"/>
                <w:color w:val="auto"/>
                <w:sz w:val="21"/>
                <w:szCs w:val="21"/>
                <w:highlight w:val="none"/>
              </w:rPr>
              <w:t>一</w:t>
            </w:r>
            <w:r>
              <w:rPr>
                <w:rFonts w:hint="eastAsia" w:ascii="宋体" w:hAnsi="宋体" w:cs="宋体"/>
                <w:color w:val="auto"/>
                <w:sz w:val="21"/>
                <w:szCs w:val="21"/>
                <w:highlight w:val="none"/>
                <w:lang w:eastAsia="zh-CN"/>
              </w:rPr>
              <w:t>个</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25</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val="en-US" w:eastAsia="zh-CN"/>
                <w14:textFill>
                  <w14:solidFill>
                    <w14:schemeClr w14:val="tx1"/>
                  </w14:solidFill>
                </w14:textFill>
              </w:rPr>
              <w:t>本项最高得100分。</w:t>
            </w:r>
          </w:p>
          <w:p>
            <w:pPr>
              <w:spacing w:line="240" w:lineRule="auto"/>
              <w:jc w:val="left"/>
              <w:rPr>
                <w:rFonts w:hint="eastAsia" w:ascii="宋体" w:hAnsi="宋体" w:eastAsia="宋体" w:cs="宋体"/>
                <w:strike/>
                <w:dstrike w:val="0"/>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（二）评分依据：</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1.如为自有的，须同时提供：</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①国家版权局颁发的计算机软件著作权登记证书（著作权人为投标人）或国家知识产权局颁发的专利证书（专利人为投标人）；</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②软件著作权登记证书还需提供中国版权保护中心官方网站查询有效的截图 (网址:http://www.ccopyright.com.cn/)；</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2.购买或租赁的，须同时提供：</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①国家版权局颁发的计算机软件著作权登记证书（著作权人为出售方或出租方）或国家知识产权局颁发的专利证书（专利权人为出售方或出租方）；</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②软件著作权登记证书还需提供中国版权保护中心官方网站查询有效的截图(网址:http://www.ccopyright.com.cn/)；</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③购买合同（或租赁合同）扫描件（需体现购买或租赁方为投标人）；</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3.如为授权使用的，须同时提供：</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①授权使用证明文件扫描件（需体现投标人为被授权人）；</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②国家版权局颁发的计算机软件著作权登记证书（著作权人为授权人）或国家知识产权局颁发的专利证书（专利权人为授权人）；</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③软件著作权登记证书还需提供中国版权保护中心官方网站查询有效的截图 (网址:http://www.ccopyright.com.cn/)；</w:t>
            </w:r>
          </w:p>
          <w:p>
            <w:pPr>
              <w:jc w:val="left"/>
              <w:rPr>
                <w:rFonts w:hint="eastAsia"/>
                <w:color w:val="000000" w:themeColor="text1"/>
                <w:highlight w:val="none"/>
                <w14:textFill>
                  <w14:solidFill>
                    <w14:schemeClr w14:val="tx1"/>
                  </w14:solidFill>
                </w14:textFill>
              </w:rPr>
            </w:pPr>
            <w:r>
              <w:rPr>
                <w:rFonts w:hint="eastAsia" w:ascii="宋体" w:hAnsi="宋体" w:eastAsia="宋体" w:cs="宋体"/>
                <w:color w:val="auto"/>
                <w:szCs w:val="21"/>
                <w:highlight w:val="none"/>
                <w:lang w:val="en-US" w:eastAsia="zh-CN"/>
              </w:rPr>
              <w:t>备注：以上资料均要求提供扫描件，评分中出现无证明资料或证书过期或专家无法凭所提供资料判断是否得分的情况，一律作不得分处理。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tcBorders>
              <w:left w:val="single" w:color="auto" w:sz="4" w:space="0"/>
              <w:right w:val="single" w:color="auto" w:sz="4" w:space="0"/>
            </w:tcBorders>
            <w:vAlign w:val="center"/>
          </w:tcPr>
          <w:p>
            <w:pPr>
              <w:widowControl/>
              <w:spacing w:line="24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686"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p>
        </w:tc>
        <w:tc>
          <w:tcPr>
            <w:tcW w:w="1661"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strike w:val="0"/>
                <w:dstrike w:val="0"/>
                <w:color w:val="000000" w:themeColor="text1"/>
                <w:szCs w:val="21"/>
                <w:highlight w:val="none"/>
                <w:lang w:eastAsia="zh-CN"/>
                <w14:textFill>
                  <w14:solidFill>
                    <w14:schemeClr w14:val="tx1"/>
                  </w14:solidFill>
                </w14:textFill>
              </w:rPr>
              <w:t>本地化服务能力</w:t>
            </w:r>
          </w:p>
        </w:tc>
        <w:tc>
          <w:tcPr>
            <w:tcW w:w="120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p>
        </w:tc>
        <w:tc>
          <w:tcPr>
            <w:tcW w:w="111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专家打分</w:t>
            </w:r>
          </w:p>
        </w:tc>
        <w:tc>
          <w:tcPr>
            <w:tcW w:w="4251" w:type="dxa"/>
            <w:tcBorders>
              <w:top w:val="single" w:color="auto" w:sz="4" w:space="0"/>
              <w:left w:val="single" w:color="auto" w:sz="4" w:space="0"/>
              <w:bottom w:val="single" w:color="auto" w:sz="4" w:space="0"/>
              <w:right w:val="single" w:color="auto" w:sz="4" w:space="0"/>
            </w:tcBorders>
            <w:vAlign w:val="center"/>
          </w:tcPr>
          <w:p>
            <w:pPr>
              <w:rPr>
                <w:b/>
              </w:rPr>
            </w:pPr>
            <w:bookmarkStart w:id="2" w:name="OLE_LINK21"/>
            <w:r>
              <w:rPr>
                <w:rFonts w:hint="eastAsia"/>
                <w:b/>
              </w:rPr>
              <w:t>（一） 评分内容：</w:t>
            </w:r>
          </w:p>
          <w:p>
            <w:r>
              <w:rPr>
                <w:rFonts w:hint="eastAsia"/>
              </w:rPr>
              <w:t>投标人承诺中标后提供本地化服务，得100分。</w:t>
            </w:r>
          </w:p>
          <w:p>
            <w:r>
              <w:t>本项最高可得100分。</w:t>
            </w:r>
          </w:p>
          <w:p>
            <w:pPr>
              <w:rPr>
                <w:b/>
              </w:rPr>
            </w:pPr>
            <w:r>
              <w:rPr>
                <w:rFonts w:hint="eastAsia"/>
                <w:b/>
              </w:rPr>
              <w:t>（二）评分依据：</w:t>
            </w:r>
          </w:p>
          <w:p>
            <w:r>
              <w:rPr>
                <w:rFonts w:hint="eastAsia"/>
              </w:rPr>
              <w:t>投标人需提供承诺函（格式自拟）。</w:t>
            </w:r>
          </w:p>
          <w:p>
            <w:pPr>
              <w:jc w:val="left"/>
              <w:rPr>
                <w:rFonts w:hint="eastAsia"/>
                <w:color w:val="000000" w:themeColor="text1"/>
                <w:highlight w:val="none"/>
                <w14:textFill>
                  <w14:solidFill>
                    <w14:schemeClr w14:val="tx1"/>
                  </w14:solidFill>
                </w14:textFill>
              </w:rPr>
            </w:pPr>
            <w:r>
              <w:rPr>
                <w:rFonts w:hint="eastAsia"/>
              </w:rPr>
              <w:t>备注：以上资料均要求提供扫描件，评分中出现无证明资料或证书过期或专家无法凭所提供资料判断是否得分的情况，一律作不得分处理。</w:t>
            </w:r>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tcBorders>
              <w:left w:val="single" w:color="auto" w:sz="4" w:space="0"/>
              <w:right w:val="single" w:color="auto" w:sz="4" w:space="0"/>
            </w:tcBorders>
            <w:vAlign w:val="center"/>
          </w:tcPr>
          <w:p>
            <w:pPr>
              <w:spacing w:line="240" w:lineRule="auto"/>
              <w:jc w:val="center"/>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4</w:t>
            </w:r>
          </w:p>
        </w:tc>
        <w:tc>
          <w:tcPr>
            <w:tcW w:w="4657" w:type="dxa"/>
            <w:gridSpan w:val="4"/>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诚信情况</w:t>
            </w:r>
          </w:p>
        </w:tc>
        <w:tc>
          <w:tcPr>
            <w:tcW w:w="4251"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vMerge w:val="restart"/>
            <w:tcBorders>
              <w:left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686" w:type="dxa"/>
            <w:tcBorders>
              <w:top w:val="single" w:color="auto" w:sz="4" w:space="0"/>
              <w:left w:val="single" w:color="auto" w:sz="4" w:space="0"/>
              <w:bottom w:val="single" w:color="auto" w:sz="4" w:space="0"/>
              <w:right w:val="single" w:color="auto" w:sz="4" w:space="0"/>
            </w:tcBorders>
            <w:vAlign w:val="center"/>
          </w:tcPr>
          <w:p>
            <w:pPr>
              <w:spacing w:after="160"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661" w:type="dxa"/>
            <w:tcBorders>
              <w:top w:val="single" w:color="auto" w:sz="4" w:space="0"/>
              <w:left w:val="single" w:color="auto" w:sz="4" w:space="0"/>
              <w:bottom w:val="single" w:color="auto" w:sz="4" w:space="0"/>
              <w:right w:val="single" w:color="auto" w:sz="4" w:space="0"/>
            </w:tcBorders>
            <w:vAlign w:val="center"/>
          </w:tcPr>
          <w:p>
            <w:pPr>
              <w:spacing w:after="160"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评分因素</w:t>
            </w:r>
          </w:p>
        </w:tc>
        <w:tc>
          <w:tcPr>
            <w:tcW w:w="1200" w:type="dxa"/>
            <w:tcBorders>
              <w:top w:val="single" w:color="auto" w:sz="4" w:space="0"/>
              <w:left w:val="single" w:color="auto" w:sz="4" w:space="0"/>
              <w:bottom w:val="single" w:color="auto" w:sz="4" w:space="0"/>
              <w:right w:val="single" w:color="auto" w:sz="4" w:space="0"/>
            </w:tcBorders>
            <w:vAlign w:val="center"/>
          </w:tcPr>
          <w:p>
            <w:pPr>
              <w:spacing w:after="160" w:line="24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权重</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eastAsia="zh-CN"/>
                <w14:textFill>
                  <w14:solidFill>
                    <w14:schemeClr w14:val="tx1"/>
                  </w14:solidFill>
                </w14:textFill>
              </w:rPr>
              <w:t>）</w:t>
            </w:r>
          </w:p>
        </w:tc>
        <w:tc>
          <w:tcPr>
            <w:tcW w:w="1110" w:type="dxa"/>
            <w:tcBorders>
              <w:top w:val="single" w:color="auto" w:sz="4" w:space="0"/>
              <w:left w:val="single" w:color="auto" w:sz="4" w:space="0"/>
              <w:bottom w:val="single" w:color="auto" w:sz="4" w:space="0"/>
              <w:right w:val="single" w:color="auto" w:sz="4" w:space="0"/>
            </w:tcBorders>
            <w:vAlign w:val="center"/>
          </w:tcPr>
          <w:p>
            <w:pPr>
              <w:spacing w:after="160"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评分方式</w:t>
            </w:r>
          </w:p>
        </w:tc>
        <w:tc>
          <w:tcPr>
            <w:tcW w:w="4251" w:type="dxa"/>
            <w:tcBorders>
              <w:top w:val="single" w:color="auto" w:sz="4" w:space="0"/>
              <w:left w:val="single" w:color="auto" w:sz="4" w:space="0"/>
              <w:bottom w:val="single" w:color="auto" w:sz="4" w:space="0"/>
              <w:right w:val="single" w:color="auto" w:sz="4" w:space="0"/>
            </w:tcBorders>
            <w:vAlign w:val="center"/>
          </w:tcPr>
          <w:p>
            <w:pPr>
              <w:spacing w:after="160"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CellSpacing w:w="0" w:type="dxa"/>
          <w:jc w:val="center"/>
        </w:trPr>
        <w:tc>
          <w:tcPr>
            <w:tcW w:w="731" w:type="dxa"/>
            <w:vMerge w:val="continue"/>
            <w:tcBorders>
              <w:left w:val="single" w:color="auto" w:sz="4" w:space="0"/>
              <w:right w:val="single" w:color="auto" w:sz="4" w:space="0"/>
            </w:tcBorders>
            <w:vAlign w:val="center"/>
          </w:tcPr>
          <w:p>
            <w:pPr>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686" w:type="dxa"/>
            <w:tcBorders>
              <w:top w:val="single" w:color="auto" w:sz="4" w:space="0"/>
              <w:left w:val="single" w:color="auto" w:sz="4" w:space="0"/>
              <w:bottom w:val="single" w:color="auto" w:sz="4" w:space="0"/>
              <w:right w:val="single" w:color="auto" w:sz="4" w:space="0"/>
            </w:tcBorders>
            <w:vAlign w:val="center"/>
          </w:tcPr>
          <w:p>
            <w:pPr>
              <w:spacing w:line="240" w:lineRule="auto"/>
              <w:ind w:right="2" w:rightChars="1"/>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66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imes New Roman" w:hAnsi="Times New Roman" w:eastAsia="宋体" w:cs="Times New Roman"/>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诚信情况</w:t>
            </w:r>
          </w:p>
        </w:tc>
        <w:tc>
          <w:tcPr>
            <w:tcW w:w="1200" w:type="dxa"/>
            <w:tcBorders>
              <w:top w:val="single" w:color="auto" w:sz="4" w:space="0"/>
              <w:left w:val="single" w:color="auto" w:sz="4" w:space="0"/>
              <w:bottom w:val="single" w:color="auto" w:sz="4" w:space="0"/>
              <w:right w:val="single" w:color="auto" w:sz="4" w:space="0"/>
            </w:tcBorders>
            <w:vAlign w:val="center"/>
          </w:tcPr>
          <w:p>
            <w:pPr>
              <w:ind w:right="2" w:rightChars="1"/>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w:t>
            </w:r>
          </w:p>
        </w:tc>
        <w:tc>
          <w:tcPr>
            <w:tcW w:w="1110" w:type="dxa"/>
            <w:tcBorders>
              <w:top w:val="single" w:color="auto" w:sz="4" w:space="0"/>
              <w:left w:val="single" w:color="auto" w:sz="4" w:space="0"/>
              <w:bottom w:val="single" w:color="auto" w:sz="4" w:space="0"/>
              <w:right w:val="single" w:color="auto" w:sz="4" w:space="0"/>
            </w:tcBorders>
            <w:vAlign w:val="center"/>
          </w:tcPr>
          <w:p>
            <w:pPr>
              <w:ind w:right="2" w:rightChars="1"/>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专家评分</w:t>
            </w:r>
          </w:p>
        </w:tc>
        <w:tc>
          <w:tcPr>
            <w:tcW w:w="4251" w:type="dxa"/>
            <w:tcBorders>
              <w:top w:val="single" w:color="auto" w:sz="4" w:space="0"/>
              <w:left w:val="single" w:color="auto" w:sz="4" w:space="0"/>
              <w:bottom w:val="single" w:color="auto" w:sz="4" w:space="0"/>
              <w:right w:val="single" w:color="auto" w:sz="4" w:space="0"/>
            </w:tcBorders>
            <w:vAlign w:val="top"/>
          </w:tcPr>
          <w:p>
            <w:pPr>
              <w:pStyle w:val="2"/>
              <w:wordWrap w:val="0"/>
              <w:spacing w:line="240" w:lineRule="auto"/>
              <w:ind w:firstLine="420" w:firstLineChars="200"/>
              <w:rPr>
                <w:rFonts w:asciiTheme="minorEastAsia" w:hAnsiTheme="minorEastAsia" w:eastAsiaTheme="minorEastAsia" w:cstheme="minorEastAsia"/>
                <w:b w:val="0"/>
                <w:bCs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投标人存在《深圳市财政局政府采购供应商信用信息管理办法》（深财规〔2023〕3号）列明的一般行政处罚信息、一般违法失信记录信息的，本项不得分，不存在上述情形的本项得100分。投标人无需提供任何证明材料，评标过程中由工作人员向评审委员会提供有关供应商诚信查询结果。</w:t>
            </w:r>
          </w:p>
          <w:p>
            <w:pPr>
              <w:pStyle w:val="2"/>
              <w:wordWrap w:val="0"/>
              <w:spacing w:line="24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val="0"/>
                <w:sz w:val="21"/>
                <w:szCs w:val="21"/>
                <w:highlight w:val="none"/>
              </w:rPr>
              <w:t>查询渠道：通过“信用中国”（www.creditchina.gov.cn，下载信用信息报告）、“中国政府采购网”（www.ccgp.gov.cn）、“深圳市政府采购监管网”（http://zfcg.sz.gov.cn）以及深圳市、区财政部门认可的“供应商诚信档案库”查询供应商信用信息，信用信息以开标当日的查询结果为准。</w:t>
            </w:r>
          </w:p>
        </w:tc>
      </w:tr>
    </w:tbl>
    <w:p>
      <w:pPr>
        <w:sectPr>
          <w:pgSz w:w="11907" w:h="16840"/>
          <w:pgMar w:top="1440" w:right="1417" w:bottom="1440" w:left="1417" w:header="851" w:footer="992" w:gutter="0"/>
          <w:cols w:space="425" w:num="1"/>
          <w:titlePg/>
          <w:docGrid w:linePitch="462" w:charSpace="0"/>
        </w:sectPr>
      </w:pPr>
    </w:p>
    <w:p>
      <w:pPr>
        <w:jc w:val="center"/>
        <w:rPr>
          <w:b/>
          <w:sz w:val="120"/>
          <w:szCs w:val="120"/>
        </w:rPr>
      </w:pPr>
    </w:p>
    <w:p>
      <w:pPr>
        <w:jc w:val="center"/>
        <w:rPr>
          <w:b/>
          <w:sz w:val="120"/>
          <w:szCs w:val="120"/>
        </w:rPr>
      </w:pPr>
    </w:p>
    <w:p>
      <w:pPr>
        <w:jc w:val="center"/>
        <w:rPr>
          <w:b/>
          <w:sz w:val="120"/>
          <w:szCs w:val="120"/>
        </w:rPr>
      </w:pPr>
    </w:p>
    <w:p>
      <w:pPr>
        <w:jc w:val="center"/>
        <w:rPr>
          <w:b/>
          <w:sz w:val="120"/>
          <w:szCs w:val="120"/>
        </w:rPr>
      </w:pPr>
      <w:r>
        <w:rPr>
          <w:rFonts w:hint="eastAsia"/>
          <w:b/>
          <w:sz w:val="120"/>
          <w:szCs w:val="120"/>
        </w:rPr>
        <w:t>政府采购</w:t>
      </w:r>
    </w:p>
    <w:p>
      <w:pPr>
        <w:jc w:val="center"/>
        <w:rPr>
          <w:b/>
          <w:sz w:val="120"/>
          <w:szCs w:val="120"/>
        </w:rPr>
      </w:pPr>
      <w:r>
        <w:rPr>
          <w:rFonts w:hint="eastAsia"/>
          <w:b/>
          <w:sz w:val="120"/>
          <w:szCs w:val="120"/>
        </w:rPr>
        <w:t>招标文件</w:t>
      </w:r>
    </w:p>
    <w:p>
      <w:pPr>
        <w:jc w:val="center"/>
        <w:rPr>
          <w:b/>
          <w:sz w:val="52"/>
          <w:szCs w:val="52"/>
        </w:rPr>
      </w:pPr>
      <w:r>
        <w:rPr>
          <w:rFonts w:hint="eastAsia"/>
          <w:b/>
          <w:sz w:val="52"/>
          <w:szCs w:val="52"/>
        </w:rPr>
        <w:t>（服务类）</w:t>
      </w: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bookmarkStart w:id="3" w:name="_Hlk71465316"/>
      <w:r>
        <w:rPr>
          <w:rFonts w:hint="eastAsia"/>
          <w:b/>
          <w:sz w:val="44"/>
          <w:szCs w:val="44"/>
        </w:rPr>
        <w:t>深圳公共资源交易中心</w:t>
      </w:r>
    </w:p>
    <w:p>
      <w:pPr>
        <w:jc w:val="center"/>
        <w:rPr>
          <w:sz w:val="28"/>
          <w:szCs w:val="28"/>
        </w:rPr>
      </w:pPr>
      <w:r>
        <w:rPr>
          <w:rFonts w:hint="eastAsia"/>
          <w:b/>
          <w:sz w:val="28"/>
          <w:szCs w:val="28"/>
        </w:rPr>
        <w:t>（</w:t>
      </w:r>
      <w:r>
        <w:rPr>
          <w:b/>
          <w:sz w:val="28"/>
          <w:szCs w:val="28"/>
        </w:rPr>
        <w:t>20</w:t>
      </w:r>
      <w:r>
        <w:rPr>
          <w:rFonts w:hint="eastAsia"/>
          <w:b/>
          <w:sz w:val="28"/>
          <w:szCs w:val="28"/>
        </w:rPr>
        <w:t>2</w:t>
      </w:r>
      <w:r>
        <w:rPr>
          <w:b/>
          <w:sz w:val="28"/>
          <w:szCs w:val="28"/>
        </w:rPr>
        <w:t>6</w:t>
      </w:r>
      <w:r>
        <w:rPr>
          <w:rFonts w:hint="eastAsia"/>
          <w:b/>
          <w:sz w:val="28"/>
          <w:szCs w:val="28"/>
        </w:rPr>
        <w:t>）</w:t>
      </w:r>
      <w:bookmarkEnd w:id="3"/>
    </w:p>
    <w:p>
      <w:pPr>
        <w:ind w:firstLine="420" w:firstLineChars="200"/>
      </w:pPr>
      <w:r>
        <w:rPr>
          <w:rFonts w:hint="eastAsia"/>
        </w:rPr>
        <w:br w:type="page"/>
      </w:r>
    </w:p>
    <w:p>
      <w:pPr>
        <w:pStyle w:val="4"/>
      </w:pPr>
      <w:r>
        <w:rPr>
          <w:rFonts w:hint="eastAsia"/>
        </w:rPr>
        <w:t>目   录</w:t>
      </w:r>
    </w:p>
    <w:p>
      <w:pPr>
        <w:rPr>
          <w:b/>
          <w:sz w:val="24"/>
        </w:rPr>
      </w:pPr>
      <w:r>
        <w:rPr>
          <w:rFonts w:hint="eastAsia"/>
          <w:b/>
          <w:sz w:val="24"/>
        </w:rPr>
        <w:t>第一册  专用条款</w:t>
      </w:r>
    </w:p>
    <w:p>
      <w:pPr>
        <w:ind w:firstLine="960" w:firstLineChars="400"/>
        <w:rPr>
          <w:sz w:val="24"/>
        </w:rPr>
      </w:pPr>
      <w:r>
        <w:rPr>
          <w:rFonts w:hint="eastAsia"/>
          <w:sz w:val="24"/>
        </w:rPr>
        <w:t>关键信息</w:t>
      </w:r>
    </w:p>
    <w:p>
      <w:pPr>
        <w:ind w:left="630" w:leftChars="300" w:firstLine="630" w:firstLineChars="300"/>
        <w:rPr>
          <w:rFonts w:ascii="宋体" w:hAnsi="宋体"/>
          <w:szCs w:val="21"/>
        </w:rPr>
      </w:pPr>
      <w:r>
        <w:rPr>
          <w:rFonts w:hint="eastAsia" w:ascii="宋体" w:hAnsi="宋体"/>
          <w:szCs w:val="21"/>
        </w:rPr>
        <w:t>第一章  招标公告</w:t>
      </w:r>
    </w:p>
    <w:p>
      <w:pPr>
        <w:ind w:left="630" w:leftChars="300" w:firstLine="630" w:firstLineChars="300"/>
        <w:rPr>
          <w:rFonts w:ascii="宋体" w:hAnsi="宋体"/>
          <w:szCs w:val="21"/>
        </w:rPr>
      </w:pPr>
      <w:r>
        <w:rPr>
          <w:rFonts w:hint="eastAsia" w:ascii="宋体" w:hAnsi="宋体"/>
          <w:szCs w:val="21"/>
        </w:rPr>
        <w:t xml:space="preserve">第二章  </w:t>
      </w:r>
      <w:bookmarkStart w:id="4" w:name="_Hlk71994379"/>
      <w:r>
        <w:rPr>
          <w:rFonts w:hint="eastAsia" w:ascii="宋体" w:hAnsi="宋体"/>
          <w:szCs w:val="21"/>
        </w:rPr>
        <w:t>对通用条款的补充内容及其他关键信息</w:t>
      </w:r>
      <w:bookmarkEnd w:id="4"/>
    </w:p>
    <w:p>
      <w:pPr>
        <w:ind w:left="630" w:leftChars="300" w:firstLine="630" w:firstLineChars="300"/>
        <w:rPr>
          <w:rFonts w:ascii="宋体" w:hAnsi="宋体"/>
          <w:szCs w:val="21"/>
        </w:rPr>
      </w:pPr>
      <w:r>
        <w:rPr>
          <w:rFonts w:hint="eastAsia" w:ascii="宋体" w:hAnsi="宋体"/>
          <w:szCs w:val="21"/>
        </w:rPr>
        <w:t xml:space="preserve">第三章 </w:t>
      </w:r>
      <w:r>
        <w:rPr>
          <w:rFonts w:ascii="宋体" w:hAnsi="宋体"/>
          <w:szCs w:val="21"/>
        </w:rPr>
        <w:t xml:space="preserve"> </w:t>
      </w:r>
      <w:r>
        <w:rPr>
          <w:rFonts w:hint="eastAsia" w:ascii="宋体" w:hAnsi="宋体"/>
          <w:szCs w:val="21"/>
        </w:rPr>
        <w:t>用户需求书</w:t>
      </w:r>
    </w:p>
    <w:p>
      <w:pPr>
        <w:ind w:left="630" w:leftChars="300" w:firstLine="630" w:firstLineChars="300"/>
        <w:rPr>
          <w:rFonts w:ascii="宋体" w:hAnsi="宋体"/>
          <w:szCs w:val="21"/>
        </w:rPr>
      </w:pPr>
      <w:r>
        <w:rPr>
          <w:rFonts w:hint="eastAsia" w:ascii="宋体" w:hAnsi="宋体"/>
          <w:szCs w:val="21"/>
        </w:rPr>
        <w:t xml:space="preserve">第四章 </w:t>
      </w:r>
      <w:r>
        <w:rPr>
          <w:rFonts w:ascii="宋体" w:hAnsi="宋体"/>
          <w:szCs w:val="21"/>
        </w:rPr>
        <w:t xml:space="preserve"> </w:t>
      </w:r>
      <w:r>
        <w:rPr>
          <w:rFonts w:hint="eastAsia" w:ascii="宋体" w:hAnsi="宋体"/>
          <w:szCs w:val="21"/>
        </w:rPr>
        <w:t>投标文件组成要求及格式</w:t>
      </w:r>
    </w:p>
    <w:p>
      <w:pPr>
        <w:ind w:left="630" w:leftChars="300" w:firstLine="630" w:firstLineChars="300"/>
        <w:rPr>
          <w:rFonts w:ascii="宋体" w:hAnsi="宋体"/>
          <w:szCs w:val="21"/>
        </w:rPr>
      </w:pPr>
      <w:r>
        <w:rPr>
          <w:rFonts w:hint="eastAsia" w:ascii="宋体" w:hAnsi="宋体"/>
          <w:szCs w:val="21"/>
        </w:rPr>
        <w:t>第五章  合同条款及格式</w:t>
      </w:r>
    </w:p>
    <w:p>
      <w:pPr>
        <w:rPr>
          <w:b/>
          <w:sz w:val="24"/>
        </w:rPr>
      </w:pPr>
    </w:p>
    <w:p>
      <w:pPr>
        <w:rPr>
          <w:b/>
          <w:sz w:val="24"/>
        </w:rPr>
      </w:pPr>
      <w:r>
        <w:rPr>
          <w:rFonts w:hint="eastAsia"/>
          <w:b/>
          <w:sz w:val="24"/>
        </w:rPr>
        <w:t>第二册  通用条款</w:t>
      </w:r>
    </w:p>
    <w:p>
      <w:pPr>
        <w:ind w:left="630" w:leftChars="300" w:firstLine="411" w:firstLineChars="196"/>
        <w:rPr>
          <w:rFonts w:ascii="宋体" w:hAnsi="宋体"/>
          <w:szCs w:val="21"/>
        </w:rPr>
      </w:pPr>
      <w:r>
        <w:rPr>
          <w:rFonts w:hint="eastAsia" w:ascii="宋体" w:hAnsi="宋体"/>
          <w:szCs w:val="21"/>
        </w:rPr>
        <w:t>第一章  总则</w:t>
      </w:r>
    </w:p>
    <w:p>
      <w:pPr>
        <w:ind w:left="630" w:leftChars="300" w:firstLine="411" w:firstLineChars="196"/>
        <w:rPr>
          <w:rFonts w:ascii="宋体" w:hAnsi="宋体"/>
          <w:szCs w:val="21"/>
        </w:rPr>
      </w:pPr>
      <w:r>
        <w:rPr>
          <w:rFonts w:hint="eastAsia" w:ascii="宋体" w:hAnsi="宋体"/>
          <w:szCs w:val="21"/>
        </w:rPr>
        <w:t>第二章  招标文件</w:t>
      </w:r>
    </w:p>
    <w:p>
      <w:pPr>
        <w:ind w:left="630" w:leftChars="300" w:firstLine="411" w:firstLineChars="196"/>
        <w:rPr>
          <w:rFonts w:ascii="宋体" w:hAnsi="宋体"/>
          <w:szCs w:val="21"/>
        </w:rPr>
      </w:pPr>
      <w:r>
        <w:rPr>
          <w:rFonts w:hint="eastAsia" w:ascii="宋体" w:hAnsi="宋体"/>
          <w:szCs w:val="21"/>
        </w:rPr>
        <w:t>第三章  投标文件的编制</w:t>
      </w:r>
    </w:p>
    <w:p>
      <w:pPr>
        <w:ind w:left="630" w:leftChars="300" w:firstLine="411" w:firstLineChars="196"/>
        <w:rPr>
          <w:rFonts w:ascii="宋体" w:hAnsi="宋体"/>
          <w:szCs w:val="21"/>
        </w:rPr>
      </w:pPr>
      <w:r>
        <w:rPr>
          <w:rFonts w:hint="eastAsia" w:ascii="宋体" w:hAnsi="宋体"/>
          <w:szCs w:val="21"/>
        </w:rPr>
        <w:t>第四章  投标文件的递交</w:t>
      </w:r>
    </w:p>
    <w:p>
      <w:pPr>
        <w:ind w:left="630" w:leftChars="300" w:firstLine="411" w:firstLineChars="196"/>
        <w:rPr>
          <w:rFonts w:ascii="宋体" w:hAnsi="宋体"/>
          <w:szCs w:val="21"/>
        </w:rPr>
      </w:pPr>
      <w:r>
        <w:rPr>
          <w:rFonts w:hint="eastAsia" w:ascii="宋体" w:hAnsi="宋体"/>
          <w:szCs w:val="21"/>
        </w:rPr>
        <w:t>第五章  开标</w:t>
      </w:r>
    </w:p>
    <w:p>
      <w:pPr>
        <w:ind w:left="630" w:leftChars="300" w:firstLine="411" w:firstLineChars="196"/>
        <w:rPr>
          <w:rFonts w:ascii="宋体" w:hAnsi="宋体"/>
          <w:szCs w:val="21"/>
        </w:rPr>
      </w:pPr>
      <w:r>
        <w:rPr>
          <w:rFonts w:hint="eastAsia" w:ascii="宋体" w:hAnsi="宋体"/>
          <w:szCs w:val="21"/>
        </w:rPr>
        <w:t>第六章  评审要求</w:t>
      </w:r>
    </w:p>
    <w:p>
      <w:pPr>
        <w:ind w:left="630" w:leftChars="300" w:firstLine="411" w:firstLineChars="196"/>
        <w:rPr>
          <w:rFonts w:ascii="宋体" w:hAnsi="宋体"/>
          <w:szCs w:val="21"/>
        </w:rPr>
      </w:pPr>
      <w:r>
        <w:rPr>
          <w:rFonts w:hint="eastAsia" w:ascii="宋体" w:hAnsi="宋体"/>
          <w:szCs w:val="21"/>
        </w:rPr>
        <w:t>第七章  评审程序及评审方法</w:t>
      </w:r>
    </w:p>
    <w:p>
      <w:pPr>
        <w:ind w:left="630" w:leftChars="300" w:firstLine="411" w:firstLineChars="196"/>
        <w:rPr>
          <w:rFonts w:ascii="宋体" w:hAnsi="宋体"/>
          <w:szCs w:val="21"/>
        </w:rPr>
      </w:pPr>
      <w:r>
        <w:rPr>
          <w:rFonts w:hint="eastAsia" w:ascii="宋体" w:hAnsi="宋体"/>
          <w:szCs w:val="21"/>
        </w:rPr>
        <w:t>第八章  定标及公示</w:t>
      </w:r>
    </w:p>
    <w:p>
      <w:pPr>
        <w:ind w:left="630" w:leftChars="300" w:firstLine="411" w:firstLineChars="196"/>
        <w:rPr>
          <w:rFonts w:ascii="宋体" w:hAnsi="宋体"/>
          <w:szCs w:val="21"/>
        </w:rPr>
      </w:pPr>
      <w:r>
        <w:rPr>
          <w:rFonts w:hint="eastAsia" w:ascii="宋体" w:hAnsi="宋体"/>
          <w:szCs w:val="21"/>
        </w:rPr>
        <w:t>第九章  公开招标失败的后续处理</w:t>
      </w:r>
    </w:p>
    <w:p>
      <w:pPr>
        <w:ind w:left="630" w:leftChars="300" w:firstLine="411" w:firstLineChars="196"/>
        <w:rPr>
          <w:rFonts w:ascii="宋体" w:hAnsi="宋体"/>
          <w:szCs w:val="21"/>
        </w:rPr>
      </w:pPr>
      <w:r>
        <w:rPr>
          <w:rFonts w:hint="eastAsia" w:ascii="宋体" w:hAnsi="宋体"/>
          <w:szCs w:val="21"/>
        </w:rPr>
        <w:t>第十章  合同的授予与备案</w:t>
      </w:r>
    </w:p>
    <w:p>
      <w:pPr>
        <w:ind w:firstLine="1050" w:firstLineChars="500"/>
        <w:rPr>
          <w:b/>
          <w:sz w:val="24"/>
        </w:rPr>
      </w:pPr>
      <w:r>
        <w:rPr>
          <w:rFonts w:hint="eastAsia" w:ascii="宋体" w:hAnsi="宋体"/>
          <w:szCs w:val="21"/>
        </w:rPr>
        <w:t>第十一章  质疑处理</w:t>
      </w:r>
    </w:p>
    <w:p>
      <w:pPr>
        <w:spacing w:line="360" w:lineRule="auto"/>
        <w:ind w:firstLine="420" w:firstLineChars="200"/>
        <w:jc w:val="left"/>
        <w:rPr>
          <w:rFonts w:ascii="宋体" w:hAnsi="宋体"/>
          <w:szCs w:val="21"/>
        </w:rPr>
      </w:pPr>
    </w:p>
    <w:p>
      <w:pPr>
        <w:pStyle w:val="4"/>
        <w:rPr>
          <w:sz w:val="24"/>
        </w:rPr>
      </w:pPr>
      <w:r>
        <w:br w:type="page"/>
      </w:r>
      <w:bookmarkStart w:id="5" w:name="bt其他资料由投标人自定"/>
      <w:bookmarkEnd w:id="5"/>
      <w:bookmarkStart w:id="6" w:name="bt投标报价汇总表"/>
      <w:bookmarkEnd w:id="6"/>
      <w:bookmarkStart w:id="7" w:name="bt开标一览表"/>
      <w:bookmarkEnd w:id="7"/>
      <w:bookmarkStart w:id="8" w:name="bt项目管理班子配备情况"/>
      <w:bookmarkEnd w:id="8"/>
      <w:bookmarkStart w:id="9" w:name="bt说明"/>
      <w:bookmarkEnd w:id="9"/>
      <w:bookmarkStart w:id="10" w:name="bt合同条款及格式"/>
      <w:bookmarkEnd w:id="10"/>
      <w:bookmarkStart w:id="11" w:name="bt商务标投标文件格式"/>
      <w:bookmarkEnd w:id="11"/>
      <w:bookmarkStart w:id="12" w:name="bt投标文件签署授权委托书"/>
      <w:bookmarkEnd w:id="12"/>
      <w:bookmarkStart w:id="13" w:name="bt其他资料2"/>
      <w:bookmarkEnd w:id="13"/>
      <w:bookmarkStart w:id="14" w:name="bt本工程承诺书"/>
      <w:bookmarkEnd w:id="14"/>
      <w:bookmarkStart w:id="15" w:name="bt投标人情况介绍"/>
      <w:bookmarkEnd w:id="15"/>
      <w:bookmarkStart w:id="16" w:name="bt投标人须知"/>
      <w:bookmarkEnd w:id="16"/>
      <w:bookmarkStart w:id="17" w:name="bt合同条款"/>
      <w:bookmarkEnd w:id="17"/>
      <w:bookmarkStart w:id="18" w:name="bt技术标投标文件格式"/>
      <w:bookmarkEnd w:id="18"/>
      <w:bookmarkStart w:id="19" w:name="bt投标函"/>
      <w:bookmarkEnd w:id="19"/>
      <w:bookmarkStart w:id="20" w:name="bt合同格式"/>
      <w:bookmarkEnd w:id="20"/>
      <w:bookmarkStart w:id="21" w:name="合同格式"/>
      <w:bookmarkEnd w:id="21"/>
      <w:r>
        <w:rPr>
          <w:rFonts w:hint="eastAsia"/>
        </w:rPr>
        <w:t>第一册  专用条款</w:t>
      </w:r>
    </w:p>
    <w:p>
      <w:pPr>
        <w:pStyle w:val="7"/>
        <w:rPr>
          <w:sz w:val="28"/>
          <w:szCs w:val="28"/>
        </w:rPr>
      </w:pPr>
      <w:r>
        <w:rPr>
          <w:rFonts w:hint="eastAsia"/>
          <w:sz w:val="28"/>
          <w:szCs w:val="28"/>
        </w:rPr>
        <w:t>第一章  招标公告</w:t>
      </w:r>
    </w:p>
    <w:tbl>
      <w:tblPr>
        <w:tblStyle w:val="44"/>
        <w:tblW w:w="8193" w:type="dxa"/>
        <w:jc w:val="center"/>
        <w:tblCellSpacing w:w="0" w:type="dxa"/>
        <w:tblLayout w:type="fixed"/>
        <w:tblCellMar>
          <w:top w:w="0" w:type="dxa"/>
          <w:left w:w="0" w:type="dxa"/>
          <w:bottom w:w="0" w:type="dxa"/>
          <w:right w:w="0" w:type="dxa"/>
        </w:tblCellMar>
      </w:tblPr>
      <w:tblGrid>
        <w:gridCol w:w="8193"/>
      </w:tblGrid>
      <w:tr>
        <w:tblPrEx>
          <w:tblCellMar>
            <w:top w:w="0" w:type="dxa"/>
            <w:left w:w="0" w:type="dxa"/>
            <w:bottom w:w="0" w:type="dxa"/>
            <w:right w:w="0" w:type="dxa"/>
          </w:tblCellMar>
        </w:tblPrEx>
        <w:trPr>
          <w:tblCellSpacing w:w="0" w:type="dxa"/>
          <w:jc w:val="center"/>
        </w:trPr>
        <w:tc>
          <w:tcPr>
            <w:tcW w:w="8193" w:type="dxa"/>
            <w:vAlign w:val="center"/>
          </w:tcPr>
          <w:tbl>
            <w:tblPr>
              <w:tblStyle w:val="44"/>
              <w:tblW w:w="8147" w:type="dxa"/>
              <w:jc w:val="center"/>
              <w:tblCellSpacing w:w="0" w:type="dxa"/>
              <w:tblLayout w:type="fixed"/>
              <w:tblCellMar>
                <w:top w:w="30" w:type="dxa"/>
                <w:left w:w="30" w:type="dxa"/>
                <w:bottom w:w="30" w:type="dxa"/>
                <w:right w:w="30" w:type="dxa"/>
              </w:tblCellMar>
            </w:tblPr>
            <w:tblGrid>
              <w:gridCol w:w="8147"/>
            </w:tblGrid>
            <w:tr>
              <w:tblPrEx>
                <w:tblCellMar>
                  <w:top w:w="30" w:type="dxa"/>
                  <w:left w:w="30" w:type="dxa"/>
                  <w:bottom w:w="30" w:type="dxa"/>
                  <w:right w:w="30" w:type="dxa"/>
                </w:tblCellMar>
              </w:tblPrEx>
              <w:trPr>
                <w:tblCellSpacing w:w="0" w:type="dxa"/>
                <w:jc w:val="center"/>
              </w:trPr>
              <w:tc>
                <w:tcPr>
                  <w:tcW w:w="8147" w:type="dxa"/>
                </w:tcPr>
                <w:p>
                  <w:pPr>
                    <w:spacing w:line="360" w:lineRule="auto"/>
                    <w:rPr>
                      <w:rFonts w:ascii="宋体" w:hAnsi="宋体" w:cs="宋体"/>
                      <w:b/>
                      <w:bCs/>
                      <w:kern w:val="0"/>
                      <w:szCs w:val="21"/>
                    </w:rPr>
                  </w:pPr>
                  <w:r>
                    <w:rPr>
                      <w:rFonts w:hint="eastAsia" w:ascii="宋体" w:hAnsi="宋体" w:cs="宋体"/>
                      <w:b/>
                      <w:bCs/>
                      <w:kern w:val="0"/>
                      <w:szCs w:val="21"/>
                    </w:rPr>
                    <w:t>申请人的</w:t>
                  </w:r>
                  <w:bookmarkStart w:id="22" w:name="_Hlk235714141"/>
                  <w:r>
                    <w:rPr>
                      <w:rFonts w:hint="eastAsia" w:ascii="宋体" w:hAnsi="宋体" w:cs="宋体"/>
                      <w:b/>
                      <w:bCs/>
                      <w:kern w:val="0"/>
                      <w:szCs w:val="21"/>
                    </w:rPr>
                    <w:t>资格要求</w:t>
                  </w:r>
                  <w:bookmarkEnd w:id="22"/>
                  <w:r>
                    <w:rPr>
                      <w:rFonts w:hint="eastAsia" w:ascii="宋体" w:hAnsi="宋体" w:cs="宋体"/>
                      <w:b/>
                      <w:bCs/>
                      <w:kern w:val="0"/>
                      <w:szCs w:val="21"/>
                    </w:rPr>
                    <w:t>：</w:t>
                  </w:r>
                </w:p>
                <w:p>
                  <w:pPr>
                    <w:ind w:firstLine="420" w:firstLineChars="200"/>
                    <w:rPr>
                      <w:rFonts w:ascii="宋体" w:hAnsi="宋体" w:cs="宋体"/>
                      <w:kern w:val="0"/>
                      <w:szCs w:val="21"/>
                    </w:rPr>
                  </w:pPr>
                  <w:r>
                    <w:rPr>
                      <w:rFonts w:hint="eastAsia" w:ascii="宋体" w:hAnsi="宋体" w:cs="宋体"/>
                      <w:kern w:val="0"/>
                      <w:szCs w:val="21"/>
                    </w:rPr>
                    <w:t>1</w:t>
                  </w:r>
                  <w:r>
                    <w:rPr>
                      <w:rFonts w:ascii="宋体" w:hAnsi="宋体" w:cs="宋体"/>
                      <w:kern w:val="0"/>
                      <w:szCs w:val="21"/>
                    </w:rPr>
                    <w:t>.</w:t>
                  </w:r>
                  <w:bookmarkStart w:id="23" w:name="_Hlk72162904"/>
                  <w:r>
                    <w:rPr>
                      <w:rFonts w:hint="eastAsia" w:ascii="宋体" w:hAnsi="宋体" w:cs="宋体"/>
                      <w:kern w:val="0"/>
                      <w:szCs w:val="21"/>
                    </w:rPr>
                    <w:t>具有独立承担民事责任的能力（提供营业执照或事业单位法人证书等证明资料扫描件，原件备查，分支机构参与投标的，须同时提供分支机构营业执照、其总公司的营业执照及总公司授权文件且授权书载明其民事责任由总公司承担）</w:t>
                  </w:r>
                  <w:bookmarkEnd w:id="23"/>
                  <w:r>
                    <w:rPr>
                      <w:rFonts w:hint="eastAsia"/>
                    </w:rPr>
                    <w:t>；(如为联合体投标，则联合体各方均需符合要求)</w:t>
                  </w:r>
                </w:p>
                <w:p>
                  <w:pPr>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2.本项目接受联合体投标，</w:t>
                  </w:r>
                  <w:r>
                    <w:rPr>
                      <w:rFonts w:hint="eastAsia" w:ascii="宋体" w:hAnsi="宋体" w:cs="宋体"/>
                      <w:b/>
                      <w:bCs/>
                      <w:color w:val="000000" w:themeColor="text1"/>
                      <w:kern w:val="0"/>
                      <w:szCs w:val="21"/>
                      <w:highlight w:val="none"/>
                      <w14:textFill>
                        <w14:solidFill>
                          <w14:schemeClr w14:val="tx1"/>
                        </w14:solidFill>
                      </w14:textFill>
                    </w:rPr>
                    <w:t>但联合体单位成员最多2家，如为联合体投标，必须提供联合体单位成员共同签订、加盖公章的《联合体共同投标协议》扫描件（</w:t>
                  </w:r>
                  <w:r>
                    <w:rPr>
                      <w:rFonts w:hint="eastAsia" w:ascii="宋体" w:hAnsi="宋体" w:cs="宋体"/>
                      <w:b/>
                      <w:bCs/>
                      <w:color w:val="000000" w:themeColor="text1"/>
                      <w:kern w:val="0"/>
                      <w:szCs w:val="21"/>
                      <w:highlight w:val="none"/>
                      <w:lang w:val="en-US" w:eastAsia="zh-CN"/>
                      <w14:textFill>
                        <w14:solidFill>
                          <w14:schemeClr w14:val="tx1"/>
                        </w14:solidFill>
                      </w14:textFill>
                    </w:rPr>
                    <w:t>格式自拟</w:t>
                  </w:r>
                  <w:r>
                    <w:rPr>
                      <w:rFonts w:hint="eastAsia" w:ascii="宋体" w:hAnsi="宋体" w:cs="宋体"/>
                      <w:b/>
                      <w:bCs/>
                      <w:color w:val="000000" w:themeColor="text1"/>
                      <w:kern w:val="0"/>
                      <w:szCs w:val="21"/>
                      <w:highlight w:val="none"/>
                      <w14:textFill>
                        <w14:solidFill>
                          <w14:schemeClr w14:val="tx1"/>
                        </w14:solidFill>
                      </w14:textFill>
                    </w:rPr>
                    <w:t>）</w:t>
                  </w:r>
                  <w:r>
                    <w:rPr>
                      <w:rFonts w:hint="eastAsia" w:ascii="宋体" w:hAnsi="宋体" w:cs="宋体"/>
                      <w:color w:val="000000" w:themeColor="text1"/>
                      <w:kern w:val="0"/>
                      <w:szCs w:val="21"/>
                      <w:highlight w:val="none"/>
                      <w14:textFill>
                        <w14:solidFill>
                          <w14:schemeClr w14:val="tx1"/>
                        </w14:solidFill>
                      </w14:textFill>
                    </w:rPr>
                    <w:t>，协议必须明确联合体牵头单位（主体方），并约定联合体单位成员各方承担的工作范围、相应的责任以及有无承担相同的工作内容，联合体单位成员不得再以自己的名义单独或组成新的联合体参加投标，联合体各方须共同与采购人签订采购合同，就采购合同约定的事项对采购人承担连带责任。不接受投标人选用进口产品参与投标；</w:t>
                  </w:r>
                </w:p>
                <w:p>
                  <w:pPr>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r>
                    <w:rPr>
                      <w:rFonts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参与本项目政府采购活动时不存在被有关部门禁止参与政府采购活动且在有效期内的情况（由供应商在《政府采购投标及履约承诺函》中作出声明）；</w:t>
                  </w:r>
                  <w:r>
                    <w:rPr>
                      <w:rFonts w:hint="eastAsia"/>
                    </w:rPr>
                    <w:t>(如为联合体投标，则联合体各方均需符合要求)</w:t>
                  </w:r>
                </w:p>
                <w:p>
                  <w:pPr>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w:t>
                  </w:r>
                  <w:r>
                    <w:rPr>
                      <w:rFonts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具备《中华人民共和国政府采购法》第二十二条第一款的条件（由供应商在《政府采购投标及履约承诺函》中作出声明）；</w:t>
                  </w:r>
                  <w:r>
                    <w:rPr>
                      <w:rFonts w:hint="eastAsia"/>
                    </w:rPr>
                    <w:t>(如为联合体投标，则联合体各方均需符合要求)</w:t>
                  </w:r>
                </w:p>
                <w:p>
                  <w:pPr>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r>
                    <w:rPr>
                      <w:rFonts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未被列入失信被执行人、重大税收违法案件当事人名单、政府采购严重违法失信行为记录名单（由供应商在《政府采购投标及履约承诺函》中作出声明）；</w:t>
                  </w:r>
                  <w:r>
                    <w:rPr>
                      <w:rFonts w:hint="eastAsia"/>
                    </w:rPr>
                    <w:t>(如为联合体投标，则联合体各方均需符合要求)</w:t>
                  </w:r>
                </w:p>
                <w:p>
                  <w:pPr>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6.不存在《深圳市财政局政府采购供应商信用信息管理办法》（深财规〔2023〕3号）列明的严重违法失信行为（由供应商在《政府采购投标及履约承诺函》中作出声明）；</w:t>
                  </w:r>
                  <w:r>
                    <w:rPr>
                      <w:rFonts w:hint="eastAsia"/>
                    </w:rPr>
                    <w:t>(如为联合体投标，则联合体各方均需符合要求)</w:t>
                  </w:r>
                </w:p>
                <w:p>
                  <w:pPr>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7.为采购项目提供整体设计、规范编制或者项目管理、监理、检测等服务的供应商，不得再参加该采购项目的其他采购活动（由供应商在《政府采购投标及履约承诺函》中作出声明）；</w:t>
                  </w:r>
                  <w:r>
                    <w:rPr>
                      <w:rFonts w:hint="eastAsia"/>
                    </w:rPr>
                    <w:t>(如为联合体投标，则联合体各方均需符合要求)</w:t>
                  </w:r>
                </w:p>
                <w:p>
                  <w:pPr>
                    <w:pStyle w:val="194"/>
                    <w:ind w:firstLine="420" w:firstLineChars="200"/>
                    <w:rPr>
                      <w:color w:val="000000" w:themeColor="text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r>
                    <w:rPr>
                      <w:rFonts w:hint="eastAsia"/>
                    </w:rPr>
                    <w:t>(如为联合体投标，则联合体各方均需符合要求)</w:t>
                  </w:r>
                </w:p>
                <w:p>
                  <w:pPr>
                    <w:pStyle w:val="194"/>
                    <w:ind w:firstLine="420" w:firstLineChars="200"/>
                  </w:pPr>
                  <w:r>
                    <w:rPr>
                      <w:rFonts w:hint="eastAsia"/>
                    </w:rPr>
                    <w:t>9.本项目不专门面向中小企业采购。</w:t>
                  </w:r>
                </w:p>
                <w:p>
                  <w:pPr>
                    <w:wordWrap w:val="0"/>
                    <w:ind w:firstLine="420" w:firstLineChars="200"/>
                    <w:rPr>
                      <w:rFonts w:ascii="宋体" w:hAnsi="宋体" w:cs="宋体"/>
                      <w:kern w:val="0"/>
                      <w:szCs w:val="21"/>
                    </w:rPr>
                  </w:pPr>
                  <w:r>
                    <w:rPr>
                      <w:rFonts w:hint="eastAsia" w:ascii="宋体" w:hAnsi="宋体" w:cs="宋体"/>
                      <w:kern w:val="0"/>
                      <w:szCs w:val="21"/>
                    </w:rPr>
                    <w:t>注：（1）“信用中国”（www.creditchina.gov.cn，查询“信用服务”栏的“重大税收违法失信主体”“失信被执行人”或者下载信用信息报告），“中国政府采购网”（www.ccgp.gov.cn）中的“政府采购严重违法失信行为记录名单”，“深圳市政府采购监管网”（http://zfcg.sz.gov.cn）</w:t>
                  </w:r>
                  <w:r>
                    <w:rPr>
                      <w:rFonts w:hint="eastAsia" w:asciiTheme="minorEastAsia" w:hAnsiTheme="minorEastAsia" w:eastAsiaTheme="minorEastAsia" w:cstheme="minorEastAsia"/>
                      <w:szCs w:val="21"/>
                    </w:rPr>
                    <w:t>以及深圳市、区财政部门认可的“供应商诚信档案库”</w:t>
                  </w:r>
                  <w:r>
                    <w:rPr>
                      <w:rFonts w:hint="eastAsia" w:ascii="宋体" w:hAnsi="宋体" w:cs="宋体"/>
                      <w:kern w:val="0"/>
                      <w:szCs w:val="21"/>
                    </w:rPr>
                    <w:t>为供应商信用信息的查询渠道，相关信息以开标当日的查询结果为准；</w:t>
                  </w:r>
                </w:p>
                <w:p>
                  <w:pPr>
                    <w:ind w:firstLine="420" w:firstLineChars="200"/>
                    <w:rPr>
                      <w:rFonts w:ascii="宋体" w:hAnsi="宋体"/>
                    </w:rPr>
                  </w:pPr>
                  <w:r>
                    <w:rPr>
                      <w:rFonts w:hint="eastAsia" w:ascii="宋体" w:hAnsi="宋体"/>
                    </w:rPr>
                    <w:t>（2）供应商投标（上传投标文件）必须先行办理注册手续，具体请按照本公告“六、其他补充事宜</w:t>
                  </w:r>
                  <w:r>
                    <w:rPr>
                      <w:rFonts w:ascii="宋体" w:hAnsi="宋体"/>
                    </w:rPr>
                    <w:t>”</w:t>
                  </w:r>
                  <w:r>
                    <w:rPr>
                      <w:rFonts w:hint="eastAsia" w:ascii="宋体" w:hAnsi="宋体"/>
                    </w:rPr>
                    <w:t>相关内容指引办理。</w:t>
                  </w:r>
                </w:p>
                <w:p>
                  <w:pPr>
                    <w:spacing w:beforeAutospacing="1" w:afterAutospacing="1"/>
                    <w:ind w:firstLine="441" w:firstLineChars="200"/>
                    <w:rPr>
                      <w:rFonts w:ascii="宋体" w:hAnsi="宋体" w:cs="宋体"/>
                      <w:sz w:val="24"/>
                    </w:rPr>
                  </w:pPr>
                  <w:r>
                    <w:rPr>
                      <w:rFonts w:hint="eastAsia"/>
                      <w:b/>
                      <w:sz w:val="22"/>
                      <w:szCs w:val="18"/>
                    </w:rPr>
                    <w:t>完整公告内容详见：深圳公共资源交易网（</w:t>
                  </w:r>
                  <w:r>
                    <w:rPr>
                      <w:b/>
                      <w:sz w:val="22"/>
                      <w:szCs w:val="18"/>
                    </w:rPr>
                    <w:t>https://www.szggzy.com</w:t>
                  </w:r>
                  <w:r>
                    <w:rPr>
                      <w:rFonts w:hint="eastAsia"/>
                      <w:b/>
                      <w:sz w:val="22"/>
                      <w:szCs w:val="18"/>
                    </w:rPr>
                    <w:t>）</w:t>
                  </w:r>
                </w:p>
              </w:tc>
            </w:tr>
          </w:tbl>
          <w:p>
            <w:pPr>
              <w:rPr>
                <w:rFonts w:ascii="宋体" w:hAnsi="宋体" w:cs="宋体"/>
                <w:sz w:val="24"/>
              </w:rPr>
            </w:pPr>
          </w:p>
        </w:tc>
      </w:tr>
    </w:tbl>
    <w:p/>
    <w:p>
      <w:pPr>
        <w:pStyle w:val="7"/>
        <w:rPr>
          <w:sz w:val="28"/>
          <w:szCs w:val="28"/>
        </w:rPr>
      </w:pPr>
      <w:r>
        <w:rPr>
          <w:rFonts w:hint="eastAsia"/>
          <w:sz w:val="28"/>
          <w:szCs w:val="28"/>
        </w:rPr>
        <w:t>第二章 对通用条款的补充内容及其他关键信息</w:t>
      </w:r>
    </w:p>
    <w:p>
      <w:pPr>
        <w:pStyle w:val="7"/>
        <w:spacing w:before="120" w:beforeLines="50" w:after="120" w:afterLines="50"/>
        <w:rPr>
          <w:sz w:val="28"/>
          <w:szCs w:val="28"/>
        </w:rPr>
      </w:pPr>
      <w:bookmarkStart w:id="24" w:name="_Toc100052364"/>
      <w:bookmarkStart w:id="25" w:name="_Toc73517639"/>
      <w:bookmarkStart w:id="26" w:name="_Toc101074876"/>
      <w:bookmarkStart w:id="27" w:name="_Toc73521635"/>
      <w:bookmarkStart w:id="28" w:name="_Toc73518117"/>
      <w:bookmarkStart w:id="29" w:name="_Toc60631620"/>
      <w:bookmarkStart w:id="30" w:name="_Toc60560625"/>
      <w:bookmarkStart w:id="31" w:name="_Toc73521547"/>
      <w:r>
        <w:rPr>
          <w:rFonts w:hint="eastAsia"/>
          <w:szCs w:val="24"/>
        </w:rPr>
        <w:t>一、对通用条款的补充内容</w:t>
      </w:r>
    </w:p>
    <w:bookmarkEnd w:id="24"/>
    <w:bookmarkEnd w:id="25"/>
    <w:bookmarkEnd w:id="26"/>
    <w:bookmarkEnd w:id="27"/>
    <w:bookmarkEnd w:id="28"/>
    <w:bookmarkEnd w:id="29"/>
    <w:bookmarkEnd w:id="30"/>
    <w:bookmarkEnd w:id="31"/>
    <w:tbl>
      <w:tblPr>
        <w:tblStyle w:val="44"/>
        <w:tblW w:w="836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8"/>
        <w:gridCol w:w="2409"/>
        <w:gridCol w:w="49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b/>
                <w:bCs/>
              </w:rPr>
            </w:pPr>
            <w:r>
              <w:rPr>
                <w:rFonts w:hint="eastAsia" w:ascii="宋体" w:hAnsi="宋体"/>
                <w:b/>
                <w:bCs/>
              </w:rPr>
              <w:t>通用条款序号</w:t>
            </w:r>
          </w:p>
        </w:tc>
        <w:tc>
          <w:tcPr>
            <w:tcW w:w="2409" w:type="dxa"/>
            <w:vAlign w:val="center"/>
          </w:tcPr>
          <w:p>
            <w:pPr>
              <w:jc w:val="center"/>
              <w:rPr>
                <w:rFonts w:ascii="宋体" w:hAnsi="宋体"/>
                <w:b/>
                <w:bCs/>
              </w:rPr>
            </w:pPr>
            <w:r>
              <w:rPr>
                <w:rFonts w:hint="eastAsia" w:ascii="宋体" w:hAnsi="宋体"/>
                <w:b/>
                <w:bCs/>
              </w:rPr>
              <w:t>涉及事项</w:t>
            </w:r>
          </w:p>
        </w:tc>
        <w:tc>
          <w:tcPr>
            <w:tcW w:w="4980" w:type="dxa"/>
            <w:vAlign w:val="center"/>
          </w:tcPr>
          <w:p>
            <w:pPr>
              <w:jc w:val="center"/>
              <w:rPr>
                <w:rFonts w:ascii="宋体" w:hAnsi="宋体"/>
                <w:b/>
                <w:bCs/>
              </w:rPr>
            </w:pPr>
            <w:r>
              <w:rPr>
                <w:rFonts w:hint="eastAsia" w:ascii="宋体" w:hAnsi="宋体"/>
                <w:b/>
                <w:bCs/>
              </w:rPr>
              <w:t xml:space="preserve">具 </w:t>
            </w:r>
            <w:r>
              <w:rPr>
                <w:rFonts w:ascii="宋体" w:hAnsi="宋体"/>
                <w:b/>
                <w:bCs/>
              </w:rPr>
              <w:t xml:space="preserve"> </w:t>
            </w:r>
            <w:r>
              <w:rPr>
                <w:rFonts w:hint="eastAsia" w:ascii="宋体" w:hAnsi="宋体"/>
                <w:b/>
                <w:bCs/>
              </w:rPr>
              <w:t xml:space="preserve">体 </w:t>
            </w:r>
            <w:r>
              <w:rPr>
                <w:rFonts w:ascii="宋体" w:hAnsi="宋体"/>
                <w:b/>
                <w:bCs/>
              </w:rPr>
              <w:t xml:space="preserve"> </w:t>
            </w:r>
            <w:r>
              <w:rPr>
                <w:rFonts w:hint="eastAsia" w:ascii="宋体" w:hAnsi="宋体"/>
                <w:b/>
                <w:bCs/>
              </w:rPr>
              <w:t xml:space="preserve">补 </w:t>
            </w:r>
            <w:r>
              <w:rPr>
                <w:rFonts w:ascii="宋体" w:hAnsi="宋体"/>
                <w:b/>
                <w:bCs/>
              </w:rPr>
              <w:t xml:space="preserve"> </w:t>
            </w:r>
            <w:r>
              <w:rPr>
                <w:rFonts w:hint="eastAsia" w:ascii="宋体" w:hAnsi="宋体"/>
                <w:b/>
                <w:bCs/>
              </w:rPr>
              <w:t xml:space="preserve">充 </w:t>
            </w:r>
            <w:r>
              <w:rPr>
                <w:rFonts w:ascii="宋体" w:hAnsi="宋体"/>
                <w:b/>
                <w:bCs/>
              </w:rPr>
              <w:t xml:space="preserve"> </w:t>
            </w:r>
            <w:r>
              <w:rPr>
                <w:rFonts w:hint="eastAsia" w:ascii="宋体" w:hAnsi="宋体"/>
                <w:b/>
                <w:bCs/>
              </w:rPr>
              <w:t xml:space="preserve">内 </w:t>
            </w:r>
            <w:r>
              <w:rPr>
                <w:rFonts w:ascii="宋体" w:hAnsi="宋体"/>
                <w:b/>
                <w:bCs/>
              </w:rPr>
              <w:t xml:space="preserve"> </w:t>
            </w:r>
            <w:r>
              <w:rPr>
                <w:rFonts w:hint="eastAsia" w:ascii="宋体" w:hAnsi="宋体"/>
                <w:b/>
                <w:bCs/>
              </w:rPr>
              <w:t>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3</w:t>
            </w:r>
            <w:r>
              <w:rPr>
                <w:rFonts w:ascii="宋体" w:hAnsi="宋体"/>
              </w:rPr>
              <w:t>.1</w:t>
            </w:r>
          </w:p>
        </w:tc>
        <w:tc>
          <w:tcPr>
            <w:tcW w:w="2409" w:type="dxa"/>
            <w:vAlign w:val="center"/>
          </w:tcPr>
          <w:p>
            <w:pPr>
              <w:jc w:val="center"/>
            </w:pPr>
            <w:r>
              <w:rPr>
                <w:rFonts w:hint="eastAsia"/>
              </w:rPr>
              <w:t>采购人</w:t>
            </w:r>
          </w:p>
        </w:tc>
        <w:tc>
          <w:tcPr>
            <w:tcW w:w="4980" w:type="dxa"/>
            <w:vAlign w:val="center"/>
          </w:tcPr>
          <w:p>
            <w:pPr>
              <w:jc w:val="left"/>
              <w:rPr>
                <w:rFonts w:ascii="宋体" w:hAnsi="宋体"/>
              </w:rPr>
            </w:pPr>
            <w:r>
              <w:rPr>
                <w:rFonts w:hint="eastAsia" w:ascii="宋体" w:hAnsi="宋体"/>
              </w:rPr>
              <w:t>深圳市盐田区城市管理和综合执法局</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3</w:t>
            </w:r>
            <w:r>
              <w:rPr>
                <w:rFonts w:ascii="宋体" w:hAnsi="宋体"/>
              </w:rPr>
              <w:t>.2</w:t>
            </w:r>
          </w:p>
        </w:tc>
        <w:tc>
          <w:tcPr>
            <w:tcW w:w="2409" w:type="dxa"/>
            <w:vAlign w:val="center"/>
          </w:tcPr>
          <w:p>
            <w:pPr>
              <w:jc w:val="center"/>
              <w:rPr>
                <w:rFonts w:ascii="宋体" w:hAnsi="宋体"/>
              </w:rPr>
            </w:pPr>
            <w:r>
              <w:rPr>
                <w:rFonts w:hint="eastAsia" w:ascii="宋体" w:hAnsi="宋体"/>
              </w:rPr>
              <w:t>政府集中采购机构</w:t>
            </w:r>
          </w:p>
        </w:tc>
        <w:tc>
          <w:tcPr>
            <w:tcW w:w="4980" w:type="dxa"/>
            <w:vAlign w:val="center"/>
          </w:tcPr>
          <w:p>
            <w:pPr>
              <w:jc w:val="left"/>
              <w:rPr>
                <w:rFonts w:ascii="宋体" w:hAnsi="宋体" w:cs="宋体"/>
                <w:kern w:val="0"/>
                <w:szCs w:val="21"/>
              </w:rPr>
            </w:pPr>
            <w:r>
              <w:rPr>
                <w:rFonts w:hint="eastAsia" w:ascii="宋体" w:hAnsi="宋体" w:cs="宋体"/>
                <w:kern w:val="0"/>
                <w:szCs w:val="21"/>
              </w:rPr>
              <w:t>深圳公共资源交易中心</w:t>
            </w:r>
          </w:p>
          <w:p>
            <w:pPr>
              <w:jc w:val="left"/>
              <w:rPr>
                <w:rFonts w:ascii="宋体" w:hAnsi="宋体"/>
              </w:rPr>
            </w:pPr>
            <w:r>
              <w:rPr>
                <w:rFonts w:hint="eastAsia" w:ascii="宋体" w:hAnsi="宋体" w:cs="宋体"/>
                <w:kern w:val="0"/>
                <w:szCs w:val="21"/>
              </w:rPr>
              <w:t>（深圳交易集团有限公司</w:t>
            </w:r>
            <w:r>
              <w:rPr>
                <w:rFonts w:hint="eastAsia" w:ascii="宋体" w:hAnsi="宋体" w:cs="宋体"/>
                <w:kern w:val="0"/>
                <w:szCs w:val="21"/>
                <w:lang w:eastAsia="zh-CN"/>
              </w:rPr>
              <w:t>盐田</w:t>
            </w:r>
            <w:r>
              <w:rPr>
                <w:rFonts w:hint="eastAsia" w:ascii="宋体" w:hAnsi="宋体" w:cs="宋体"/>
                <w:kern w:val="0"/>
                <w:szCs w:val="21"/>
              </w:rPr>
              <w:t>分公司）</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9</w:t>
            </w:r>
          </w:p>
        </w:tc>
        <w:tc>
          <w:tcPr>
            <w:tcW w:w="2409" w:type="dxa"/>
            <w:vAlign w:val="center"/>
          </w:tcPr>
          <w:p>
            <w:pPr>
              <w:jc w:val="center"/>
              <w:rPr>
                <w:rFonts w:ascii="宋体" w:hAnsi="宋体"/>
              </w:rPr>
            </w:pPr>
            <w:r>
              <w:rPr>
                <w:rFonts w:hint="eastAsia" w:ascii="宋体" w:hAnsi="宋体"/>
              </w:rPr>
              <w:t>踏勘现场</w:t>
            </w:r>
          </w:p>
        </w:tc>
        <w:tc>
          <w:tcPr>
            <w:tcW w:w="4980" w:type="dxa"/>
            <w:vAlign w:val="center"/>
          </w:tcPr>
          <w:p>
            <w:pPr>
              <w:jc w:val="left"/>
              <w:rPr>
                <w:rFonts w:ascii="宋体" w:hAnsi="宋体"/>
              </w:rPr>
            </w:pPr>
            <w:r>
              <w:rPr>
                <w:rFonts w:ascii="宋体" w:hAnsi="宋体"/>
              </w:rPr>
              <w:t>不组织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1</w:t>
            </w:r>
            <w:r>
              <w:rPr>
                <w:rFonts w:ascii="宋体" w:hAnsi="宋体"/>
              </w:rPr>
              <w:t>0</w:t>
            </w:r>
          </w:p>
        </w:tc>
        <w:tc>
          <w:tcPr>
            <w:tcW w:w="2409" w:type="dxa"/>
            <w:vAlign w:val="center"/>
          </w:tcPr>
          <w:p>
            <w:pPr>
              <w:jc w:val="center"/>
              <w:rPr>
                <w:rFonts w:ascii="宋体" w:hAnsi="宋体"/>
              </w:rPr>
            </w:pPr>
            <w:r>
              <w:rPr>
                <w:rFonts w:hint="eastAsia" w:ascii="宋体" w:hAnsi="宋体"/>
              </w:rPr>
              <w:t>标前会议</w:t>
            </w:r>
          </w:p>
        </w:tc>
        <w:tc>
          <w:tcPr>
            <w:tcW w:w="4980" w:type="dxa"/>
            <w:vAlign w:val="center"/>
          </w:tcPr>
          <w:p>
            <w:pPr>
              <w:jc w:val="left"/>
              <w:rPr>
                <w:rFonts w:ascii="宋体" w:hAnsi="宋体"/>
              </w:rPr>
            </w:pPr>
            <w:r>
              <w:rPr>
                <w:rFonts w:ascii="宋体" w:hAnsi="宋体"/>
              </w:rPr>
              <w:t>不组织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1</w:t>
            </w:r>
            <w:r>
              <w:rPr>
                <w:rFonts w:ascii="宋体" w:hAnsi="宋体"/>
              </w:rPr>
              <w:t>2</w:t>
            </w:r>
            <w:r>
              <w:rPr>
                <w:rFonts w:hint="eastAsia" w:ascii="宋体" w:hAnsi="宋体"/>
              </w:rPr>
              <w:t>/1</w:t>
            </w:r>
            <w:r>
              <w:rPr>
                <w:rFonts w:ascii="宋体" w:hAnsi="宋体"/>
              </w:rPr>
              <w:t>3</w:t>
            </w:r>
          </w:p>
        </w:tc>
        <w:tc>
          <w:tcPr>
            <w:tcW w:w="2409" w:type="dxa"/>
            <w:vAlign w:val="center"/>
          </w:tcPr>
          <w:p>
            <w:pPr>
              <w:jc w:val="center"/>
              <w:rPr>
                <w:rFonts w:ascii="宋体" w:hAnsi="宋体"/>
              </w:rPr>
            </w:pPr>
            <w:r>
              <w:rPr>
                <w:rFonts w:hint="eastAsia" w:ascii="宋体" w:hAnsi="宋体"/>
              </w:rPr>
              <w:t>招标文件的澄清和修改</w:t>
            </w:r>
          </w:p>
        </w:tc>
        <w:tc>
          <w:tcPr>
            <w:tcW w:w="4980" w:type="dxa"/>
            <w:shd w:val="clear" w:color="auto" w:fill="auto"/>
            <w:vAlign w:val="center"/>
          </w:tcPr>
          <w:p>
            <w:pPr>
              <w:jc w:val="left"/>
              <w:rPr>
                <w:rFonts w:ascii="宋体" w:hAnsi="宋体"/>
              </w:rPr>
            </w:pPr>
            <w:r>
              <w:rPr>
                <w:rFonts w:hint="eastAsia" w:ascii="宋体" w:hAnsi="宋体"/>
              </w:rPr>
              <w:t>投标截止日三日前（详见招标公告），投标人有义务在招标期间在政府集中采购机构网站浏览与本项目有关的澄清和修改信息</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2</w:t>
            </w:r>
            <w:r>
              <w:rPr>
                <w:rFonts w:ascii="宋体" w:hAnsi="宋体"/>
              </w:rPr>
              <w:t>0</w:t>
            </w:r>
          </w:p>
        </w:tc>
        <w:tc>
          <w:tcPr>
            <w:tcW w:w="2409" w:type="dxa"/>
            <w:vAlign w:val="center"/>
          </w:tcPr>
          <w:p>
            <w:pPr>
              <w:jc w:val="center"/>
              <w:rPr>
                <w:rFonts w:ascii="宋体" w:hAnsi="宋体"/>
              </w:rPr>
            </w:pPr>
            <w:r>
              <w:rPr>
                <w:rFonts w:hint="eastAsia" w:ascii="宋体" w:hAnsi="宋体"/>
              </w:rPr>
              <w:t>投标有效期</w:t>
            </w:r>
          </w:p>
        </w:tc>
        <w:tc>
          <w:tcPr>
            <w:tcW w:w="4980" w:type="dxa"/>
            <w:shd w:val="clear" w:color="auto" w:fill="auto"/>
            <w:vAlign w:val="center"/>
          </w:tcPr>
          <w:p>
            <w:pPr>
              <w:jc w:val="left"/>
              <w:rPr>
                <w:rFonts w:ascii="宋体" w:hAnsi="宋体"/>
              </w:rPr>
            </w:pPr>
            <w:r>
              <w:rPr>
                <w:rFonts w:hint="eastAsia" w:ascii="宋体" w:hAnsi="宋体"/>
              </w:rPr>
              <w:t>120个日历日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2</w:t>
            </w:r>
            <w:r>
              <w:rPr>
                <w:rFonts w:ascii="宋体" w:hAnsi="宋体"/>
              </w:rPr>
              <w:t>2</w:t>
            </w:r>
          </w:p>
        </w:tc>
        <w:tc>
          <w:tcPr>
            <w:tcW w:w="2409" w:type="dxa"/>
            <w:vAlign w:val="center"/>
          </w:tcPr>
          <w:p>
            <w:pPr>
              <w:jc w:val="center"/>
              <w:rPr>
                <w:rFonts w:ascii="宋体" w:hAnsi="宋体"/>
              </w:rPr>
            </w:pPr>
            <w:r>
              <w:rPr>
                <w:rFonts w:hint="eastAsia" w:ascii="宋体" w:hAnsi="宋体"/>
              </w:rPr>
              <w:t>投标人的替代方案</w:t>
            </w:r>
          </w:p>
        </w:tc>
        <w:tc>
          <w:tcPr>
            <w:tcW w:w="4980" w:type="dxa"/>
            <w:shd w:val="clear" w:color="auto" w:fill="auto"/>
            <w:vAlign w:val="center"/>
          </w:tcPr>
          <w:p>
            <w:pPr>
              <w:jc w:val="left"/>
              <w:rPr>
                <w:rFonts w:ascii="宋体" w:hAnsi="宋体"/>
              </w:rPr>
            </w:pPr>
            <w:r>
              <w:rPr>
                <w:rFonts w:hint="eastAsia" w:ascii="宋体" w:hAnsi="宋体"/>
              </w:rPr>
              <w:t>不接受</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2</w:t>
            </w:r>
            <w:r>
              <w:rPr>
                <w:rFonts w:ascii="宋体" w:hAnsi="宋体"/>
              </w:rPr>
              <w:t>5</w:t>
            </w:r>
          </w:p>
        </w:tc>
        <w:tc>
          <w:tcPr>
            <w:tcW w:w="2409" w:type="dxa"/>
            <w:vAlign w:val="center"/>
          </w:tcPr>
          <w:p>
            <w:pPr>
              <w:jc w:val="center"/>
              <w:rPr>
                <w:rFonts w:ascii="宋体" w:hAnsi="宋体"/>
              </w:rPr>
            </w:pPr>
            <w:r>
              <w:rPr>
                <w:rFonts w:hint="eastAsia" w:ascii="宋体" w:hAnsi="宋体"/>
              </w:rPr>
              <w:t>投标文件的大小</w:t>
            </w:r>
          </w:p>
        </w:tc>
        <w:tc>
          <w:tcPr>
            <w:tcW w:w="4980" w:type="dxa"/>
            <w:shd w:val="clear" w:color="auto" w:fill="auto"/>
            <w:vAlign w:val="center"/>
          </w:tcPr>
          <w:p>
            <w:pPr>
              <w:jc w:val="left"/>
              <w:rPr>
                <w:rFonts w:ascii="宋体" w:hAnsi="宋体"/>
              </w:rPr>
            </w:pPr>
            <w:r>
              <w:rPr>
                <w:rFonts w:hint="eastAsia" w:ascii="宋体" w:hAnsi="宋体"/>
              </w:rPr>
              <w:t>投标文件大小不得超过</w:t>
            </w:r>
            <w:r>
              <w:rPr>
                <w:rFonts w:ascii="宋体" w:hAnsi="宋体"/>
              </w:rPr>
              <w:t>25</w:t>
            </w:r>
            <w:r>
              <w:rPr>
                <w:rFonts w:hint="eastAsia" w:ascii="宋体" w:hAnsi="宋体"/>
              </w:rPr>
              <w:t>0MB</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2</w:t>
            </w:r>
            <w:r>
              <w:rPr>
                <w:rFonts w:ascii="宋体" w:hAnsi="宋体"/>
              </w:rPr>
              <w:t>6</w:t>
            </w:r>
          </w:p>
        </w:tc>
        <w:tc>
          <w:tcPr>
            <w:tcW w:w="2409" w:type="dxa"/>
            <w:vAlign w:val="center"/>
          </w:tcPr>
          <w:p>
            <w:pPr>
              <w:jc w:val="center"/>
              <w:rPr>
                <w:rFonts w:ascii="宋体" w:hAnsi="宋体"/>
              </w:rPr>
            </w:pPr>
            <w:bookmarkStart w:id="32" w:name="_Hlk71664860"/>
            <w:r>
              <w:rPr>
                <w:rFonts w:hint="eastAsia" w:ascii="宋体" w:hAnsi="宋体"/>
              </w:rPr>
              <w:t>样品、现场演示、方案讲解</w:t>
            </w:r>
            <w:bookmarkEnd w:id="32"/>
          </w:p>
        </w:tc>
        <w:tc>
          <w:tcPr>
            <w:tcW w:w="4980" w:type="dxa"/>
            <w:vAlign w:val="center"/>
          </w:tcPr>
          <w:p>
            <w:pPr>
              <w:jc w:val="left"/>
              <w:rPr>
                <w:rFonts w:ascii="宋体" w:hAnsi="宋体"/>
              </w:rPr>
            </w:pPr>
            <w:r>
              <w:rPr>
                <w:rFonts w:hint="eastAsia" w:ascii="宋体" w:hAnsi="宋体"/>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3</w:t>
            </w:r>
            <w:r>
              <w:rPr>
                <w:rFonts w:ascii="宋体" w:hAnsi="宋体"/>
              </w:rPr>
              <w:t>7</w:t>
            </w:r>
          </w:p>
        </w:tc>
        <w:tc>
          <w:tcPr>
            <w:tcW w:w="2409" w:type="dxa"/>
            <w:vAlign w:val="center"/>
          </w:tcPr>
          <w:p>
            <w:pPr>
              <w:jc w:val="center"/>
              <w:rPr>
                <w:rFonts w:ascii="宋体" w:hAnsi="宋体"/>
              </w:rPr>
            </w:pPr>
            <w:r>
              <w:rPr>
                <w:rFonts w:hint="eastAsia" w:ascii="宋体" w:hAnsi="宋体"/>
              </w:rPr>
              <w:t>评审方法</w:t>
            </w:r>
          </w:p>
        </w:tc>
        <w:tc>
          <w:tcPr>
            <w:tcW w:w="4980" w:type="dxa"/>
            <w:vAlign w:val="center"/>
          </w:tcPr>
          <w:p>
            <w:pPr>
              <w:jc w:val="left"/>
              <w:rPr>
                <w:rFonts w:ascii="宋体" w:hAnsi="宋体"/>
              </w:rPr>
            </w:pPr>
            <w:r>
              <w:rPr>
                <w:rFonts w:hint="eastAsia" w:asciiTheme="minorEastAsia" w:hAnsiTheme="minorEastAsia" w:eastAsiaTheme="minorEastAsia"/>
              </w:rPr>
              <w:t>综合评分法</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3</w:t>
            </w:r>
            <w:r>
              <w:rPr>
                <w:rFonts w:ascii="宋体" w:hAnsi="宋体"/>
              </w:rPr>
              <w:t>8</w:t>
            </w:r>
          </w:p>
        </w:tc>
        <w:tc>
          <w:tcPr>
            <w:tcW w:w="2409" w:type="dxa"/>
            <w:vAlign w:val="center"/>
          </w:tcPr>
          <w:p>
            <w:pPr>
              <w:jc w:val="center"/>
              <w:rPr>
                <w:rFonts w:ascii="宋体" w:hAnsi="宋体"/>
              </w:rPr>
            </w:pPr>
            <w:r>
              <w:rPr>
                <w:rFonts w:hint="eastAsia" w:ascii="宋体" w:hAnsi="宋体"/>
              </w:rPr>
              <w:t>是否为评定分离</w:t>
            </w:r>
          </w:p>
        </w:tc>
        <w:tc>
          <w:tcPr>
            <w:tcW w:w="4980" w:type="dxa"/>
            <w:vAlign w:val="center"/>
          </w:tcPr>
          <w:p>
            <w:pPr>
              <w:jc w:val="left"/>
            </w:pPr>
            <w:r>
              <w:rPr>
                <w:rFonts w:hint="eastAsia" w:asciiTheme="minorEastAsia" w:hAnsiTheme="minorEastAsia" w:eastAsiaTheme="minorEastAsia"/>
              </w:rPr>
              <w:t>评定分离，</w:t>
            </w:r>
          </w:p>
          <w:p>
            <w:pPr>
              <w:jc w:val="left"/>
              <w:rPr>
                <w:rFonts w:ascii="宋体" w:hAnsi="宋体"/>
              </w:rPr>
            </w:pPr>
            <w:r>
              <w:rPr>
                <w:rFonts w:hint="eastAsia" w:asciiTheme="minorEastAsia" w:hAnsiTheme="minorEastAsia" w:eastAsiaTheme="minorEastAsia"/>
              </w:rPr>
              <w:t>本项目推荐的候选中标供应商不进行排名，且中标（成交）结果信息公示内容仅公示候选中标供应商名单，不公示得分和排名。</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4</w:t>
            </w:r>
            <w:r>
              <w:rPr>
                <w:rFonts w:ascii="宋体" w:hAnsi="宋体"/>
              </w:rPr>
              <w:t>6</w:t>
            </w:r>
          </w:p>
        </w:tc>
        <w:tc>
          <w:tcPr>
            <w:tcW w:w="2409" w:type="dxa"/>
            <w:vAlign w:val="center"/>
          </w:tcPr>
          <w:p>
            <w:pPr>
              <w:jc w:val="center"/>
              <w:rPr>
                <w:rFonts w:ascii="宋体" w:hAnsi="宋体"/>
              </w:rPr>
            </w:pPr>
            <w:r>
              <w:rPr>
                <w:rFonts w:hint="eastAsia" w:ascii="宋体" w:hAnsi="宋体"/>
              </w:rPr>
              <w:t>履约担保</w:t>
            </w:r>
          </w:p>
        </w:tc>
        <w:tc>
          <w:tcPr>
            <w:tcW w:w="4980" w:type="dxa"/>
            <w:vAlign w:val="center"/>
          </w:tcPr>
          <w:p>
            <w:pPr>
              <w:jc w:val="left"/>
              <w:rPr>
                <w:rFonts w:ascii="宋体" w:hAnsi="宋体"/>
              </w:rPr>
            </w:pPr>
            <w:r>
              <w:rPr>
                <w:rFonts w:hint="eastAsia" w:ascii="宋体" w:hAnsi="宋体"/>
              </w:rPr>
              <w:t>需要，合同金额的</w:t>
            </w:r>
            <w:r>
              <w:rPr>
                <w:rFonts w:hint="eastAsia" w:ascii="宋体" w:hAnsi="宋体"/>
                <w:u w:val="single"/>
              </w:rPr>
              <w:t xml:space="preserve">  </w:t>
            </w:r>
            <w:r>
              <w:rPr>
                <w:rFonts w:hint="eastAsia" w:ascii="宋体" w:hAnsi="宋体"/>
                <w:u w:val="single"/>
                <w:lang w:val="en-US" w:eastAsia="zh-CN"/>
              </w:rPr>
              <w:t>5</w:t>
            </w:r>
            <w:r>
              <w:rPr>
                <w:rFonts w:hint="eastAsia" w:ascii="宋体" w:hAnsi="宋体"/>
                <w:u w:val="single"/>
              </w:rPr>
              <w:t xml:space="preserve">  </w:t>
            </w:r>
            <w:r>
              <w:rPr>
                <w:rFonts w:hint="eastAsia" w:ascii="宋体" w:hAnsi="宋体"/>
              </w:rPr>
              <w:t xml:space="preserve">%，投标供应商自主选择以支票、汇票、本票、保函等非现金形式缴纳或提交。履约保证金在中标人履行完成合同约定权利义务事项在合同期满之日起 </w:t>
            </w:r>
            <w:r>
              <w:rPr>
                <w:rFonts w:hint="eastAsia" w:ascii="宋体" w:hAnsi="宋体"/>
                <w:u w:val="single"/>
              </w:rPr>
              <w:t xml:space="preserve">   </w:t>
            </w:r>
            <w:r>
              <w:rPr>
                <w:rFonts w:hint="eastAsia" w:ascii="宋体" w:hAnsi="宋体"/>
                <w:u w:val="single"/>
                <w:lang w:val="en-US" w:eastAsia="zh-CN"/>
              </w:rPr>
              <w:t>30</w:t>
            </w:r>
            <w:r>
              <w:rPr>
                <w:rFonts w:hint="eastAsia" w:ascii="宋体" w:hAnsi="宋体"/>
                <w:u w:val="single"/>
              </w:rPr>
              <w:t xml:space="preserve">   </w:t>
            </w:r>
            <w:r>
              <w:rPr>
                <w:rFonts w:hint="eastAsia" w:ascii="宋体" w:hAnsi="宋体"/>
              </w:rPr>
              <w:t>日内按原方式退还，不计利息。采购人逾期退还履约保证金的，向中标人每日偿付履约保证金的0.5‰的利息。因中标人原因而未能达到本项目验收标准或验收不通过的，履约保证金不予退还。</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 </w:t>
            </w:r>
          </w:p>
        </w:tc>
      </w:tr>
    </w:tbl>
    <w:p>
      <w:pPr>
        <w:rPr>
          <w:b/>
        </w:rPr>
      </w:pPr>
      <w:r>
        <w:rPr>
          <w:rFonts w:hint="eastAsia"/>
          <w:szCs w:val="21"/>
        </w:rPr>
        <w:t>备注：本表是通用条款相关条款的补充和明确，如与通用条款内容相冲突的，以本表为准。</w:t>
      </w:r>
    </w:p>
    <w:p>
      <w:pPr>
        <w:rPr>
          <w:b/>
        </w:rPr>
      </w:pPr>
    </w:p>
    <w:p>
      <w:pPr>
        <w:pStyle w:val="7"/>
        <w:spacing w:before="120" w:beforeLines="50" w:after="120" w:afterLines="50"/>
        <w:rPr>
          <w:szCs w:val="24"/>
        </w:rPr>
      </w:pPr>
      <w:r>
        <w:rPr>
          <w:rFonts w:hint="eastAsia"/>
          <w:szCs w:val="24"/>
        </w:rPr>
        <w:t>二、其他关键信息</w:t>
      </w:r>
    </w:p>
    <w:p>
      <w:pPr>
        <w:ind w:firstLine="421" w:firstLineChars="200"/>
        <w:rPr>
          <w:b/>
          <w:bCs/>
        </w:rPr>
      </w:pPr>
      <w:r>
        <w:rPr>
          <w:rFonts w:hint="eastAsia"/>
          <w:b/>
          <w:bCs/>
        </w:rPr>
        <w:t>（一）与“对通用条款的补充内容”章节相关的事项</w:t>
      </w:r>
    </w:p>
    <w:p>
      <w:pPr>
        <w:spacing w:line="276" w:lineRule="auto"/>
        <w:ind w:firstLine="421" w:firstLineChars="200"/>
        <w:jc w:val="left"/>
        <w:rPr>
          <w:rFonts w:asciiTheme="minorEastAsia" w:hAnsiTheme="minorEastAsia" w:eastAsiaTheme="minorEastAsia"/>
          <w:b/>
          <w:kern w:val="0"/>
          <w:szCs w:val="20"/>
        </w:rPr>
      </w:pPr>
      <w:bookmarkStart w:id="33" w:name="_Hlk72579465"/>
      <w:r>
        <w:rPr>
          <w:rFonts w:hint="eastAsia" w:asciiTheme="minorEastAsia" w:hAnsiTheme="minorEastAsia" w:eastAsiaTheme="minorEastAsia"/>
          <w:b/>
          <w:kern w:val="0"/>
          <w:szCs w:val="20"/>
        </w:rPr>
        <w:t>1.评标定标信息</w:t>
      </w:r>
    </w:p>
    <w:p>
      <w:pPr>
        <w:jc w:val="center"/>
        <w:rPr>
          <w:b/>
        </w:rPr>
      </w:pPr>
      <w:r>
        <w:rPr>
          <w:rFonts w:hint="eastAsia"/>
          <w:b/>
        </w:rPr>
        <w:t>评定分离项目</w:t>
      </w:r>
    </w:p>
    <w:tbl>
      <w:tblPr>
        <w:tblStyle w:val="196"/>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pPr>
              <w:jc w:val="center"/>
            </w:pPr>
            <w:r>
              <w:rPr>
                <w:rFonts w:hint="eastAsia"/>
              </w:rPr>
              <w:t>评标方法</w:t>
            </w:r>
          </w:p>
        </w:tc>
        <w:tc>
          <w:tcPr>
            <w:tcW w:w="4265" w:type="dxa"/>
          </w:tcPr>
          <w:p>
            <w:pPr>
              <w:jc w:val="center"/>
            </w:pPr>
            <w:r>
              <w:rPr>
                <w:rFonts w:hint="eastAsia"/>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pPr>
              <w:jc w:val="center"/>
            </w:pPr>
            <w:r>
              <w:rPr>
                <w:rFonts w:hint="eastAsia"/>
              </w:rPr>
              <w:t>定标方法</w:t>
            </w:r>
          </w:p>
        </w:tc>
        <w:tc>
          <w:tcPr>
            <w:tcW w:w="4265" w:type="dxa"/>
          </w:tcPr>
          <w:p>
            <w:pPr>
              <w:jc w:val="center"/>
            </w:pPr>
            <w:r>
              <w:rPr>
                <w:rFonts w:hint="eastAsia"/>
              </w:rPr>
              <w:t>自定法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pPr>
              <w:jc w:val="center"/>
            </w:pPr>
            <w:r>
              <w:rPr>
                <w:rFonts w:hint="eastAsia"/>
              </w:rPr>
              <w:t>推荐候选中标供应商家数</w:t>
            </w:r>
          </w:p>
        </w:tc>
        <w:tc>
          <w:tcPr>
            <w:tcW w:w="4265" w:type="dxa"/>
          </w:tcPr>
          <w:p>
            <w:pPr>
              <w:jc w:val="center"/>
            </w:pPr>
            <w:r>
              <w:rPr>
                <w:rFonts w:hint="eastAsi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4" w:type="dxa"/>
          </w:tcPr>
          <w:p>
            <w:pPr>
              <w:jc w:val="center"/>
            </w:pPr>
            <w:r>
              <w:rPr>
                <w:rFonts w:hint="eastAsia"/>
              </w:rPr>
              <w:t>中标供应商家数</w:t>
            </w:r>
          </w:p>
        </w:tc>
        <w:tc>
          <w:tcPr>
            <w:tcW w:w="4265" w:type="dxa"/>
          </w:tcPr>
          <w:p>
            <w:pPr>
              <w:jc w:val="center"/>
            </w:pPr>
            <w:r>
              <w:rPr>
                <w:rFonts w:hint="eastAsia"/>
              </w:rPr>
              <w:t>1</w:t>
            </w:r>
          </w:p>
        </w:tc>
      </w:tr>
    </w:tbl>
    <w:p>
      <w:pPr>
        <w:ind w:firstLine="421" w:firstLineChars="200"/>
        <w:rPr>
          <w:rFonts w:ascii="宋体" w:hAnsi="宋体"/>
          <w:b/>
        </w:rPr>
      </w:pPr>
    </w:p>
    <w:bookmarkEnd w:id="33"/>
    <w:p>
      <w:pPr>
        <w:ind w:firstLine="421" w:firstLineChars="200"/>
        <w:rPr>
          <w:b/>
        </w:rPr>
      </w:pPr>
      <w:r>
        <w:rPr>
          <w:rFonts w:hint="eastAsia"/>
          <w:b/>
        </w:rPr>
        <w:t>（二）政府采购政策的有关事项说明</w:t>
      </w:r>
    </w:p>
    <w:p>
      <w:pPr>
        <w:ind w:firstLine="421" w:firstLineChars="200"/>
        <w:rPr>
          <w:b/>
          <w:bCs/>
        </w:rPr>
      </w:pPr>
      <w:r>
        <w:rPr>
          <w:rFonts w:hint="eastAsia"/>
          <w:b/>
          <w:bCs/>
        </w:rPr>
        <w:t>1.关于享受中小企业扶持政策的主体、价格扣除比例及采购标的所属行业等事项的说明</w:t>
      </w:r>
    </w:p>
    <w:p>
      <w:pPr>
        <w:ind w:firstLine="630" w:firstLineChars="300"/>
      </w:pPr>
      <w:r>
        <w:rPr>
          <w:rFonts w:hint="eastAsia"/>
        </w:rPr>
        <w:t>（1）适用主体：中型企业、小型、微型企业（残疾人福利性单位视同小型、微型企业；监狱企业视同小型、微型企业）。接受联合体的项目，供应商以联合体形式参加政府采购活动，联合体各方均为中小企业的，联合体视同中小企业。其中，联合体各方均为小微企业的，联合体视同小微企业。</w:t>
      </w:r>
    </w:p>
    <w:p>
      <w:pPr>
        <w:ind w:firstLine="420" w:firstLineChars="200"/>
      </w:pPr>
      <w:r>
        <w:rPr>
          <w:rFonts w:hint="eastAsia"/>
        </w:rPr>
        <w:t>备注：(a</w:t>
      </w:r>
      <w:r>
        <w:t>)</w:t>
      </w:r>
      <w:r>
        <w:rPr>
          <w:rFonts w:hint="eastAsia"/>
        </w:rPr>
        <w:t>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w:t>
      </w:r>
      <w:r>
        <w:t>b</w:t>
      </w:r>
      <w:r>
        <w:rPr>
          <w:rFonts w:hint="eastAsia" w:ascii="Calibri" w:hAnsi="Calibri"/>
          <w:szCs w:val="22"/>
        </w:rPr>
        <w:t>在货物采购项目中，货物由中小企业制造，即货物由中小企业生产且使用该中小企业商号或者注册商标</w:t>
      </w:r>
      <w:r>
        <w:rPr>
          <w:rFonts w:hint="eastAsia"/>
          <w:szCs w:val="22"/>
        </w:rPr>
        <w:t>（供应商提供的货物既有中小企业制造货物，也有大型企业制造货物的，不享受中小企业扶持政策）</w:t>
      </w:r>
      <w:r>
        <w:rPr>
          <w:rFonts w:hint="eastAsia" w:ascii="Calibri" w:hAnsi="Calibri"/>
          <w:szCs w:val="22"/>
        </w:rPr>
        <w:t>；在工程采购项目中，工程由中小企业承建，即工程施工单位为中小企业</w:t>
      </w:r>
      <w:r>
        <w:rPr>
          <w:rFonts w:hint="eastAsia"/>
          <w:szCs w:val="22"/>
        </w:rPr>
        <w:t>；在服务采购项目中，服务由中小企业承接，即提供服务的人员为中小企业依照《中华人民共和国劳动合同法》订立劳动合同的从业人员。</w:t>
      </w:r>
    </w:p>
    <w:p>
      <w:pPr>
        <w:ind w:firstLine="630" w:firstLineChars="300"/>
      </w:pPr>
      <w:r>
        <w:rPr>
          <w:rFonts w:hint="eastAsia"/>
        </w:rPr>
        <w:t>（2）预留份额专门面向中小企业采购的项目，不再执行价格扣除比例。</w:t>
      </w:r>
    </w:p>
    <w:p>
      <w:pPr>
        <w:ind w:firstLine="630" w:firstLineChars="300"/>
      </w:pPr>
      <w:r>
        <w:rPr>
          <w:rFonts w:hint="eastAsia"/>
        </w:rPr>
        <w:t>（3）未预留份额专门面向中小企业采购的项目，应执行价格扣除比例：供应商提供的服务</w:t>
      </w:r>
      <w:r>
        <w:rPr>
          <w:rFonts w:hint="eastAsia"/>
          <w:b/>
          <w:bCs/>
          <w:color w:val="FF0000"/>
        </w:rPr>
        <w:t>全部由小型、微型企业承接</w:t>
      </w:r>
      <w:r>
        <w:rPr>
          <w:rFonts w:hint="eastAsia"/>
        </w:rPr>
        <w:t>，则对其投标总价给予</w:t>
      </w:r>
      <w:r>
        <w:rPr>
          <w:b/>
          <w:bCs/>
          <w:color w:val="FF0000"/>
          <w:u w:val="single"/>
        </w:rPr>
        <w:t xml:space="preserve">  </w:t>
      </w:r>
      <w:r>
        <w:rPr>
          <w:rFonts w:hint="eastAsia"/>
          <w:b/>
          <w:bCs/>
          <w:color w:val="FF0000"/>
          <w:u w:val="single"/>
        </w:rPr>
        <w:t xml:space="preserve"> </w:t>
      </w:r>
      <w:r>
        <w:rPr>
          <w:rFonts w:hint="eastAsia"/>
          <w:b/>
          <w:bCs/>
          <w:color w:val="FF0000"/>
          <w:u w:val="single"/>
          <w:lang w:val="en-US" w:eastAsia="zh-CN"/>
        </w:rPr>
        <w:t>10</w:t>
      </w:r>
      <w:r>
        <w:rPr>
          <w:rFonts w:hint="eastAsia"/>
          <w:b/>
          <w:bCs/>
          <w:color w:val="FF0000"/>
          <w:u w:val="single"/>
        </w:rPr>
        <w:t xml:space="preserve">   </w:t>
      </w:r>
      <w:r>
        <w:rPr>
          <w:b/>
          <w:bCs/>
          <w:color w:val="FF0000"/>
        </w:rPr>
        <w:t>%</w:t>
      </w:r>
      <w:r>
        <w:rPr>
          <w:rFonts w:hint="eastAsia"/>
          <w:color w:val="000000" w:themeColor="text1"/>
          <w14:textFill>
            <w14:solidFill>
              <w14:schemeClr w14:val="tx1"/>
            </w14:solidFill>
          </w14:textFill>
        </w:rPr>
        <w:t>（10%~20%）</w:t>
      </w:r>
      <w:r>
        <w:rPr>
          <w:rFonts w:hint="eastAsia"/>
        </w:rPr>
        <w:t>的扣除，用扣除后的价格参与评审。</w:t>
      </w:r>
      <w:bookmarkStart w:id="34" w:name="_Hlk235714241"/>
      <w:r>
        <w:rPr>
          <w:rFonts w:hint="eastAsia"/>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b/>
          <w:bCs/>
          <w:color w:val="FF0000"/>
          <w:u w:val="single"/>
        </w:rPr>
        <w:t xml:space="preserve">  </w:t>
      </w:r>
      <w:r>
        <w:rPr>
          <w:rFonts w:hint="eastAsia"/>
          <w:b/>
          <w:bCs/>
          <w:color w:val="FF0000"/>
          <w:u w:val="single"/>
        </w:rPr>
        <w:t xml:space="preserve"> </w:t>
      </w:r>
      <w:r>
        <w:rPr>
          <w:rFonts w:hint="eastAsia"/>
          <w:b/>
          <w:bCs/>
          <w:color w:val="FF0000"/>
          <w:u w:val="single"/>
          <w:lang w:val="en-US" w:eastAsia="zh-CN"/>
        </w:rPr>
        <w:t>4</w:t>
      </w:r>
      <w:r>
        <w:rPr>
          <w:rFonts w:hint="eastAsia"/>
          <w:b/>
          <w:bCs/>
          <w:color w:val="FF0000"/>
          <w:u w:val="single"/>
        </w:rPr>
        <w:t xml:space="preserve">  </w:t>
      </w:r>
      <w:r>
        <w:rPr>
          <w:b/>
          <w:bCs/>
          <w:color w:val="FF0000"/>
        </w:rPr>
        <w:t>%</w:t>
      </w:r>
      <w:r>
        <w:rPr>
          <w:rFonts w:hint="eastAsia"/>
          <w:color w:val="000000" w:themeColor="text1"/>
          <w14:textFill>
            <w14:solidFill>
              <w14:schemeClr w14:val="tx1"/>
            </w14:solidFill>
          </w14:textFill>
        </w:rPr>
        <w:t>（</w:t>
      </w:r>
      <w:r>
        <w:rPr>
          <w:rFonts w:hint="eastAsia"/>
        </w:rPr>
        <w:t>4%</w:t>
      </w:r>
      <w:r>
        <w:rPr>
          <w:rFonts w:hint="eastAsia"/>
          <w:color w:val="000000" w:themeColor="text1"/>
          <w14:textFill>
            <w14:solidFill>
              <w14:schemeClr w14:val="tx1"/>
            </w14:solidFill>
          </w14:textFill>
        </w:rPr>
        <w:t>~</w:t>
      </w:r>
      <w:r>
        <w:rPr>
          <w:rFonts w:hint="eastAsia"/>
        </w:rPr>
        <w:t>6%</w:t>
      </w:r>
      <w:r>
        <w:rPr>
          <w:rFonts w:hint="eastAsia"/>
          <w:color w:val="000000" w:themeColor="text1"/>
          <w14:textFill>
            <w14:solidFill>
              <w14:schemeClr w14:val="tx1"/>
            </w14:solidFill>
          </w14:textFill>
        </w:rPr>
        <w:t>）</w:t>
      </w:r>
      <w:r>
        <w:rPr>
          <w:rFonts w:hint="eastAsia"/>
        </w:rPr>
        <w:t>的扣除，用扣除后的价格参加评审。</w:t>
      </w:r>
      <w:bookmarkEnd w:id="34"/>
    </w:p>
    <w:p>
      <w:pPr>
        <w:ind w:firstLine="630" w:firstLineChars="300"/>
      </w:pPr>
      <w:r>
        <w:rPr>
          <w:rFonts w:hint="eastAsia"/>
        </w:rPr>
        <w:t>（4）</w:t>
      </w:r>
      <w:r>
        <w:rPr>
          <w:rFonts w:hint="eastAsia" w:asciiTheme="minorEastAsia" w:hAnsiTheme="minorEastAsia" w:eastAsiaTheme="minorEastAsia" w:cstheme="minorEastAsia"/>
          <w:szCs w:val="21"/>
        </w:rPr>
        <w:t>中小企业参加政府采购活动，应当按照国务院批准的《中小企业划型标准规定》（工信部联企业〔2011〕300号）、《金融业企业划型标准规定》（银发〔2015〕309号）和《财政部 工业和信息化部关于印发〈政府采购促进中小企业发展管理办法〉的通知》（财库〔2020〕46号）的规定，出具《中小企业声明函》，</w:t>
      </w:r>
      <w:r>
        <w:rPr>
          <w:rFonts w:ascii="宋体" w:hAnsi="宋体" w:cs="宋体"/>
          <w:b/>
          <w:bCs/>
          <w:color w:val="FF0000"/>
          <w:szCs w:val="21"/>
        </w:rPr>
        <w:t>《中小企业声明函》中相关企业</w:t>
      </w:r>
      <w:r>
        <w:rPr>
          <w:rFonts w:hint="eastAsia" w:ascii="宋体" w:hAnsi="宋体" w:cs="宋体"/>
          <w:b/>
          <w:bCs/>
          <w:color w:val="FF0000"/>
          <w:szCs w:val="21"/>
        </w:rPr>
        <w:t>（服务承接商）</w:t>
      </w:r>
      <w:r>
        <w:rPr>
          <w:rFonts w:ascii="宋体" w:hAnsi="宋体" w:cs="宋体"/>
          <w:b/>
          <w:bCs/>
          <w:color w:val="FF0000"/>
          <w:szCs w:val="21"/>
        </w:rPr>
        <w:t>所属行业应当与采购标的所属行业相一致</w:t>
      </w:r>
      <w:r>
        <w:rPr>
          <w:rFonts w:hint="eastAsia"/>
          <w:b/>
          <w:bCs/>
          <w:color w:val="FF0000"/>
        </w:rPr>
        <w:t>，标的所属行业以招标文件第一册第三章用户需求书“服务需求明细”的“标的所属行业”一栏为准</w:t>
      </w:r>
      <w:r>
        <w:rPr>
          <w:rFonts w:ascii="宋体" w:hAnsi="宋体" w:cs="宋体"/>
          <w:b/>
          <w:bCs/>
          <w:color w:val="FF0000"/>
          <w:szCs w:val="21"/>
        </w:rPr>
        <w:t>。</w:t>
      </w:r>
    </w:p>
    <w:p>
      <w:pPr>
        <w:ind w:firstLine="630" w:firstLineChars="300"/>
      </w:pPr>
      <w:r>
        <w:rPr>
          <w:rFonts w:hint="eastAsia" w:asciiTheme="minorEastAsia" w:hAnsiTheme="minorEastAsia" w:eastAsiaTheme="minorEastAsia" w:cstheme="minorEastAsia"/>
          <w:szCs w:val="21"/>
        </w:rPr>
        <w:t>（5）中型企业、小型、微型企业为优惠主体的认定资料为《中小企业声明函》；残疾人福利性单位为优惠主体的认定资料为《残疾人福利性单</w:t>
      </w:r>
      <w:r>
        <w:rPr>
          <w:rFonts w:hint="eastAsia"/>
        </w:rPr>
        <w:t>位声明函》；监狱企业为优惠主体的认定资料为省级以上监狱管理局、戒毒管理局出具的监狱企业证明文件。声明函样式见本招标文件第一册专用条款“第四章  投标文件组成要求及格式”中“三、投标人情况及资格证明文件”章节提供的格式）。</w:t>
      </w:r>
    </w:p>
    <w:p>
      <w:pPr>
        <w:ind w:firstLine="630" w:firstLineChars="300"/>
        <w:rPr>
          <w:color w:val="FF0000"/>
        </w:rPr>
      </w:pPr>
      <w:r>
        <w:rPr>
          <w:rFonts w:hint="eastAsia"/>
        </w:rPr>
        <w:t>（6）依据《</w:t>
      </w:r>
      <w:r>
        <w:rPr>
          <w:rFonts w:hint="eastAsia" w:asciiTheme="minorEastAsia" w:hAnsiTheme="minorEastAsia" w:eastAsiaTheme="minorEastAsia" w:cstheme="minorEastAsia"/>
          <w:szCs w:val="21"/>
        </w:rPr>
        <w:t>政府采购促进中小企业发展管理办法》</w:t>
      </w:r>
      <w:r>
        <w:rPr>
          <w:rFonts w:hint="eastAsia"/>
        </w:rPr>
        <w:t>规定享受扶持政策获得政府采购合同的，小微企业不得将合同分包给大中型企业，中型企业不得将合同分包给大型企业。</w:t>
      </w:r>
    </w:p>
    <w:p>
      <w:pPr>
        <w:ind w:firstLine="421" w:firstLineChars="200"/>
        <w:rPr>
          <w:b/>
          <w:bCs/>
        </w:rPr>
      </w:pPr>
      <w:r>
        <w:rPr>
          <w:rFonts w:hint="eastAsia"/>
          <w:b/>
          <w:bCs/>
        </w:rPr>
        <w:t>2.关于享受对本国产品的政府采购支持政策的主体、价格扣除比例等事项的说明</w:t>
      </w:r>
    </w:p>
    <w:p>
      <w:pPr>
        <w:ind w:firstLine="420" w:firstLineChars="200"/>
      </w:pPr>
      <w:r>
        <w:rPr>
          <w:rFonts w:hint="eastAsia"/>
        </w:rPr>
        <w:t>（1）适用主体：国有企业、民营企业、外资企业等各类经营主体平等享受对本国产品的政府采购支持政策。</w:t>
      </w:r>
    </w:p>
    <w:p>
      <w:pPr>
        <w:pStyle w:val="194"/>
        <w:ind w:firstLine="420" w:firstLineChars="200"/>
        <w:rPr>
          <w:rFonts w:ascii="Times New Roman" w:hAnsi="Times New Roman"/>
          <w:szCs w:val="24"/>
        </w:rPr>
      </w:pPr>
      <w:r>
        <w:rPr>
          <w:rFonts w:hint="eastAsia" w:ascii="Times New Roman" w:hAnsi="Times New Roman"/>
          <w:szCs w:val="24"/>
        </w:rPr>
        <w:t>（2）适用范围：</w:t>
      </w:r>
      <w:r>
        <w:rPr>
          <w:rFonts w:hint="eastAsia"/>
        </w:rPr>
        <w:t>本项目不适用。</w:t>
      </w:r>
    </w:p>
    <w:p>
      <w:pPr>
        <w:pStyle w:val="194"/>
        <w:ind w:firstLine="420" w:firstLineChars="200"/>
        <w:rPr>
          <w:rFonts w:ascii="Times New Roman" w:hAnsi="Times New Roman"/>
          <w:szCs w:val="24"/>
        </w:rPr>
      </w:pPr>
      <w:r>
        <w:rPr>
          <w:rFonts w:hint="eastAsia" w:ascii="Times New Roman" w:hAnsi="Times New Roman"/>
          <w:szCs w:val="24"/>
        </w:rPr>
        <w:t>（3）价格扣除：政府采购活动中既有本国产品又有非本国产品参与竞争的，依法对本国产品给予价格评审优惠，</w:t>
      </w:r>
      <w:r>
        <w:rPr>
          <w:rFonts w:hint="eastAsia" w:ascii="Times New Roman" w:hAnsi="Times New Roman"/>
          <w:b/>
          <w:bCs/>
          <w:color w:val="FF0000"/>
          <w:szCs w:val="24"/>
        </w:rPr>
        <w:t>对本国产品的报价给予20%的价格扣除</w:t>
      </w:r>
      <w:r>
        <w:rPr>
          <w:rFonts w:hint="eastAsia" w:ascii="Times New Roman" w:hAnsi="Times New Roman"/>
          <w:color w:val="000000" w:themeColor="text1"/>
          <w:szCs w:val="24"/>
          <w14:textFill>
            <w14:solidFill>
              <w14:schemeClr w14:val="tx1"/>
            </w14:solidFill>
          </w14:textFill>
        </w:rPr>
        <w:t>，</w:t>
      </w:r>
      <w:r>
        <w:rPr>
          <w:rFonts w:hint="eastAsia" w:ascii="Times New Roman" w:hAnsi="Times New Roman"/>
          <w:szCs w:val="24"/>
        </w:rPr>
        <w:t>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w:t>
      </w:r>
      <w:r>
        <w:rPr>
          <w:rFonts w:hint="eastAsia" w:ascii="Times New Roman" w:hAnsi="Times New Roman"/>
          <w:b/>
          <w:bCs/>
          <w:color w:val="FF0000"/>
          <w:szCs w:val="24"/>
        </w:rPr>
        <w:t>总报价给予20%的价格扣除</w:t>
      </w:r>
      <w:r>
        <w:rPr>
          <w:rFonts w:hint="eastAsia" w:ascii="Times New Roman" w:hAnsi="Times New Roman"/>
          <w:szCs w:val="24"/>
        </w:rPr>
        <w:t>，用扣除后的价格参与评审。</w:t>
      </w:r>
    </w:p>
    <w:p>
      <w:pPr>
        <w:pStyle w:val="194"/>
        <w:ind w:firstLine="420" w:firstLineChars="200"/>
      </w:pPr>
      <w:r>
        <w:rPr>
          <w:rFonts w:hint="eastAsia" w:ascii="Times New Roman" w:hAnsi="Times New Roman"/>
          <w:szCs w:val="24"/>
        </w:rPr>
        <w:t>（4）供应商出具符合要求的《关于符合本国产品标准的声明函》或财政部会同有关部门规定的有关证明文件，该产品视为本国产品。</w:t>
      </w:r>
      <w:r>
        <w:rPr>
          <w:rFonts w:hint="eastAsia"/>
        </w:rPr>
        <w:t>声明函样式见本招标文件第一册专用条款“第四章  投标文件组成要求及格式”中“三、投标人情况及资格证明文件”章节提供的格式）。</w:t>
      </w:r>
    </w:p>
    <w:p>
      <w:pPr>
        <w:pStyle w:val="194"/>
        <w:ind w:firstLine="421" w:firstLineChars="200"/>
        <w:rPr>
          <w:b/>
          <w:bCs/>
        </w:rPr>
      </w:pPr>
      <w:r>
        <w:rPr>
          <w:rFonts w:hint="eastAsia"/>
          <w:b/>
          <w:bCs/>
        </w:rPr>
        <w:t>3.关于同时满足中小企业扶持政策和对本国产品的支持政策的事项说明</w:t>
      </w:r>
    </w:p>
    <w:p>
      <w:pPr>
        <w:pStyle w:val="194"/>
        <w:ind w:firstLine="421" w:firstLineChars="200"/>
        <w:rPr>
          <w:rFonts w:ascii="Times New Roman" w:hAnsi="Times New Roman"/>
          <w:szCs w:val="24"/>
        </w:rPr>
      </w:pPr>
      <w:r>
        <w:rPr>
          <w:rFonts w:hint="eastAsia" w:ascii="Times New Roman" w:hAnsi="Times New Roman"/>
          <w:b/>
          <w:bCs/>
          <w:color w:val="FF0000"/>
          <w:szCs w:val="24"/>
        </w:rPr>
        <w:t>本国产品政策实施后，政府采购活动中既有本国产品又有非本国产品参与竞争的，依法对本国产品给予价格评审优惠，对本国产品的报价给予20%的价格扣除</w:t>
      </w:r>
      <w:r>
        <w:rPr>
          <w:rFonts w:hint="eastAsia" w:ascii="Times New Roman" w:hAnsi="Times New Roman"/>
          <w:szCs w:val="24"/>
        </w:rPr>
        <w:t>，用扣除后的价格参与评审。</w:t>
      </w:r>
      <w:r>
        <w:rPr>
          <w:rFonts w:hint="eastAsia" w:ascii="Times New Roman" w:hAnsi="Times New Roman"/>
          <w:b/>
          <w:bCs/>
          <w:color w:val="FF0000"/>
          <w:szCs w:val="24"/>
        </w:rPr>
        <w:t>同时，若提供本国产品的供应商也符合政府采购支持中小企业政策，也按规定给与价格评审优惠。需要说明的是，相关价格评审扣除优惠，都应该在供应商报价基础上计算。</w:t>
      </w:r>
      <w:r>
        <w:rPr>
          <w:rFonts w:hint="eastAsia" w:ascii="Times New Roman" w:hAnsi="Times New Roman"/>
          <w:szCs w:val="24"/>
        </w:rPr>
        <w:t>例如：某一供应商的产品报价100元，其提供的产品符合本国产品标准，同时按照采购文件规定也享受对小微企业的10%的价格扣除优惠。则对其报价按规定进行两次扣除，用扣除后的价格参与评审。其参与评审的价格为100-100x20%-100x10%=70元。具体情形如下：</w:t>
      </w:r>
    </w:p>
    <w:p>
      <w:pPr>
        <w:pStyle w:val="194"/>
        <w:ind w:firstLine="420" w:firstLineChars="200"/>
        <w:rPr>
          <w:rFonts w:ascii="Times New Roman" w:hAnsi="Times New Roman"/>
          <w:szCs w:val="24"/>
        </w:rPr>
      </w:pPr>
      <w:r>
        <w:rPr>
          <w:rFonts w:hint="eastAsia" w:ascii="Times New Roman" w:hAnsi="Times New Roman"/>
          <w:szCs w:val="24"/>
        </w:rPr>
        <w:t>（1）预留份额专门面向中小企业采购的项目，不再享受小微企业价格扣除优惠。若供应商所投货物同时满足对本国产品的支持政策的规定，应享受该政策20%价格扣除优惠；</w:t>
      </w:r>
    </w:p>
    <w:p>
      <w:pPr>
        <w:pStyle w:val="194"/>
        <w:ind w:firstLine="420" w:firstLineChars="200"/>
        <w:rPr>
          <w:rFonts w:ascii="Times New Roman" w:hAnsi="Times New Roman"/>
          <w:szCs w:val="24"/>
        </w:rPr>
      </w:pPr>
      <w:r>
        <w:rPr>
          <w:rFonts w:hint="eastAsia" w:ascii="Times New Roman" w:hAnsi="Times New Roman"/>
          <w:szCs w:val="24"/>
        </w:rPr>
        <w:t>（2）未预留份额专门面向中小企业采购的项目，供应商同时满足小微企业和所投产品符合本国产品支持政策规定的，应同时对该供应商投标总报价给予多项价格扣除优惠，用扣除后的价格参与评审。</w:t>
      </w:r>
    </w:p>
    <w:p>
      <w:pPr>
        <w:pStyle w:val="194"/>
        <w:ind w:firstLine="421" w:firstLineChars="200"/>
        <w:rPr>
          <w:b/>
          <w:bCs/>
        </w:rPr>
      </w:pPr>
      <w:r>
        <w:rPr>
          <w:rFonts w:hint="eastAsia"/>
          <w:b/>
          <w:bCs/>
        </w:rPr>
        <w:t>4.</w:t>
      </w:r>
      <w:r>
        <w:rPr>
          <w:b/>
          <w:bCs/>
        </w:rPr>
        <w:t>上述支持政策不改变最终中标</w:t>
      </w:r>
      <w:r>
        <w:rPr>
          <w:rFonts w:hint="eastAsia"/>
          <w:b/>
          <w:bCs/>
        </w:rPr>
        <w:t>（</w:t>
      </w:r>
      <w:r>
        <w:rPr>
          <w:b/>
          <w:bCs/>
        </w:rPr>
        <w:t>成交</w:t>
      </w:r>
      <w:r>
        <w:rPr>
          <w:rFonts w:hint="eastAsia"/>
          <w:b/>
          <w:bCs/>
        </w:rPr>
        <w:t>）</w:t>
      </w:r>
      <w:r>
        <w:rPr>
          <w:b/>
          <w:bCs/>
        </w:rPr>
        <w:t>价格，政府采购合同仍按照中标</w:t>
      </w:r>
      <w:r>
        <w:rPr>
          <w:rFonts w:hint="eastAsia"/>
          <w:b/>
          <w:bCs/>
        </w:rPr>
        <w:t>（</w:t>
      </w:r>
      <w:r>
        <w:rPr>
          <w:b/>
          <w:bCs/>
        </w:rPr>
        <w:t>成交</w:t>
      </w:r>
      <w:r>
        <w:rPr>
          <w:rFonts w:hint="eastAsia"/>
          <w:b/>
          <w:bCs/>
        </w:rPr>
        <w:t>）</w:t>
      </w:r>
      <w:r>
        <w:rPr>
          <w:b/>
          <w:bCs/>
        </w:rPr>
        <w:t>供应商的报价签订。</w:t>
      </w:r>
    </w:p>
    <w:p>
      <w:pPr>
        <w:ind w:firstLine="421" w:firstLineChars="200"/>
        <w:rPr>
          <w:b/>
        </w:rPr>
      </w:pPr>
    </w:p>
    <w:p>
      <w:pPr>
        <w:ind w:firstLine="421" w:firstLineChars="200"/>
        <w:rPr>
          <w:b/>
          <w:bCs/>
        </w:rPr>
      </w:pPr>
      <w:r>
        <w:rPr>
          <w:rFonts w:hint="eastAsia"/>
          <w:b/>
        </w:rPr>
        <w:t>（三）代理服务费</w:t>
      </w:r>
    </w:p>
    <w:p>
      <w:pPr>
        <w:ind w:firstLine="421" w:firstLineChars="200"/>
        <w:rPr>
          <w:b/>
          <w:bCs/>
        </w:rPr>
      </w:pPr>
      <w:r>
        <w:rPr>
          <w:rFonts w:hint="eastAsia"/>
          <w:b/>
          <w:bCs/>
        </w:rPr>
        <w:t>本项目为代理服务项目，将向中标（成交）供应商收取代理服务费。</w:t>
      </w:r>
    </w:p>
    <w:p>
      <w:pPr>
        <w:ind w:firstLine="420" w:firstLineChars="200"/>
      </w:pPr>
      <w:r>
        <w:rPr>
          <w:rFonts w:hint="eastAsia"/>
        </w:rPr>
        <w:t>中标（成交）供应商应在中标（成交)结果公示结束之日的次日起7个工作日内向深圳公共资源交易中心（深圳交易集团有限公司</w:t>
      </w:r>
      <w:r>
        <w:rPr>
          <w:rFonts w:hint="eastAsia"/>
          <w:lang w:eastAsia="zh-CN"/>
        </w:rPr>
        <w:t>盐田</w:t>
      </w:r>
      <w:r>
        <w:rPr>
          <w:rFonts w:hint="eastAsia"/>
        </w:rPr>
        <w:t>分公司）交纳代理服务费。若因中标（成交）供应商交纳代理服务费所产生的时间影响到合同签订的，由中标（成交）供应商自行承担责任。代理服务费标准参照下列标准收取。</w:t>
      </w:r>
      <w:r>
        <w:rPr>
          <w:rFonts w:hint="eastAsia"/>
          <w:b/>
          <w:color w:val="FF0000"/>
        </w:rPr>
        <w:t>本项目类型为服务采购：</w:t>
      </w:r>
    </w:p>
    <w:p>
      <w:pPr>
        <w:ind w:firstLine="420" w:firstLineChars="200"/>
      </w:pPr>
      <w:r>
        <w:rPr>
          <w:rFonts w:hint="eastAsia"/>
        </w:rPr>
        <w:t>（1）代理服务费以《中标（成交）通知书》确定的中标（成交）金额作为计算基数，按差额定率累进法计算。</w:t>
      </w:r>
    </w:p>
    <w:p>
      <w:pPr>
        <w:ind w:firstLine="420" w:firstLineChars="200"/>
      </w:pPr>
      <w:r>
        <w:rPr>
          <w:rFonts w:hint="eastAsia"/>
        </w:rPr>
        <w:t>（2）中标（成交）金额的各部分费率如下表：</w:t>
      </w:r>
    </w:p>
    <w:tbl>
      <w:tblPr>
        <w:tblStyle w:val="4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5"/>
        <w:gridCol w:w="1799"/>
        <w:gridCol w:w="1799"/>
        <w:gridCol w:w="1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125" w:type="dxa"/>
            <w:vAlign w:val="center"/>
          </w:tcPr>
          <w:p>
            <w:pPr>
              <w:widowControl/>
              <w:spacing w:line="360" w:lineRule="auto"/>
              <w:jc w:val="center"/>
            </w:pPr>
            <w:r>
              <w:rPr>
                <w:rFonts w:hint="eastAsia"/>
              </w:rPr>
              <w:t>中标（成交）金额</w:t>
            </w:r>
          </w:p>
        </w:tc>
        <w:tc>
          <w:tcPr>
            <w:tcW w:w="1799" w:type="dxa"/>
            <w:vAlign w:val="center"/>
          </w:tcPr>
          <w:p>
            <w:pPr>
              <w:widowControl/>
              <w:spacing w:line="360" w:lineRule="auto"/>
              <w:jc w:val="center"/>
            </w:pPr>
            <w:r>
              <w:rPr>
                <w:rFonts w:hint="eastAsia"/>
              </w:rPr>
              <w:t>货物采购</w:t>
            </w:r>
          </w:p>
        </w:tc>
        <w:tc>
          <w:tcPr>
            <w:tcW w:w="1799" w:type="dxa"/>
            <w:vAlign w:val="center"/>
          </w:tcPr>
          <w:p>
            <w:pPr>
              <w:widowControl/>
              <w:spacing w:line="360" w:lineRule="auto"/>
              <w:jc w:val="center"/>
            </w:pPr>
            <w:r>
              <w:rPr>
                <w:rFonts w:hint="eastAsia"/>
              </w:rPr>
              <w:t>服务采购</w:t>
            </w:r>
          </w:p>
        </w:tc>
        <w:tc>
          <w:tcPr>
            <w:tcW w:w="1799" w:type="dxa"/>
            <w:vAlign w:val="center"/>
          </w:tcPr>
          <w:p>
            <w:pPr>
              <w:widowControl/>
              <w:spacing w:line="360" w:lineRule="auto"/>
              <w:jc w:val="center"/>
            </w:pPr>
            <w:r>
              <w:rPr>
                <w:rFonts w:hint="eastAsia"/>
              </w:rPr>
              <w:t>工程采购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100万元以下</w:t>
            </w:r>
          </w:p>
        </w:tc>
        <w:tc>
          <w:tcPr>
            <w:tcW w:w="1799" w:type="dxa"/>
            <w:vAlign w:val="center"/>
          </w:tcPr>
          <w:p>
            <w:pPr>
              <w:widowControl/>
              <w:spacing w:line="360" w:lineRule="auto"/>
              <w:jc w:val="center"/>
            </w:pPr>
            <w:r>
              <w:rPr>
                <w:rFonts w:hint="eastAsia"/>
              </w:rPr>
              <w:t>1.5%</w:t>
            </w:r>
          </w:p>
        </w:tc>
        <w:tc>
          <w:tcPr>
            <w:tcW w:w="1799" w:type="dxa"/>
            <w:vAlign w:val="center"/>
          </w:tcPr>
          <w:p>
            <w:pPr>
              <w:widowControl/>
              <w:spacing w:line="360" w:lineRule="auto"/>
              <w:jc w:val="center"/>
            </w:pPr>
            <w:r>
              <w:rPr>
                <w:rFonts w:hint="eastAsia"/>
              </w:rPr>
              <w:t>1.5%</w:t>
            </w:r>
          </w:p>
        </w:tc>
        <w:tc>
          <w:tcPr>
            <w:tcW w:w="1799" w:type="dxa"/>
            <w:vAlign w:val="center"/>
          </w:tcPr>
          <w:p>
            <w:pPr>
              <w:widowControl/>
              <w:spacing w:line="360" w:lineRule="auto"/>
              <w:jc w:val="center"/>
            </w:pP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100万元（含）-500万元</w:t>
            </w:r>
          </w:p>
        </w:tc>
        <w:tc>
          <w:tcPr>
            <w:tcW w:w="1799" w:type="dxa"/>
            <w:vAlign w:val="center"/>
          </w:tcPr>
          <w:p>
            <w:pPr>
              <w:widowControl/>
              <w:spacing w:line="360" w:lineRule="auto"/>
              <w:jc w:val="center"/>
            </w:pPr>
            <w:r>
              <w:rPr>
                <w:rFonts w:hint="eastAsia"/>
              </w:rPr>
              <w:t>1.1%</w:t>
            </w:r>
          </w:p>
        </w:tc>
        <w:tc>
          <w:tcPr>
            <w:tcW w:w="1799" w:type="dxa"/>
            <w:vAlign w:val="center"/>
          </w:tcPr>
          <w:p>
            <w:pPr>
              <w:widowControl/>
              <w:spacing w:line="360" w:lineRule="auto"/>
              <w:jc w:val="center"/>
            </w:pPr>
            <w:r>
              <w:rPr>
                <w:rFonts w:hint="eastAsia"/>
              </w:rPr>
              <w:t>0.8%</w:t>
            </w:r>
          </w:p>
        </w:tc>
        <w:tc>
          <w:tcPr>
            <w:tcW w:w="1799" w:type="dxa"/>
            <w:vAlign w:val="center"/>
          </w:tcPr>
          <w:p>
            <w:pPr>
              <w:widowControl/>
              <w:spacing w:line="360" w:lineRule="auto"/>
              <w:jc w:val="center"/>
            </w:pPr>
            <w:r>
              <w:rPr>
                <w:rFonts w:hint="eastAsia"/>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500万元（含）-1000万元</w:t>
            </w:r>
          </w:p>
        </w:tc>
        <w:tc>
          <w:tcPr>
            <w:tcW w:w="1799" w:type="dxa"/>
            <w:vAlign w:val="center"/>
          </w:tcPr>
          <w:p>
            <w:pPr>
              <w:widowControl/>
              <w:spacing w:line="360" w:lineRule="auto"/>
              <w:jc w:val="center"/>
            </w:pPr>
            <w:r>
              <w:rPr>
                <w:rFonts w:hint="eastAsia"/>
              </w:rPr>
              <w:t>0.8%</w:t>
            </w:r>
          </w:p>
        </w:tc>
        <w:tc>
          <w:tcPr>
            <w:tcW w:w="1799" w:type="dxa"/>
            <w:vAlign w:val="center"/>
          </w:tcPr>
          <w:p>
            <w:pPr>
              <w:widowControl/>
              <w:spacing w:line="360" w:lineRule="auto"/>
              <w:jc w:val="center"/>
            </w:pPr>
            <w:r>
              <w:rPr>
                <w:rFonts w:hint="eastAsia"/>
              </w:rPr>
              <w:t>0.45%</w:t>
            </w:r>
          </w:p>
        </w:tc>
        <w:tc>
          <w:tcPr>
            <w:tcW w:w="1799" w:type="dxa"/>
            <w:vAlign w:val="center"/>
          </w:tcPr>
          <w:p>
            <w:pPr>
              <w:widowControl/>
              <w:spacing w:line="360" w:lineRule="auto"/>
              <w:jc w:val="center"/>
            </w:pPr>
            <w:r>
              <w:rPr>
                <w:rFonts w:hint="eastAsia"/>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1000万元（含）-5000万元</w:t>
            </w:r>
          </w:p>
        </w:tc>
        <w:tc>
          <w:tcPr>
            <w:tcW w:w="1799" w:type="dxa"/>
            <w:vAlign w:val="center"/>
          </w:tcPr>
          <w:p>
            <w:pPr>
              <w:widowControl/>
              <w:spacing w:line="360" w:lineRule="auto"/>
              <w:jc w:val="center"/>
            </w:pPr>
            <w:r>
              <w:rPr>
                <w:rFonts w:hint="eastAsia"/>
              </w:rPr>
              <w:t>0.5%</w:t>
            </w:r>
          </w:p>
        </w:tc>
        <w:tc>
          <w:tcPr>
            <w:tcW w:w="1799" w:type="dxa"/>
            <w:vAlign w:val="center"/>
          </w:tcPr>
          <w:p>
            <w:pPr>
              <w:widowControl/>
              <w:spacing w:line="360" w:lineRule="auto"/>
              <w:jc w:val="center"/>
            </w:pPr>
            <w:r>
              <w:rPr>
                <w:rFonts w:hint="eastAsia"/>
              </w:rPr>
              <w:t>0.25%</w:t>
            </w:r>
          </w:p>
        </w:tc>
        <w:tc>
          <w:tcPr>
            <w:tcW w:w="1799" w:type="dxa"/>
            <w:vAlign w:val="center"/>
          </w:tcPr>
          <w:p>
            <w:pPr>
              <w:widowControl/>
              <w:spacing w:line="360" w:lineRule="auto"/>
              <w:jc w:val="center"/>
            </w:pPr>
            <w:r>
              <w:rPr>
                <w:rFonts w:hint="eastAsia"/>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5000万元（含）-1亿元</w:t>
            </w:r>
          </w:p>
        </w:tc>
        <w:tc>
          <w:tcPr>
            <w:tcW w:w="1799" w:type="dxa"/>
            <w:vAlign w:val="center"/>
          </w:tcPr>
          <w:p>
            <w:pPr>
              <w:widowControl/>
              <w:spacing w:line="360" w:lineRule="auto"/>
              <w:jc w:val="center"/>
            </w:pPr>
            <w:r>
              <w:rPr>
                <w:rFonts w:hint="eastAsia"/>
              </w:rPr>
              <w:t>0.25%</w:t>
            </w:r>
          </w:p>
        </w:tc>
        <w:tc>
          <w:tcPr>
            <w:tcW w:w="1799" w:type="dxa"/>
            <w:vAlign w:val="center"/>
          </w:tcPr>
          <w:p>
            <w:pPr>
              <w:widowControl/>
              <w:spacing w:line="360" w:lineRule="auto"/>
              <w:jc w:val="center"/>
            </w:pPr>
            <w:r>
              <w:rPr>
                <w:rFonts w:hint="eastAsia"/>
              </w:rPr>
              <w:t>0.1%</w:t>
            </w:r>
          </w:p>
        </w:tc>
        <w:tc>
          <w:tcPr>
            <w:tcW w:w="1799" w:type="dxa"/>
            <w:vAlign w:val="center"/>
          </w:tcPr>
          <w:p>
            <w:pPr>
              <w:widowControl/>
              <w:spacing w:line="360" w:lineRule="auto"/>
              <w:jc w:val="center"/>
            </w:pPr>
            <w:r>
              <w:rPr>
                <w:rFonts w:hint="eastAsia"/>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1亿元（含）-5亿元</w:t>
            </w:r>
          </w:p>
        </w:tc>
        <w:tc>
          <w:tcPr>
            <w:tcW w:w="1799" w:type="dxa"/>
            <w:vAlign w:val="center"/>
          </w:tcPr>
          <w:p>
            <w:pPr>
              <w:widowControl/>
              <w:spacing w:line="360" w:lineRule="auto"/>
              <w:jc w:val="center"/>
            </w:pPr>
            <w:r>
              <w:rPr>
                <w:rFonts w:hint="eastAsia"/>
              </w:rPr>
              <w:t>0.05%</w:t>
            </w:r>
          </w:p>
        </w:tc>
        <w:tc>
          <w:tcPr>
            <w:tcW w:w="1799" w:type="dxa"/>
            <w:vAlign w:val="center"/>
          </w:tcPr>
          <w:p>
            <w:pPr>
              <w:widowControl/>
              <w:spacing w:line="360" w:lineRule="auto"/>
              <w:jc w:val="center"/>
            </w:pPr>
            <w:r>
              <w:rPr>
                <w:rFonts w:hint="eastAsia"/>
              </w:rPr>
              <w:t>0.05%</w:t>
            </w:r>
          </w:p>
        </w:tc>
        <w:tc>
          <w:tcPr>
            <w:tcW w:w="1799" w:type="dxa"/>
            <w:vAlign w:val="center"/>
          </w:tcPr>
          <w:p>
            <w:pPr>
              <w:widowControl/>
              <w:spacing w:line="360" w:lineRule="auto"/>
              <w:jc w:val="center"/>
            </w:pPr>
            <w:r>
              <w:rPr>
                <w:rFonts w:hint="eastAsia"/>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5亿元（含）-10亿元</w:t>
            </w:r>
          </w:p>
        </w:tc>
        <w:tc>
          <w:tcPr>
            <w:tcW w:w="1799" w:type="dxa"/>
            <w:vAlign w:val="center"/>
          </w:tcPr>
          <w:p>
            <w:pPr>
              <w:widowControl/>
              <w:spacing w:line="360" w:lineRule="auto"/>
              <w:jc w:val="center"/>
            </w:pPr>
            <w:r>
              <w:rPr>
                <w:rFonts w:hint="eastAsia"/>
              </w:rPr>
              <w:t>0.035%</w:t>
            </w:r>
          </w:p>
        </w:tc>
        <w:tc>
          <w:tcPr>
            <w:tcW w:w="1799" w:type="dxa"/>
            <w:vAlign w:val="center"/>
          </w:tcPr>
          <w:p>
            <w:pPr>
              <w:widowControl/>
              <w:spacing w:line="360" w:lineRule="auto"/>
              <w:jc w:val="center"/>
            </w:pPr>
            <w:r>
              <w:rPr>
                <w:rFonts w:hint="eastAsia"/>
              </w:rPr>
              <w:t>0.035%</w:t>
            </w:r>
          </w:p>
        </w:tc>
        <w:tc>
          <w:tcPr>
            <w:tcW w:w="1799" w:type="dxa"/>
            <w:vAlign w:val="center"/>
          </w:tcPr>
          <w:p>
            <w:pPr>
              <w:widowControl/>
              <w:spacing w:line="360" w:lineRule="auto"/>
              <w:jc w:val="center"/>
            </w:pPr>
            <w:r>
              <w:rPr>
                <w:rFonts w:hint="eastAsia"/>
              </w:rPr>
              <w:t>0.035%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25" w:type="dxa"/>
            <w:vAlign w:val="center"/>
          </w:tcPr>
          <w:p>
            <w:pPr>
              <w:widowControl/>
              <w:spacing w:line="360" w:lineRule="auto"/>
              <w:jc w:val="center"/>
            </w:pPr>
            <w:r>
              <w:rPr>
                <w:rFonts w:hint="eastAsia"/>
              </w:rPr>
              <w:t>10亿元（含）-50亿元</w:t>
            </w:r>
          </w:p>
        </w:tc>
        <w:tc>
          <w:tcPr>
            <w:tcW w:w="1799" w:type="dxa"/>
            <w:vAlign w:val="center"/>
          </w:tcPr>
          <w:p>
            <w:pPr>
              <w:widowControl/>
              <w:spacing w:line="360" w:lineRule="auto"/>
              <w:jc w:val="center"/>
            </w:pPr>
            <w:r>
              <w:rPr>
                <w:rFonts w:hint="eastAsia"/>
              </w:rPr>
              <w:t>0.008%</w:t>
            </w:r>
          </w:p>
        </w:tc>
        <w:tc>
          <w:tcPr>
            <w:tcW w:w="1799" w:type="dxa"/>
            <w:vAlign w:val="center"/>
          </w:tcPr>
          <w:p>
            <w:pPr>
              <w:widowControl/>
              <w:spacing w:line="360" w:lineRule="auto"/>
              <w:jc w:val="center"/>
            </w:pPr>
            <w:r>
              <w:rPr>
                <w:rFonts w:hint="eastAsia"/>
              </w:rPr>
              <w:t>0.008%</w:t>
            </w:r>
          </w:p>
        </w:tc>
        <w:tc>
          <w:tcPr>
            <w:tcW w:w="1799" w:type="dxa"/>
            <w:vAlign w:val="center"/>
          </w:tcPr>
          <w:p>
            <w:pPr>
              <w:widowControl/>
              <w:spacing w:line="360" w:lineRule="auto"/>
              <w:jc w:val="center"/>
            </w:pPr>
            <w:r>
              <w:rPr>
                <w:rFonts w:hint="eastAsia"/>
              </w:rPr>
              <w:t>0.008%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50亿元（含）-100亿元</w:t>
            </w:r>
          </w:p>
        </w:tc>
        <w:tc>
          <w:tcPr>
            <w:tcW w:w="1799" w:type="dxa"/>
            <w:vAlign w:val="center"/>
          </w:tcPr>
          <w:p>
            <w:pPr>
              <w:widowControl/>
              <w:spacing w:line="360" w:lineRule="auto"/>
              <w:jc w:val="center"/>
            </w:pPr>
            <w:r>
              <w:rPr>
                <w:rFonts w:hint="eastAsia"/>
              </w:rPr>
              <w:t>0.006%</w:t>
            </w:r>
          </w:p>
        </w:tc>
        <w:tc>
          <w:tcPr>
            <w:tcW w:w="1799" w:type="dxa"/>
            <w:vAlign w:val="center"/>
          </w:tcPr>
          <w:p>
            <w:pPr>
              <w:widowControl/>
              <w:spacing w:line="360" w:lineRule="auto"/>
              <w:jc w:val="center"/>
            </w:pPr>
            <w:r>
              <w:rPr>
                <w:rFonts w:hint="eastAsia"/>
              </w:rPr>
              <w:t>0.006%</w:t>
            </w:r>
          </w:p>
        </w:tc>
        <w:tc>
          <w:tcPr>
            <w:tcW w:w="1799" w:type="dxa"/>
            <w:vAlign w:val="center"/>
          </w:tcPr>
          <w:p>
            <w:pPr>
              <w:widowControl/>
              <w:spacing w:line="360" w:lineRule="auto"/>
              <w:jc w:val="center"/>
            </w:pPr>
            <w:r>
              <w:rPr>
                <w:rFonts w:hint="eastAsia"/>
              </w:rPr>
              <w:t>0.006%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100亿元（含）以上</w:t>
            </w:r>
          </w:p>
        </w:tc>
        <w:tc>
          <w:tcPr>
            <w:tcW w:w="1799" w:type="dxa"/>
            <w:vAlign w:val="center"/>
          </w:tcPr>
          <w:p>
            <w:pPr>
              <w:widowControl/>
              <w:spacing w:line="360" w:lineRule="auto"/>
              <w:jc w:val="center"/>
            </w:pPr>
            <w:r>
              <w:rPr>
                <w:rFonts w:hint="eastAsia"/>
              </w:rPr>
              <w:t>0.004%</w:t>
            </w:r>
          </w:p>
        </w:tc>
        <w:tc>
          <w:tcPr>
            <w:tcW w:w="1799" w:type="dxa"/>
            <w:vAlign w:val="center"/>
          </w:tcPr>
          <w:p>
            <w:pPr>
              <w:widowControl/>
              <w:spacing w:line="360" w:lineRule="auto"/>
              <w:jc w:val="center"/>
            </w:pPr>
            <w:r>
              <w:rPr>
                <w:rFonts w:hint="eastAsia"/>
              </w:rPr>
              <w:t>0.004%</w:t>
            </w:r>
          </w:p>
        </w:tc>
        <w:tc>
          <w:tcPr>
            <w:tcW w:w="1799" w:type="dxa"/>
            <w:vAlign w:val="center"/>
          </w:tcPr>
          <w:p>
            <w:pPr>
              <w:widowControl/>
              <w:spacing w:line="360" w:lineRule="auto"/>
              <w:jc w:val="center"/>
            </w:pPr>
            <w:r>
              <w:rPr>
                <w:rFonts w:hint="eastAsia"/>
              </w:rPr>
              <w:t>0.004%</w:t>
            </w:r>
          </w:p>
        </w:tc>
      </w:tr>
    </w:tbl>
    <w:p>
      <w:pPr>
        <w:ind w:firstLine="420" w:firstLineChars="200"/>
      </w:pPr>
      <w:r>
        <w:rPr>
          <w:rFonts w:hint="eastAsia"/>
        </w:rPr>
        <w:t>备注：1.每宗交易代理服务费不低于 5000 元；</w:t>
      </w:r>
    </w:p>
    <w:p>
      <w:pPr>
        <w:ind w:firstLine="420" w:firstLineChars="200"/>
      </w:pPr>
      <w:r>
        <w:rPr>
          <w:rFonts w:hint="eastAsia"/>
        </w:rPr>
        <w:t>2.对于报总价的采购类项目，中标（成交）价为中标（成交）金额；对于报单价、折扣或费率的采购类项目，中标（成交）价为预算上限金额或经委托方与代理方确定的支付上限金额；</w:t>
      </w:r>
    </w:p>
    <w:p>
      <w:pPr>
        <w:ind w:firstLine="420" w:firstLineChars="200"/>
      </w:pPr>
      <w:r>
        <w:rPr>
          <w:rFonts w:hint="eastAsia"/>
        </w:rPr>
        <w:t>如某服务采购项目，中标（成交）金额为600万元，总共交纳的代理服务费的具体计算过程如下：</w:t>
      </w:r>
    </w:p>
    <w:p>
      <w:pPr>
        <w:ind w:firstLine="420" w:firstLineChars="200"/>
      </w:pPr>
      <w:r>
        <w:rPr>
          <w:rFonts w:hint="eastAsia"/>
        </w:rPr>
        <w:t>标准代理服务费＝（100万元以下部分的代理服务费）+（100万～500万元部分的代理服务费）+（500万～600万元部分的代理服务费）＝100万元×1.5%+（500-100）万元×0.8%+（600-500）万元×0.45%=1.5万元+3.2万元+0.45万元＝5.15万元</w:t>
      </w:r>
    </w:p>
    <w:p>
      <w:pPr>
        <w:ind w:firstLine="420" w:firstLineChars="200"/>
      </w:pPr>
      <w:r>
        <w:rPr>
          <w:rFonts w:hint="eastAsia"/>
        </w:rPr>
        <w:t>（3）中标（成交）供应商中标（成交）后，必须按规定采用银行对公转账方式向深圳交易集团有限公司直接交纳代理服务费，交纳信息及要求按照缴款（付款）通知书执行。</w:t>
      </w:r>
    </w:p>
    <w:p>
      <w:pPr>
        <w:pStyle w:val="3"/>
        <w:rPr>
          <w:b/>
        </w:rPr>
      </w:pPr>
    </w:p>
    <w:p>
      <w:pPr>
        <w:rPr>
          <w:b/>
        </w:rPr>
        <w:sectPr>
          <w:pgSz w:w="11907" w:h="16840"/>
          <w:pgMar w:top="1440" w:right="1797" w:bottom="1440" w:left="1797" w:header="851" w:footer="992" w:gutter="0"/>
          <w:cols w:space="425" w:num="1"/>
          <w:titlePg/>
          <w:docGrid w:linePitch="462" w:charSpace="0"/>
        </w:sectPr>
      </w:pPr>
    </w:p>
    <w:p>
      <w:pPr>
        <w:pStyle w:val="7"/>
        <w:rPr>
          <w:sz w:val="28"/>
          <w:szCs w:val="28"/>
        </w:rPr>
      </w:pPr>
      <w:bookmarkStart w:id="35" w:name="_Toc128884461"/>
      <w:r>
        <w:rPr>
          <w:rFonts w:hint="eastAsia"/>
          <w:sz w:val="28"/>
          <w:szCs w:val="28"/>
        </w:rPr>
        <w:t>第三章 用户需求书</w:t>
      </w:r>
    </w:p>
    <w:p>
      <w:pPr>
        <w:pStyle w:val="7"/>
        <w:spacing w:before="120" w:beforeLines="50" w:after="120" w:afterLines="50"/>
        <w:rPr>
          <w:szCs w:val="24"/>
        </w:rPr>
      </w:pPr>
      <w:r>
        <w:rPr>
          <w:rFonts w:hint="eastAsia"/>
          <w:szCs w:val="24"/>
        </w:rPr>
        <w:t>一、项目基本信息</w:t>
      </w:r>
    </w:p>
    <w:p>
      <w:pPr>
        <w:rPr>
          <w:rFonts w:ascii="宋体" w:hAnsi="宋体"/>
          <w:b/>
          <w:color w:val="FF0000"/>
          <w:szCs w:val="21"/>
        </w:rPr>
      </w:pPr>
    </w:p>
    <w:tbl>
      <w:tblPr>
        <w:tblStyle w:val="44"/>
        <w:tblpPr w:leftFromText="180" w:rightFromText="180" w:vertAnchor="text" w:horzAnchor="margin" w:tblpY="17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014"/>
        <w:gridCol w:w="2450"/>
        <w:gridCol w:w="1818"/>
        <w:gridCol w:w="1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249" w:type="pct"/>
            <w:vAlign w:val="center"/>
          </w:tcPr>
          <w:p>
            <w:pPr>
              <w:jc w:val="center"/>
              <w:rPr>
                <w:bCs/>
                <w:szCs w:val="21"/>
              </w:rPr>
            </w:pPr>
            <w:r>
              <w:rPr>
                <w:rFonts w:hint="eastAsia"/>
                <w:bCs/>
                <w:szCs w:val="21"/>
              </w:rPr>
              <w:t>序号</w:t>
            </w:r>
          </w:p>
        </w:tc>
        <w:tc>
          <w:tcPr>
            <w:tcW w:w="1181" w:type="pct"/>
            <w:vAlign w:val="center"/>
          </w:tcPr>
          <w:p>
            <w:pPr>
              <w:jc w:val="center"/>
              <w:rPr>
                <w:bCs/>
                <w:szCs w:val="21"/>
              </w:rPr>
            </w:pPr>
            <w:r>
              <w:rPr>
                <w:rFonts w:hint="eastAsia"/>
                <w:szCs w:val="21"/>
              </w:rPr>
              <w:t>采购计划编号</w:t>
            </w:r>
          </w:p>
        </w:tc>
        <w:tc>
          <w:tcPr>
            <w:tcW w:w="1436" w:type="pct"/>
            <w:vAlign w:val="center"/>
          </w:tcPr>
          <w:p>
            <w:pPr>
              <w:jc w:val="center"/>
              <w:rPr>
                <w:bCs/>
                <w:szCs w:val="21"/>
              </w:rPr>
            </w:pPr>
            <w:r>
              <w:rPr>
                <w:rFonts w:hint="eastAsia"/>
                <w:bCs/>
                <w:szCs w:val="21"/>
              </w:rPr>
              <w:t>采购项目名称</w:t>
            </w:r>
          </w:p>
        </w:tc>
        <w:tc>
          <w:tcPr>
            <w:tcW w:w="1066" w:type="pct"/>
            <w:vAlign w:val="center"/>
          </w:tcPr>
          <w:p>
            <w:pPr>
              <w:jc w:val="center"/>
              <w:rPr>
                <w:b/>
                <w:bCs/>
                <w:color w:val="FF0000"/>
                <w:szCs w:val="21"/>
              </w:rPr>
            </w:pPr>
            <w:r>
              <w:rPr>
                <w:rFonts w:hint="eastAsia"/>
                <w:b/>
                <w:bCs/>
                <w:color w:val="FF0000"/>
                <w:szCs w:val="21"/>
              </w:rPr>
              <w:t>预算金额（元）</w:t>
            </w:r>
          </w:p>
        </w:tc>
        <w:tc>
          <w:tcPr>
            <w:tcW w:w="1066" w:type="pct"/>
            <w:vAlign w:val="center"/>
          </w:tcPr>
          <w:p>
            <w:pPr>
              <w:jc w:val="center"/>
              <w:rPr>
                <w:b/>
                <w:bCs/>
                <w:color w:val="FF0000"/>
                <w:szCs w:val="21"/>
              </w:rPr>
            </w:pPr>
            <w:r>
              <w:rPr>
                <w:rFonts w:hint="eastAsia"/>
                <w:b/>
                <w:bCs/>
                <w:color w:val="FF0000"/>
                <w:szCs w:val="21"/>
              </w:rPr>
              <w:t>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249" w:type="pct"/>
            <w:vAlign w:val="center"/>
          </w:tcPr>
          <w:p>
            <w:pPr>
              <w:jc w:val="center"/>
              <w:rPr>
                <w:bCs/>
                <w:color w:val="FF0000"/>
                <w:szCs w:val="21"/>
              </w:rPr>
            </w:pPr>
            <w:r>
              <w:rPr>
                <w:rFonts w:hint="eastAsia"/>
                <w:bCs/>
                <w:color w:val="FF0000"/>
                <w:szCs w:val="21"/>
              </w:rPr>
              <w:t>1</w:t>
            </w:r>
          </w:p>
        </w:tc>
        <w:tc>
          <w:tcPr>
            <w:tcW w:w="1181" w:type="pct"/>
            <w:vAlign w:val="center"/>
          </w:tcPr>
          <w:p>
            <w:pPr>
              <w:jc w:val="center"/>
              <w:rPr>
                <w:bCs/>
                <w:color w:val="FF0000"/>
                <w:szCs w:val="21"/>
              </w:rPr>
            </w:pPr>
            <w:r>
              <w:rPr>
                <w:rFonts w:hint="eastAsia"/>
                <w:bCs/>
                <w:color w:val="FF0000"/>
                <w:szCs w:val="21"/>
              </w:rPr>
              <w:t>PLAN-</w:t>
            </w:r>
            <w:r>
              <w:rPr>
                <w:bCs/>
                <w:color w:val="FF0000"/>
                <w:szCs w:val="21"/>
              </w:rPr>
              <w:t>******</w:t>
            </w:r>
          </w:p>
        </w:tc>
        <w:tc>
          <w:tcPr>
            <w:tcW w:w="1436" w:type="pct"/>
            <w:vAlign w:val="center"/>
          </w:tcPr>
          <w:p>
            <w:pPr>
              <w:jc w:val="center"/>
              <w:rPr>
                <w:b/>
                <w:bCs/>
                <w:color w:val="FF0000"/>
                <w:szCs w:val="21"/>
              </w:rPr>
            </w:pPr>
            <w:r>
              <w:rPr>
                <w:rFonts w:hint="eastAsia"/>
                <w:b/>
                <w:bCs/>
                <w:color w:val="FF0000"/>
                <w:szCs w:val="21"/>
              </w:rPr>
              <w:t>2026年度盐田区海山街道环卫一体化（城市管家）服务项目</w:t>
            </w:r>
          </w:p>
        </w:tc>
        <w:tc>
          <w:tcPr>
            <w:tcW w:w="1066" w:type="pct"/>
            <w:vAlign w:val="center"/>
          </w:tcPr>
          <w:p>
            <w:pPr>
              <w:jc w:val="center"/>
              <w:rPr>
                <w:bCs/>
                <w:color w:val="FF0000"/>
                <w:szCs w:val="21"/>
              </w:rPr>
            </w:pPr>
            <w:r>
              <w:rPr>
                <w:rFonts w:hint="eastAsia"/>
                <w:bCs/>
                <w:color w:val="FF0000"/>
                <w:szCs w:val="21"/>
              </w:rPr>
              <w:t>17351841.86</w:t>
            </w:r>
          </w:p>
        </w:tc>
        <w:tc>
          <w:tcPr>
            <w:tcW w:w="1066" w:type="pct"/>
            <w:vAlign w:val="center"/>
          </w:tcPr>
          <w:p>
            <w:pPr>
              <w:jc w:val="center"/>
              <w:rPr>
                <w:bCs/>
                <w:color w:val="FF0000"/>
                <w:szCs w:val="21"/>
              </w:rPr>
            </w:pPr>
            <w:r>
              <w:rPr>
                <w:rFonts w:hint="eastAsia"/>
                <w:bCs/>
                <w:color w:val="FF0000"/>
                <w:szCs w:val="21"/>
              </w:rPr>
              <w:t>17351841.86</w:t>
            </w:r>
          </w:p>
        </w:tc>
      </w:tr>
    </w:tbl>
    <w:p>
      <w:pPr>
        <w:ind w:firstLine="421" w:firstLineChars="200"/>
        <w:rPr>
          <w:rFonts w:ascii="宋体" w:hAnsi="宋体"/>
          <w:b/>
          <w:snapToGrid w:val="0"/>
          <w:color w:val="FF0000"/>
          <w:kern w:val="0"/>
        </w:rPr>
      </w:pPr>
      <w:r>
        <w:rPr>
          <w:rFonts w:hint="eastAsia" w:ascii="宋体" w:hAnsi="宋体"/>
          <w:b/>
          <w:snapToGrid w:val="0"/>
          <w:color w:val="FF0000"/>
          <w:kern w:val="0"/>
        </w:rPr>
        <w:t>本项目在财政预算金额下设定最高限价，如投标人的投标报价超过此最高限价，将按照符合性审查要求作投标无效处理。</w:t>
      </w:r>
    </w:p>
    <w:p>
      <w:pPr>
        <w:rPr>
          <w:rFonts w:ascii="宋体" w:hAnsi="宋体"/>
          <w:b/>
          <w:color w:val="FF0000"/>
          <w:szCs w:val="21"/>
        </w:rPr>
      </w:pPr>
    </w:p>
    <w:p>
      <w:pPr>
        <w:pStyle w:val="7"/>
        <w:spacing w:before="120" w:beforeLines="50" w:after="120" w:afterLines="50"/>
        <w:rPr>
          <w:szCs w:val="24"/>
        </w:rPr>
      </w:pPr>
      <w:bookmarkStart w:id="36" w:name="_Hlk235549799"/>
      <w:r>
        <w:rPr>
          <w:rFonts w:hint="eastAsia"/>
          <w:szCs w:val="24"/>
        </w:rPr>
        <w:t>二、项目概况</w:t>
      </w:r>
    </w:p>
    <w:bookmarkEnd w:id="36"/>
    <w:p>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（一）采购人：</w:t>
      </w:r>
      <w:r>
        <w:rPr>
          <w:rFonts w:hint="eastAsia" w:ascii="宋体" w:hAnsi="宋体"/>
          <w:color w:val="000000" w:themeColor="text1"/>
          <w:szCs w:val="21"/>
          <w:highlight w:val="none"/>
          <w:u w:val="single"/>
          <w14:textFill>
            <w14:solidFill>
              <w14:schemeClr w14:val="tx1"/>
            </w14:solidFill>
          </w14:textFill>
        </w:rPr>
        <w:t>深圳市盐田区城市管理和综合执法局</w:t>
      </w:r>
    </w:p>
    <w:p>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（二）项目基本信息：</w:t>
      </w:r>
    </w:p>
    <w:p>
      <w:pPr>
        <w:spacing w:line="360" w:lineRule="exact"/>
        <w:rPr>
          <w:rFonts w:ascii="宋体" w:hAnsi="宋体"/>
          <w:snapToGrid w:val="0"/>
          <w:color w:val="000000" w:themeColor="text1"/>
          <w:kern w:val="0"/>
          <w:highlight w:val="none"/>
          <w14:textFill>
            <w14:solidFill>
              <w14:schemeClr w14:val="tx1"/>
            </w14:solidFill>
          </w14:textFill>
        </w:rPr>
      </w:pPr>
      <w:r>
        <w:rPr>
          <w:rFonts w:ascii="宋体" w:hAnsi="宋体"/>
          <w:snapToGrid w:val="0"/>
          <w:color w:val="000000" w:themeColor="text1"/>
          <w:kern w:val="0"/>
          <w:highlight w:val="none"/>
          <w14:textFill>
            <w14:solidFill>
              <w14:schemeClr w14:val="tx1"/>
            </w14:solidFill>
          </w14:textFill>
        </w:rPr>
        <w:t>本项目</w:t>
      </w:r>
      <w:r>
        <w:rPr>
          <w:rFonts w:hint="eastAsia" w:ascii="宋体" w:hAnsi="宋体"/>
          <w:snapToGrid w:val="0"/>
          <w:color w:val="000000" w:themeColor="text1"/>
          <w:kern w:val="0"/>
          <w:highlight w:val="none"/>
          <w:lang w:eastAsia="zh-CN"/>
          <w14:textFill>
            <w14:solidFill>
              <w14:schemeClr w14:val="tx1"/>
            </w14:solidFill>
          </w14:textFill>
        </w:rPr>
        <w:t>总</w:t>
      </w:r>
      <w:r>
        <w:rPr>
          <w:rFonts w:ascii="宋体" w:hAnsi="宋体"/>
          <w:snapToGrid w:val="0"/>
          <w:color w:val="000000" w:themeColor="text1"/>
          <w:kern w:val="0"/>
          <w:highlight w:val="none"/>
          <w14:textFill>
            <w14:solidFill>
              <w14:schemeClr w14:val="tx1"/>
            </w14:solidFill>
          </w14:textFill>
        </w:rPr>
        <w:t>预算控制金额</w:t>
      </w:r>
      <w:r>
        <w:rPr>
          <w:rFonts w:hint="eastAsia" w:ascii="宋体" w:hAnsi="宋体"/>
          <w:snapToGrid w:val="0"/>
          <w:color w:val="000000" w:themeColor="text1"/>
          <w:kern w:val="0"/>
          <w:highlight w:val="none"/>
          <w14:textFill>
            <w14:solidFill>
              <w14:schemeClr w14:val="tx1"/>
            </w14:solidFill>
          </w14:textFill>
        </w:rPr>
        <w:t>：</w:t>
      </w:r>
      <w:r>
        <w:rPr>
          <w:rFonts w:hint="eastAsia" w:ascii="宋体" w:hAnsi="宋体"/>
          <w:snapToGrid w:val="0"/>
          <w:color w:val="000000" w:themeColor="text1"/>
          <w:kern w:val="0"/>
          <w:highlight w:val="none"/>
          <w:u w:val="single"/>
          <w:lang w:val="en-US" w:eastAsia="zh-CN"/>
          <w14:textFill>
            <w14:solidFill>
              <w14:schemeClr w14:val="tx1"/>
            </w14:solidFill>
          </w14:textFill>
        </w:rPr>
        <w:t>17351841.86</w:t>
      </w:r>
      <w:r>
        <w:rPr>
          <w:rFonts w:hint="eastAsia" w:ascii="宋体" w:hAnsi="宋体"/>
          <w:snapToGrid w:val="0"/>
          <w:color w:val="000000" w:themeColor="text1"/>
          <w:kern w:val="0"/>
          <w:highlight w:val="none"/>
          <w14:textFill>
            <w14:solidFill>
              <w14:schemeClr w14:val="tx1"/>
            </w14:solidFill>
          </w14:textFill>
        </w:rPr>
        <w:t>元</w:t>
      </w:r>
      <w:r>
        <w:rPr>
          <w:rFonts w:ascii="宋体" w:hAnsi="宋体"/>
          <w:snapToGrid w:val="0"/>
          <w:color w:val="000000" w:themeColor="text1"/>
          <w:kern w:val="0"/>
          <w:highlight w:val="none"/>
          <w14:textFill>
            <w14:solidFill>
              <w14:schemeClr w14:val="tx1"/>
            </w14:solidFill>
          </w14:textFill>
        </w:rPr>
        <w:t>/年</w:t>
      </w:r>
      <w:r>
        <w:rPr>
          <w:rFonts w:hint="eastAsia" w:ascii="宋体" w:hAnsi="宋体"/>
          <w:snapToGrid w:val="0"/>
          <w:color w:val="000000" w:themeColor="text1"/>
          <w:kern w:val="0"/>
          <w:highlight w:val="none"/>
          <w:lang w:eastAsia="zh-CN"/>
          <w14:textFill>
            <w14:solidFill>
              <w14:schemeClr w14:val="tx1"/>
            </w14:solidFill>
          </w14:textFill>
        </w:rPr>
        <w:t>；</w:t>
      </w:r>
      <w:r>
        <w:rPr>
          <w:rFonts w:hint="eastAsia" w:ascii="宋体" w:hAnsi="宋体" w:cs="宋体"/>
          <w:color w:val="000000" w:themeColor="text1"/>
          <w:kern w:val="0"/>
          <w:szCs w:val="21"/>
          <w:highlight w:val="none"/>
          <w14:textFill>
            <w14:solidFill>
              <w14:schemeClr w14:val="tx1"/>
            </w14:solidFill>
          </w14:textFill>
        </w:rPr>
        <w:t>（超出此预算金额的报价将被当作无效投标处理）</w:t>
      </w:r>
    </w:p>
    <w:p>
      <w:pPr>
        <w:rPr>
          <w:rFonts w:ascii="宋体" w:hAnsi="宋体"/>
          <w:b/>
          <w:color w:val="FF0000"/>
          <w:szCs w:val="21"/>
        </w:rPr>
      </w:pPr>
    </w:p>
    <w:p>
      <w:pPr>
        <w:pStyle w:val="7"/>
        <w:spacing w:before="120" w:beforeLines="50" w:after="120" w:afterLines="50"/>
        <w:rPr>
          <w:szCs w:val="24"/>
        </w:rPr>
      </w:pPr>
      <w:r>
        <w:rPr>
          <w:rFonts w:hint="eastAsia"/>
          <w:szCs w:val="24"/>
        </w:rPr>
        <w:t>三、</w:t>
      </w:r>
      <w:bookmarkStart w:id="37" w:name="_Hlk72073432"/>
      <w:r>
        <w:rPr>
          <w:rFonts w:hint="eastAsia"/>
          <w:szCs w:val="24"/>
        </w:rPr>
        <w:t>服务需求明细</w:t>
      </w:r>
      <w:bookmarkEnd w:id="37"/>
    </w:p>
    <w:tbl>
      <w:tblPr>
        <w:tblStyle w:val="4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9"/>
        <w:gridCol w:w="1150"/>
        <w:gridCol w:w="2580"/>
        <w:gridCol w:w="899"/>
        <w:gridCol w:w="821"/>
        <w:gridCol w:w="1401"/>
        <w:gridCol w:w="1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52" w:type="pct"/>
            <w:vAlign w:val="center"/>
          </w:tcPr>
          <w:p>
            <w:pPr>
              <w:jc w:val="center"/>
              <w:rPr>
                <w:bCs/>
                <w:szCs w:val="21"/>
              </w:rPr>
            </w:pPr>
            <w:r>
              <w:rPr>
                <w:rFonts w:hint="eastAsia"/>
                <w:bCs/>
                <w:szCs w:val="21"/>
              </w:rPr>
              <w:t>序号</w:t>
            </w:r>
          </w:p>
        </w:tc>
        <w:tc>
          <w:tcPr>
            <w:tcW w:w="674" w:type="pct"/>
            <w:vAlign w:val="center"/>
          </w:tcPr>
          <w:p>
            <w:pPr>
              <w:jc w:val="center"/>
              <w:rPr>
                <w:bCs/>
                <w:szCs w:val="21"/>
              </w:rPr>
            </w:pPr>
            <w:r>
              <w:rPr>
                <w:rFonts w:hint="eastAsia"/>
                <w:szCs w:val="21"/>
              </w:rPr>
              <w:t>采购计划编号</w:t>
            </w:r>
          </w:p>
        </w:tc>
        <w:tc>
          <w:tcPr>
            <w:tcW w:w="1512" w:type="pct"/>
            <w:vAlign w:val="center"/>
          </w:tcPr>
          <w:p>
            <w:pPr>
              <w:jc w:val="center"/>
              <w:rPr>
                <w:bCs/>
                <w:szCs w:val="21"/>
              </w:rPr>
            </w:pPr>
            <w:r>
              <w:rPr>
                <w:rFonts w:hint="eastAsia"/>
                <w:bCs/>
                <w:szCs w:val="21"/>
              </w:rPr>
              <w:t>服务需求名称（标的名称）</w:t>
            </w:r>
          </w:p>
        </w:tc>
        <w:tc>
          <w:tcPr>
            <w:tcW w:w="527" w:type="pct"/>
            <w:vAlign w:val="center"/>
          </w:tcPr>
          <w:p>
            <w:pPr>
              <w:jc w:val="center"/>
              <w:rPr>
                <w:bCs/>
                <w:szCs w:val="21"/>
              </w:rPr>
            </w:pPr>
            <w:r>
              <w:rPr>
                <w:rFonts w:hint="eastAsia"/>
                <w:bCs/>
                <w:szCs w:val="21"/>
              </w:rPr>
              <w:t>数量</w:t>
            </w:r>
          </w:p>
        </w:tc>
        <w:tc>
          <w:tcPr>
            <w:tcW w:w="481" w:type="pct"/>
            <w:vAlign w:val="center"/>
          </w:tcPr>
          <w:p>
            <w:pPr>
              <w:jc w:val="center"/>
              <w:rPr>
                <w:bCs/>
                <w:szCs w:val="21"/>
              </w:rPr>
            </w:pPr>
            <w:r>
              <w:rPr>
                <w:rFonts w:hint="eastAsia"/>
                <w:bCs/>
                <w:szCs w:val="21"/>
              </w:rPr>
              <w:t>单位</w:t>
            </w:r>
          </w:p>
        </w:tc>
        <w:tc>
          <w:tcPr>
            <w:tcW w:w="821" w:type="pct"/>
            <w:vAlign w:val="center"/>
          </w:tcPr>
          <w:p>
            <w:pPr>
              <w:jc w:val="center"/>
              <w:rPr>
                <w:bCs/>
                <w:szCs w:val="21"/>
              </w:rPr>
            </w:pPr>
            <w:r>
              <w:rPr>
                <w:rFonts w:hint="eastAsia"/>
                <w:b/>
                <w:bCs/>
                <w:color w:val="FF0000"/>
                <w:szCs w:val="21"/>
              </w:rPr>
              <w:t>是否专门面向中小企业</w:t>
            </w:r>
          </w:p>
        </w:tc>
        <w:tc>
          <w:tcPr>
            <w:tcW w:w="729" w:type="pct"/>
            <w:vAlign w:val="center"/>
          </w:tcPr>
          <w:p>
            <w:pPr>
              <w:jc w:val="center"/>
              <w:rPr>
                <w:b/>
                <w:bCs/>
                <w:color w:val="FF0000"/>
                <w:szCs w:val="21"/>
              </w:rPr>
            </w:pPr>
            <w:r>
              <w:rPr>
                <w:rFonts w:hint="eastAsia"/>
                <w:b/>
                <w:bCs/>
                <w:color w:val="FF0000"/>
                <w:szCs w:val="21"/>
              </w:rPr>
              <w:t>标的所属行业</w:t>
            </w:r>
            <w:r>
              <w:rPr>
                <w:rFonts w:hint="eastAsia"/>
                <w:b/>
                <w:color w:val="FF000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52" w:type="pct"/>
            <w:vAlign w:val="center"/>
          </w:tcPr>
          <w:p>
            <w:pPr>
              <w:jc w:val="center"/>
              <w:rPr>
                <w:bCs/>
                <w:szCs w:val="21"/>
              </w:rPr>
            </w:pPr>
            <w:r>
              <w:rPr>
                <w:rFonts w:hint="eastAsia"/>
                <w:bCs/>
                <w:szCs w:val="21"/>
              </w:rPr>
              <w:t>1</w:t>
            </w:r>
          </w:p>
        </w:tc>
        <w:tc>
          <w:tcPr>
            <w:tcW w:w="674" w:type="pct"/>
            <w:vAlign w:val="center"/>
          </w:tcPr>
          <w:p>
            <w:pPr>
              <w:jc w:val="center"/>
              <w:rPr>
                <w:bCs/>
                <w:szCs w:val="21"/>
              </w:rPr>
            </w:pPr>
            <w:r>
              <w:rPr>
                <w:rFonts w:hint="eastAsia"/>
                <w:bCs/>
                <w:szCs w:val="21"/>
              </w:rPr>
              <w:t>PLAN-</w:t>
            </w:r>
            <w:r>
              <w:rPr>
                <w:bCs/>
                <w:szCs w:val="21"/>
              </w:rPr>
              <w:t>***</w:t>
            </w:r>
          </w:p>
        </w:tc>
        <w:tc>
          <w:tcPr>
            <w:tcW w:w="1512" w:type="pct"/>
            <w:vAlign w:val="center"/>
          </w:tcPr>
          <w:p>
            <w:pPr>
              <w:jc w:val="center"/>
              <w:rPr>
                <w:bCs/>
                <w:szCs w:val="21"/>
              </w:rPr>
            </w:pPr>
            <w:r>
              <w:rPr>
                <w:rFonts w:hint="eastAsia"/>
                <w:bCs/>
                <w:szCs w:val="21"/>
              </w:rPr>
              <w:t>环卫一体化（城市管家）服务</w:t>
            </w:r>
          </w:p>
        </w:tc>
        <w:tc>
          <w:tcPr>
            <w:tcW w:w="527" w:type="pct"/>
            <w:vAlign w:val="center"/>
          </w:tcPr>
          <w:p>
            <w:pPr>
              <w:jc w:val="center"/>
              <w:rPr>
                <w:rFonts w:hint="eastAsia" w:eastAsia="宋体"/>
                <w:bCs/>
                <w:szCs w:val="21"/>
                <w:lang w:eastAsia="zh-CN"/>
              </w:rPr>
            </w:pPr>
            <w:r>
              <w:rPr>
                <w:rFonts w:hint="eastAsia"/>
                <w:lang w:val="en-US" w:eastAsia="zh-CN"/>
              </w:rPr>
              <w:t>1</w:t>
            </w:r>
          </w:p>
        </w:tc>
        <w:tc>
          <w:tcPr>
            <w:tcW w:w="481" w:type="pct"/>
            <w:vAlign w:val="center"/>
          </w:tcPr>
          <w:p>
            <w:pPr>
              <w:jc w:val="center"/>
              <w:rPr>
                <w:rFonts w:hint="eastAsia" w:eastAsia="宋体"/>
                <w:bCs/>
                <w:szCs w:val="21"/>
                <w:lang w:val="en-US" w:eastAsia="zh-CN"/>
              </w:rPr>
            </w:pPr>
            <w:r>
              <w:rPr>
                <w:rFonts w:hint="eastAsia"/>
                <w:bCs/>
                <w:szCs w:val="21"/>
                <w:lang w:val="en-US" w:eastAsia="zh-CN"/>
              </w:rPr>
              <w:t>项</w:t>
            </w:r>
          </w:p>
        </w:tc>
        <w:tc>
          <w:tcPr>
            <w:tcW w:w="821" w:type="pct"/>
            <w:vAlign w:val="center"/>
          </w:tcPr>
          <w:p>
            <w:pPr>
              <w:jc w:val="center"/>
              <w:rPr>
                <w:rFonts w:hint="eastAsia" w:eastAsia="宋体"/>
                <w:bCs/>
                <w:szCs w:val="21"/>
                <w:lang w:val="en-US" w:eastAsia="zh-CN"/>
              </w:rPr>
            </w:pPr>
            <w:r>
              <w:rPr>
                <w:rFonts w:hint="eastAsia"/>
                <w:bCs/>
                <w:szCs w:val="21"/>
                <w:lang w:val="en-US" w:eastAsia="zh-CN"/>
              </w:rPr>
              <w:t>否</w:t>
            </w:r>
          </w:p>
        </w:tc>
        <w:tc>
          <w:tcPr>
            <w:tcW w:w="729" w:type="pct"/>
            <w:vAlign w:val="center"/>
          </w:tcPr>
          <w:p>
            <w:pPr>
              <w:jc w:val="center"/>
              <w:rPr>
                <w:bCs/>
                <w:szCs w:val="21"/>
              </w:rPr>
            </w:pPr>
            <w:r>
              <w:rPr>
                <w:rFonts w:hint="eastAsia"/>
                <w:bCs/>
                <w:szCs w:val="21"/>
              </w:rPr>
              <w:t>其他未列明行业</w:t>
            </w:r>
          </w:p>
        </w:tc>
      </w:tr>
    </w:tbl>
    <w:p>
      <w:pPr>
        <w:jc w:val="center"/>
        <w:rPr>
          <w:bCs/>
          <w:szCs w:val="21"/>
        </w:rPr>
      </w:pPr>
    </w:p>
    <w:p>
      <w:pPr>
        <w:pStyle w:val="7"/>
        <w:spacing w:before="120" w:beforeLines="50" w:after="120" w:afterLines="50"/>
        <w:rPr>
          <w:szCs w:val="24"/>
        </w:rPr>
      </w:pPr>
      <w:r>
        <w:rPr>
          <w:rFonts w:hint="eastAsia"/>
          <w:szCs w:val="24"/>
        </w:rPr>
        <w:t>四、实质性条款</w:t>
      </w:r>
    </w:p>
    <w:tbl>
      <w:tblPr>
        <w:tblStyle w:val="44"/>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7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tcPr>
          <w:p>
            <w:pPr>
              <w:adjustRightInd w:val="0"/>
              <w:snapToGrid w:val="0"/>
              <w:spacing w:line="360" w:lineRule="auto"/>
              <w:jc w:val="center"/>
              <w:rPr>
                <w:rFonts w:ascii="宋体" w:hAnsi="宋体"/>
                <w:kern w:val="0"/>
                <w:szCs w:val="21"/>
              </w:rPr>
            </w:pPr>
            <w:r>
              <w:rPr>
                <w:rFonts w:hint="eastAsia" w:ascii="宋体" w:hAnsi="宋体"/>
                <w:kern w:val="0"/>
                <w:szCs w:val="21"/>
              </w:rPr>
              <w:t>序号</w:t>
            </w:r>
          </w:p>
        </w:tc>
        <w:tc>
          <w:tcPr>
            <w:tcW w:w="7795" w:type="dxa"/>
          </w:tcPr>
          <w:p>
            <w:pPr>
              <w:adjustRightInd w:val="0"/>
              <w:snapToGrid w:val="0"/>
              <w:spacing w:line="360" w:lineRule="auto"/>
              <w:jc w:val="center"/>
              <w:rPr>
                <w:rFonts w:ascii="宋体" w:hAnsi="宋体"/>
                <w:kern w:val="0"/>
                <w:szCs w:val="21"/>
              </w:rPr>
            </w:pPr>
            <w:r>
              <w:rPr>
                <w:rFonts w:hint="eastAsia" w:ascii="宋体" w:hAnsi="宋体"/>
                <w:kern w:val="0"/>
                <w:szCs w:val="21"/>
              </w:rPr>
              <w:t>实质性条款具体内容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tcPr>
          <w:p>
            <w:pPr>
              <w:adjustRightInd w:val="0"/>
              <w:snapToGrid w:val="0"/>
              <w:spacing w:line="360" w:lineRule="auto"/>
              <w:rPr>
                <w:rFonts w:ascii="宋体" w:hAnsi="宋体"/>
                <w:kern w:val="0"/>
                <w:szCs w:val="21"/>
              </w:rPr>
            </w:pPr>
            <w:r>
              <w:rPr>
                <w:rFonts w:hint="eastAsia" w:ascii="宋体" w:hAnsi="宋体"/>
                <w:kern w:val="0"/>
                <w:szCs w:val="21"/>
              </w:rPr>
              <w:t>1</w:t>
            </w:r>
          </w:p>
        </w:tc>
        <w:tc>
          <w:tcPr>
            <w:tcW w:w="7795" w:type="dxa"/>
          </w:tcPr>
          <w:p>
            <w:pPr>
              <w:rPr>
                <w:rFonts w:hAnsi="宋体" w:eastAsiaTheme="minorEastAsia"/>
                <w:kern w:val="0"/>
                <w:szCs w:val="21"/>
              </w:rPr>
            </w:pPr>
            <w:r>
              <w:rPr>
                <w:rFonts w:hint="eastAsia"/>
                <w:color w:val="FF0000"/>
                <w:szCs w:val="21"/>
              </w:rPr>
              <w:t>★</w:t>
            </w:r>
            <w:r>
              <w:rPr>
                <w:rFonts w:hint="eastAsia"/>
                <w:color w:val="FF0000"/>
              </w:rPr>
              <w:t>完全满足本项目服务期限的要求。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tcPr>
          <w:p>
            <w:pPr>
              <w:adjustRightInd w:val="0"/>
              <w:snapToGrid w:val="0"/>
              <w:spacing w:line="360" w:lineRule="auto"/>
              <w:rPr>
                <w:rFonts w:ascii="宋体" w:hAnsi="宋体"/>
                <w:kern w:val="0"/>
                <w:szCs w:val="21"/>
              </w:rPr>
            </w:pPr>
            <w:r>
              <w:rPr>
                <w:rFonts w:hint="eastAsia" w:ascii="宋体" w:hAnsi="宋体"/>
                <w:kern w:val="0"/>
                <w:szCs w:val="21"/>
              </w:rPr>
              <w:t>2</w:t>
            </w:r>
          </w:p>
        </w:tc>
        <w:tc>
          <w:tcPr>
            <w:tcW w:w="7795" w:type="dxa"/>
          </w:tcPr>
          <w:p>
            <w:pPr>
              <w:rPr>
                <w:rFonts w:asciiTheme="minorEastAsia" w:hAnsiTheme="minorEastAsia" w:eastAsiaTheme="minorEastAsia"/>
              </w:rPr>
            </w:pPr>
            <w:r>
              <w:rPr>
                <w:rFonts w:hint="eastAsia"/>
                <w:color w:val="FF0000"/>
                <w:szCs w:val="21"/>
              </w:rPr>
              <w:t>★</w:t>
            </w:r>
            <w:r>
              <w:rPr>
                <w:rFonts w:hint="eastAsia" w:ascii="宋体" w:hAnsi="宋体"/>
                <w:color w:val="FF0000"/>
              </w:rPr>
              <w:t>完全满足本项目其他★标记条款的要求。</w:t>
            </w:r>
          </w:p>
        </w:tc>
      </w:tr>
    </w:tbl>
    <w:p>
      <w:pPr>
        <w:rPr>
          <w:b/>
          <w:bCs/>
          <w:sz w:val="24"/>
        </w:rPr>
      </w:pPr>
      <w:r>
        <w:rPr>
          <w:rFonts w:hint="eastAsia"/>
          <w:b/>
          <w:bCs/>
          <w:sz w:val="24"/>
        </w:rPr>
        <w:t>注：上表所列内容为不可负偏离条款，负偏离将视为未实质性满足招标文件要求作投标无效处理。</w:t>
      </w:r>
      <w:bookmarkEnd w:id="35"/>
    </w:p>
    <w:p>
      <w:pPr>
        <w:rPr>
          <w:b/>
          <w:bCs/>
          <w:sz w:val="24"/>
        </w:rPr>
      </w:pPr>
    </w:p>
    <w:p>
      <w:pPr>
        <w:pStyle w:val="7"/>
        <w:spacing w:before="120" w:beforeLines="50" w:after="120" w:afterLines="50"/>
        <w:rPr>
          <w:szCs w:val="24"/>
        </w:rPr>
      </w:pPr>
      <w:r>
        <w:rPr>
          <w:rFonts w:hint="eastAsia"/>
          <w:szCs w:val="24"/>
        </w:rPr>
        <w:t>五、技术要求</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（一）服务范围</w:t>
      </w:r>
    </w:p>
    <w:p>
      <w:pPr>
        <w:pStyle w:val="9"/>
        <w:keepNext w:val="0"/>
        <w:keepLines w:val="0"/>
        <w:pageBreakBefore w:val="0"/>
        <w:widowControl w:val="0"/>
        <w:kinsoku/>
        <w:wordWrap/>
        <w:overflowPunct/>
        <w:topLinePunct w:val="0"/>
        <w:autoSpaceDE/>
        <w:autoSpaceDN/>
        <w:bidi w:val="0"/>
        <w:adjustRightInd/>
        <w:snapToGrid/>
        <w:spacing w:before="60" w:beforeLines="25" w:after="60" w:afterLines="25"/>
        <w:ind w:left="0" w:leftChars="0" w:firstLine="420" w:firstLineChars="200"/>
        <w:textAlignment w:val="auto"/>
        <w:rPr>
          <w:rFonts w:hint="eastAsia" w:ascii="宋体" w:hAnsi="宋体" w:eastAsia="宋体" w:cs="宋体"/>
          <w:color w:val="000000" w:themeColor="text1"/>
          <w:sz w:val="21"/>
          <w:szCs w:val="21"/>
          <w:highlight w:val="none"/>
          <w:u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1.本项目清扫保洁服务范围包含：</w:t>
      </w:r>
      <w:r>
        <w:rPr>
          <w:rFonts w:hint="eastAsia" w:ascii="宋体" w:hAnsi="宋体" w:eastAsia="宋体" w:cs="宋体"/>
          <w:color w:val="000000" w:themeColor="text1"/>
          <w:sz w:val="21"/>
          <w:szCs w:val="21"/>
          <w:highlight w:val="none"/>
          <w:u w:val="none"/>
          <w14:textFill>
            <w14:solidFill>
              <w14:schemeClr w14:val="tx1"/>
            </w14:solidFill>
          </w14:textFill>
        </w:rPr>
        <w:t>盐田区</w:t>
      </w:r>
      <w:r>
        <w:rPr>
          <w:rFonts w:hint="eastAsia" w:ascii="宋体" w:hAnsi="宋体" w:cs="宋体"/>
          <w:color w:val="000000" w:themeColor="text1"/>
          <w:sz w:val="21"/>
          <w:szCs w:val="21"/>
          <w:highlight w:val="none"/>
          <w:u w:val="none"/>
          <w:lang w:eastAsia="zh-CN"/>
          <w14:textFill>
            <w14:solidFill>
              <w14:schemeClr w14:val="tx1"/>
            </w14:solidFill>
          </w14:textFill>
        </w:rPr>
        <w:t>海山</w:t>
      </w:r>
      <w:r>
        <w:rPr>
          <w:rFonts w:hint="eastAsia" w:ascii="宋体" w:hAnsi="宋体" w:eastAsia="宋体" w:cs="宋体"/>
          <w:color w:val="000000" w:themeColor="text1"/>
          <w:sz w:val="21"/>
          <w:szCs w:val="21"/>
          <w:highlight w:val="none"/>
          <w:u w:val="none"/>
          <w14:textFill>
            <w14:solidFill>
              <w14:schemeClr w14:val="tx1"/>
            </w14:solidFill>
          </w14:textFill>
        </w:rPr>
        <w:t>街道</w:t>
      </w:r>
      <w:r>
        <w:rPr>
          <w:rFonts w:hint="eastAsia" w:ascii="宋体" w:hAnsi="宋体" w:cs="宋体"/>
          <w:color w:val="000000" w:themeColor="text1"/>
          <w:sz w:val="21"/>
          <w:szCs w:val="21"/>
          <w:highlight w:val="none"/>
          <w:u w:val="none"/>
          <w:lang w:eastAsia="zh-CN"/>
          <w14:textFill>
            <w14:solidFill>
              <w14:schemeClr w14:val="tx1"/>
            </w14:solidFill>
          </w14:textFill>
        </w:rPr>
        <w:t>城中</w:t>
      </w:r>
      <w:r>
        <w:rPr>
          <w:rFonts w:hint="eastAsia" w:ascii="宋体" w:hAnsi="宋体" w:cs="宋体"/>
          <w:color w:val="auto"/>
          <w:sz w:val="21"/>
          <w:szCs w:val="21"/>
          <w:highlight w:val="none"/>
          <w:u w:val="none"/>
          <w:lang w:eastAsia="zh-CN"/>
        </w:rPr>
        <w:t>村、无物业管理小区</w:t>
      </w:r>
      <w:r>
        <w:rPr>
          <w:rFonts w:hint="eastAsia" w:ascii="宋体" w:hAnsi="宋体" w:cs="宋体"/>
          <w:color w:val="000000" w:themeColor="text1"/>
          <w:sz w:val="21"/>
          <w:szCs w:val="21"/>
          <w:highlight w:val="none"/>
          <w:u w:val="none"/>
          <w:lang w:eastAsia="zh-CN"/>
          <w14:textFill>
            <w14:solidFill>
              <w14:schemeClr w14:val="tx1"/>
            </w14:solidFill>
          </w14:textFill>
        </w:rPr>
        <w:t>和</w:t>
      </w:r>
      <w:r>
        <w:rPr>
          <w:rFonts w:hint="eastAsia" w:ascii="宋体" w:hAnsi="宋体" w:eastAsia="宋体" w:cs="宋体"/>
          <w:color w:val="000000" w:themeColor="text1"/>
          <w:sz w:val="21"/>
          <w:szCs w:val="21"/>
          <w:highlight w:val="none"/>
          <w:u w:val="none"/>
          <w14:textFill>
            <w14:solidFill>
              <w14:schemeClr w14:val="tx1"/>
            </w14:solidFill>
          </w14:textFill>
        </w:rPr>
        <w:t>市政范围内的机动车道</w:t>
      </w:r>
      <w:r>
        <w:rPr>
          <w:rFonts w:hint="eastAsia" w:ascii="宋体" w:hAnsi="宋体" w:cs="宋体"/>
          <w:color w:val="000000" w:themeColor="text1"/>
          <w:sz w:val="21"/>
          <w:szCs w:val="21"/>
          <w:highlight w:val="none"/>
          <w:u w:val="none"/>
          <w:lang w:eastAsia="zh-CN"/>
          <w14:textFill>
            <w14:solidFill>
              <w14:schemeClr w14:val="tx1"/>
            </w14:solidFill>
          </w14:textFill>
        </w:rPr>
        <w:t>、</w:t>
      </w:r>
      <w:r>
        <w:rPr>
          <w:rFonts w:hint="eastAsia" w:ascii="宋体" w:hAnsi="宋体" w:eastAsia="宋体" w:cs="宋体"/>
          <w:color w:val="000000" w:themeColor="text1"/>
          <w:sz w:val="21"/>
          <w:szCs w:val="21"/>
          <w:highlight w:val="none"/>
          <w:u w:val="none"/>
          <w14:textFill>
            <w14:solidFill>
              <w14:schemeClr w14:val="tx1"/>
            </w14:solidFill>
          </w14:textFill>
        </w:rPr>
        <w:t>非机动车道、人行道、地下通道、隧道、商业步行街、立交桥、人行天桥、排水明沟、公共绿地（含绿化带及绿化待建地）、</w:t>
      </w:r>
      <w:r>
        <w:rPr>
          <w:rFonts w:hint="eastAsia" w:ascii="宋体" w:hAnsi="宋体" w:cs="宋体"/>
          <w:color w:val="000000" w:themeColor="text1"/>
          <w:sz w:val="21"/>
          <w:szCs w:val="21"/>
          <w:highlight w:val="none"/>
          <w:u w:val="none"/>
          <w:lang w:eastAsia="zh-CN"/>
          <w14:textFill>
            <w14:solidFill>
              <w14:schemeClr w14:val="tx1"/>
            </w14:solidFill>
          </w14:textFill>
        </w:rPr>
        <w:t>社区公园（含口袋公园）、</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区属公园（中央公园、海景公园、海滨栈道）、</w:t>
      </w:r>
      <w:r>
        <w:rPr>
          <w:rFonts w:hint="eastAsia" w:ascii="宋体" w:hAnsi="宋体" w:eastAsia="宋体" w:cs="宋体"/>
          <w:color w:val="000000" w:themeColor="text1"/>
          <w:sz w:val="21"/>
          <w:szCs w:val="21"/>
          <w:highlight w:val="none"/>
          <w:u w:val="none"/>
          <w14:textFill>
            <w14:solidFill>
              <w14:schemeClr w14:val="tx1"/>
            </w14:solidFill>
          </w14:textFill>
        </w:rPr>
        <w:t>公共广场（含街头休息场、广场）、内街小巷等地面清扫保洁工作，以及标段管理范围内乱张贴清理、城市家具清洁等。详见《盐田区</w:t>
      </w:r>
      <w:r>
        <w:rPr>
          <w:rFonts w:hint="eastAsia" w:ascii="宋体" w:hAnsi="宋体" w:cs="宋体"/>
          <w:color w:val="000000" w:themeColor="text1"/>
          <w:sz w:val="21"/>
          <w:szCs w:val="21"/>
          <w:highlight w:val="none"/>
          <w:u w:val="none"/>
          <w:lang w:eastAsia="zh-CN"/>
          <w14:textFill>
            <w14:solidFill>
              <w14:schemeClr w14:val="tx1"/>
            </w14:solidFill>
          </w14:textFill>
        </w:rPr>
        <w:t>海山</w:t>
      </w:r>
      <w:r>
        <w:rPr>
          <w:rFonts w:hint="eastAsia" w:ascii="宋体" w:hAnsi="宋体" w:eastAsia="宋体" w:cs="宋体"/>
          <w:color w:val="000000" w:themeColor="text1"/>
          <w:sz w:val="21"/>
          <w:szCs w:val="21"/>
          <w:highlight w:val="none"/>
          <w:u w:val="none"/>
          <w14:textFill>
            <w14:solidFill>
              <w14:schemeClr w14:val="tx1"/>
            </w14:solidFill>
          </w14:textFill>
        </w:rPr>
        <w:t>街道</w:t>
      </w:r>
      <w:r>
        <w:rPr>
          <w:rFonts w:hint="eastAsia" w:ascii="宋体" w:hAnsi="宋体" w:cs="宋体"/>
          <w:color w:val="000000" w:themeColor="text1"/>
          <w:sz w:val="21"/>
          <w:szCs w:val="21"/>
          <w:highlight w:val="none"/>
          <w:u w:val="none"/>
          <w:lang w:eastAsia="zh-CN"/>
          <w14:textFill>
            <w14:solidFill>
              <w14:schemeClr w14:val="tx1"/>
            </w14:solidFill>
          </w14:textFill>
        </w:rPr>
        <w:t>环卫一体化（城市管家）服务项目</w:t>
      </w:r>
      <w:r>
        <w:rPr>
          <w:rFonts w:hint="eastAsia" w:ascii="宋体" w:hAnsi="宋体" w:eastAsia="宋体" w:cs="宋体"/>
          <w:color w:val="000000" w:themeColor="text1"/>
          <w:sz w:val="21"/>
          <w:szCs w:val="21"/>
          <w:highlight w:val="none"/>
          <w:u w:val="none"/>
          <w14:textFill>
            <w14:solidFill>
              <w14:schemeClr w14:val="tx1"/>
            </w14:solidFill>
          </w14:textFill>
        </w:rPr>
        <w:t>清扫保洁面积明细表》。</w:t>
      </w:r>
    </w:p>
    <w:p>
      <w:pPr>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2.本项目招标的清扫保洁总面积为</w:t>
      </w:r>
      <w:r>
        <w:rPr>
          <w:rFonts w:hint="eastAsia" w:ascii="宋体" w:hAnsi="宋体"/>
          <w:color w:val="000000" w:themeColor="text1"/>
          <w:szCs w:val="21"/>
          <w:highlight w:val="none"/>
          <w:u w:val="single"/>
          <w:lang w:val="en-US" w:eastAsia="zh-CN"/>
          <w14:textFill>
            <w14:solidFill>
              <w14:schemeClr w14:val="tx1"/>
            </w14:solidFill>
          </w14:textFill>
        </w:rPr>
        <w:t>703567.38</w:t>
      </w:r>
      <w:r>
        <w:rPr>
          <w:rFonts w:hint="eastAsia" w:ascii="宋体" w:hAnsi="宋体" w:eastAsia="宋体" w:cs="宋体"/>
          <w:snapToGrid w:val="0"/>
          <w:color w:val="000000" w:themeColor="text1"/>
          <w:kern w:val="0"/>
          <w:sz w:val="21"/>
          <w:szCs w:val="21"/>
          <w:highlight w:val="none"/>
          <w14:textFill>
            <w14:solidFill>
              <w14:schemeClr w14:val="tx1"/>
            </w14:solidFill>
          </w14:textFill>
        </w:rPr>
        <w:t>平方米。</w:t>
      </w:r>
    </w:p>
    <w:p>
      <w:pPr>
        <w:tabs>
          <w:tab w:val="left" w:pos="0"/>
        </w:tabs>
        <w:adjustRightInd w:val="0"/>
        <w:snapToGrid w:val="0"/>
        <w:ind w:firstLine="420" w:firstLineChars="200"/>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其中：</w:t>
      </w:r>
      <w:r>
        <w:rPr>
          <w:rFonts w:hint="eastAsia" w:ascii="宋体" w:hAnsi="宋体" w:cs="宋体"/>
          <w:bCs/>
          <w:color w:val="000000" w:themeColor="text1"/>
          <w:sz w:val="21"/>
          <w:szCs w:val="21"/>
          <w:highlight w:val="none"/>
          <w:lang w:eastAsia="zh-CN"/>
          <w14:textFill>
            <w14:solidFill>
              <w14:schemeClr w14:val="tx1"/>
            </w14:solidFill>
          </w14:textFill>
        </w:rPr>
        <w:t>市政</w:t>
      </w:r>
      <w:r>
        <w:rPr>
          <w:rFonts w:hint="eastAsia" w:ascii="宋体" w:hAnsi="宋体" w:eastAsia="宋体" w:cs="宋体"/>
          <w:bCs/>
          <w:color w:val="000000" w:themeColor="text1"/>
          <w:sz w:val="21"/>
          <w:szCs w:val="21"/>
          <w:highlight w:val="none"/>
          <w14:textFill>
            <w14:solidFill>
              <w14:schemeClr w14:val="tx1"/>
            </w14:solidFill>
          </w14:textFill>
        </w:rPr>
        <w:t>道路清扫保洁面积</w:t>
      </w:r>
      <w:r>
        <w:rPr>
          <w:rFonts w:hint="eastAsia" w:ascii="宋体" w:hAnsi="宋体" w:cs="宋体"/>
          <w:bCs/>
          <w:color w:val="000000" w:themeColor="text1"/>
          <w:sz w:val="21"/>
          <w:szCs w:val="21"/>
          <w:highlight w:val="none"/>
          <w:u w:val="single"/>
          <w:lang w:val="en-US" w:eastAsia="zh-CN"/>
          <w14:textFill>
            <w14:solidFill>
              <w14:schemeClr w14:val="tx1"/>
            </w14:solidFill>
          </w14:textFill>
        </w:rPr>
        <w:t>503616.09</w:t>
      </w:r>
      <w:r>
        <w:rPr>
          <w:rFonts w:hint="eastAsia" w:ascii="宋体" w:hAnsi="宋体" w:eastAsia="宋体" w:cs="宋体"/>
          <w:bCs/>
          <w:color w:val="000000" w:themeColor="text1"/>
          <w:sz w:val="21"/>
          <w:szCs w:val="21"/>
          <w:highlight w:val="none"/>
          <w14:textFill>
            <w14:solidFill>
              <w14:schemeClr w14:val="tx1"/>
            </w14:solidFill>
          </w14:textFill>
        </w:rPr>
        <w:t>平方米</w:t>
      </w:r>
    </w:p>
    <w:p>
      <w:pPr>
        <w:tabs>
          <w:tab w:val="left" w:pos="0"/>
        </w:tabs>
        <w:adjustRightInd w:val="0"/>
        <w:snapToGrid w:val="0"/>
        <w:ind w:left="426" w:leftChars="203" w:firstLine="630" w:firstLineChars="300"/>
        <w:rPr>
          <w:rFonts w:hint="default"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cs="宋体"/>
          <w:bCs/>
          <w:color w:val="000000" w:themeColor="text1"/>
          <w:sz w:val="21"/>
          <w:szCs w:val="21"/>
          <w:highlight w:val="none"/>
          <w:lang w:eastAsia="zh-CN"/>
          <w14:textFill>
            <w14:solidFill>
              <w14:schemeClr w14:val="tx1"/>
            </w14:solidFill>
          </w14:textFill>
        </w:rPr>
        <w:t>城中村（含无物业管理小区）清扫保洁面积</w:t>
      </w:r>
      <w:r>
        <w:rPr>
          <w:rFonts w:hint="eastAsia" w:ascii="宋体" w:hAnsi="宋体" w:cs="宋体"/>
          <w:bCs/>
          <w:color w:val="000000" w:themeColor="text1"/>
          <w:sz w:val="21"/>
          <w:szCs w:val="21"/>
          <w:highlight w:val="none"/>
          <w:u w:val="single"/>
          <w:lang w:val="en-US" w:eastAsia="zh-CN"/>
          <w14:textFill>
            <w14:solidFill>
              <w14:schemeClr w14:val="tx1"/>
            </w14:solidFill>
          </w14:textFill>
        </w:rPr>
        <w:t>39966.56</w:t>
      </w:r>
      <w:r>
        <w:rPr>
          <w:rFonts w:hint="eastAsia" w:ascii="宋体" w:hAnsi="宋体" w:cs="宋体"/>
          <w:bCs/>
          <w:color w:val="000000" w:themeColor="text1"/>
          <w:sz w:val="21"/>
          <w:szCs w:val="21"/>
          <w:highlight w:val="none"/>
          <w:lang w:val="en-US" w:eastAsia="zh-CN"/>
          <w14:textFill>
            <w14:solidFill>
              <w14:schemeClr w14:val="tx1"/>
            </w14:solidFill>
          </w14:textFill>
        </w:rPr>
        <w:t>平方米</w:t>
      </w:r>
    </w:p>
    <w:p>
      <w:pPr>
        <w:tabs>
          <w:tab w:val="left" w:pos="0"/>
        </w:tabs>
        <w:adjustRightInd w:val="0"/>
        <w:snapToGrid w:val="0"/>
        <w:spacing w:line="240" w:lineRule="auto"/>
        <w:ind w:left="426" w:leftChars="203" w:firstLine="630" w:firstLineChars="300"/>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绿地清扫保洁面积</w:t>
      </w:r>
      <w:r>
        <w:rPr>
          <w:rFonts w:hint="eastAsia" w:ascii="宋体" w:hAnsi="宋体" w:cs="宋体"/>
          <w:bCs/>
          <w:color w:val="000000" w:themeColor="text1"/>
          <w:sz w:val="21"/>
          <w:szCs w:val="21"/>
          <w:highlight w:val="none"/>
          <w:u w:val="single"/>
          <w:lang w:val="en-US" w:eastAsia="zh-CN"/>
          <w14:textFill>
            <w14:solidFill>
              <w14:schemeClr w14:val="tx1"/>
            </w14:solidFill>
          </w14:textFill>
        </w:rPr>
        <w:t>34896.21</w:t>
      </w:r>
      <w:r>
        <w:rPr>
          <w:rFonts w:hint="eastAsia" w:ascii="宋体" w:hAnsi="宋体" w:eastAsia="宋体" w:cs="宋体"/>
          <w:bCs/>
          <w:color w:val="000000" w:themeColor="text1"/>
          <w:sz w:val="21"/>
          <w:szCs w:val="21"/>
          <w:highlight w:val="none"/>
          <w14:textFill>
            <w14:solidFill>
              <w14:schemeClr w14:val="tx1"/>
            </w14:solidFill>
          </w14:textFill>
        </w:rPr>
        <w:t>平方米</w:t>
      </w:r>
    </w:p>
    <w:p>
      <w:pPr>
        <w:tabs>
          <w:tab w:val="left" w:pos="0"/>
        </w:tabs>
        <w:adjustRightInd w:val="0"/>
        <w:snapToGrid w:val="0"/>
        <w:ind w:left="426" w:leftChars="203" w:firstLine="630" w:firstLineChars="300"/>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社区公园（含口袋公园）清扫保洁面积16098.22平方米</w:t>
      </w:r>
    </w:p>
    <w:p>
      <w:pPr>
        <w:tabs>
          <w:tab w:val="left" w:pos="0"/>
        </w:tabs>
        <w:adjustRightInd w:val="0"/>
        <w:snapToGrid w:val="0"/>
        <w:ind w:left="426" w:leftChars="203" w:firstLine="630" w:firstLineChars="300"/>
        <w:rPr>
          <w:rFonts w:hint="default"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区属公园（中央公园、海景公园、海滨栈道）清扫保洁面积108990.3平方米</w:t>
      </w:r>
    </w:p>
    <w:p>
      <w:pPr>
        <w:numPr>
          <w:ilvl w:val="0"/>
          <w:numId w:val="0"/>
        </w:numPr>
        <w:tabs>
          <w:tab w:val="left" w:pos="0"/>
        </w:tabs>
        <w:adjustRightInd w:val="0"/>
        <w:snapToGrid w:val="0"/>
        <w:ind w:firstLine="420" w:firstLineChars="200"/>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本项目垃圾清运服务范围包含：</w:t>
      </w:r>
      <w:r>
        <w:rPr>
          <w:rFonts w:hint="eastAsia" w:ascii="宋体" w:hAnsi="宋体" w:eastAsia="宋体" w:cs="宋体"/>
          <w:color w:val="000000" w:themeColor="text1"/>
          <w:sz w:val="21"/>
          <w:szCs w:val="21"/>
          <w:highlight w:val="none"/>
          <w:u w:val="single"/>
          <w14:textFill>
            <w14:solidFill>
              <w14:schemeClr w14:val="tx1"/>
            </w14:solidFill>
          </w14:textFill>
        </w:rPr>
        <w:t>盐田区</w:t>
      </w:r>
      <w:r>
        <w:rPr>
          <w:rFonts w:hint="eastAsia" w:ascii="宋体" w:hAnsi="宋体" w:cs="宋体"/>
          <w:color w:val="000000" w:themeColor="text1"/>
          <w:sz w:val="21"/>
          <w:szCs w:val="21"/>
          <w:highlight w:val="none"/>
          <w:u w:val="single"/>
          <w:lang w:eastAsia="zh-CN"/>
          <w14:textFill>
            <w14:solidFill>
              <w14:schemeClr w14:val="tx1"/>
            </w14:solidFill>
          </w14:textFill>
        </w:rPr>
        <w:t>海山街道</w:t>
      </w:r>
      <w:r>
        <w:rPr>
          <w:rFonts w:hint="eastAsia" w:ascii="宋体" w:hAnsi="宋体" w:eastAsia="宋体" w:cs="宋体"/>
          <w:color w:val="000000" w:themeColor="text1"/>
          <w:sz w:val="21"/>
          <w:szCs w:val="21"/>
          <w:highlight w:val="none"/>
          <w:u w:val="single"/>
          <w14:textFill>
            <w14:solidFill>
              <w14:schemeClr w14:val="tx1"/>
            </w14:solidFill>
          </w14:textFill>
        </w:rPr>
        <w:t>所有</w:t>
      </w:r>
      <w:r>
        <w:rPr>
          <w:rFonts w:hint="eastAsia" w:ascii="宋体" w:hAnsi="宋体" w:cs="宋体"/>
          <w:color w:val="000000" w:themeColor="text1"/>
          <w:sz w:val="21"/>
          <w:szCs w:val="21"/>
          <w:highlight w:val="none"/>
          <w:u w:val="single"/>
          <w:lang w:eastAsia="zh-CN"/>
          <w14:textFill>
            <w14:solidFill>
              <w14:schemeClr w14:val="tx1"/>
            </w14:solidFill>
          </w14:textFill>
        </w:rPr>
        <w:t>城中村、</w:t>
      </w:r>
      <w:r>
        <w:rPr>
          <w:rFonts w:hint="eastAsia" w:ascii="宋体" w:hAnsi="宋体" w:eastAsia="宋体" w:cs="宋体"/>
          <w:color w:val="000000" w:themeColor="text1"/>
          <w:sz w:val="21"/>
          <w:szCs w:val="21"/>
          <w:highlight w:val="none"/>
          <w:u w:val="single"/>
          <w14:textFill>
            <w14:solidFill>
              <w14:schemeClr w14:val="tx1"/>
            </w14:solidFill>
          </w14:textFill>
        </w:rPr>
        <w:t>物业小区</w:t>
      </w:r>
      <w:r>
        <w:rPr>
          <w:rFonts w:hint="eastAsia" w:ascii="宋体" w:hAnsi="宋体" w:cs="宋体"/>
          <w:color w:val="000000" w:themeColor="text1"/>
          <w:sz w:val="21"/>
          <w:szCs w:val="21"/>
          <w:highlight w:val="none"/>
          <w:u w:val="single"/>
          <w:lang w:eastAsia="zh-CN"/>
          <w14:textFill>
            <w14:solidFill>
              <w14:schemeClr w14:val="tx1"/>
            </w14:solidFill>
          </w14:textFill>
        </w:rPr>
        <w:t>（含无物业管理小区）</w:t>
      </w:r>
      <w:r>
        <w:rPr>
          <w:rFonts w:hint="eastAsia" w:ascii="宋体" w:hAnsi="宋体" w:eastAsia="宋体" w:cs="宋体"/>
          <w:color w:val="000000" w:themeColor="text1"/>
          <w:sz w:val="21"/>
          <w:szCs w:val="21"/>
          <w:highlight w:val="none"/>
          <w:u w:val="single"/>
          <w14:textFill>
            <w14:solidFill>
              <w14:schemeClr w14:val="tx1"/>
            </w14:solidFill>
          </w14:textFill>
        </w:rPr>
        <w:t>、工业区、</w:t>
      </w:r>
      <w:r>
        <w:rPr>
          <w:rFonts w:hint="eastAsia" w:ascii="宋体" w:hAnsi="宋体" w:cs="宋体"/>
          <w:color w:val="000000" w:themeColor="text1"/>
          <w:sz w:val="21"/>
          <w:szCs w:val="21"/>
          <w:highlight w:val="none"/>
          <w:u w:val="single"/>
          <w:lang w:eastAsia="zh-CN"/>
          <w14:textFill>
            <w14:solidFill>
              <w14:schemeClr w14:val="tx1"/>
            </w14:solidFill>
          </w14:textFill>
        </w:rPr>
        <w:t>农贸市场、</w:t>
      </w:r>
      <w:r>
        <w:rPr>
          <w:rFonts w:hint="eastAsia" w:ascii="宋体" w:hAnsi="宋体" w:eastAsia="宋体" w:cs="宋体"/>
          <w:color w:val="000000" w:themeColor="text1"/>
          <w:sz w:val="21"/>
          <w:szCs w:val="21"/>
          <w:highlight w:val="none"/>
          <w:u w:val="single"/>
          <w14:textFill>
            <w14:solidFill>
              <w14:schemeClr w14:val="tx1"/>
            </w14:solidFill>
          </w14:textFill>
        </w:rPr>
        <w:t>企事业单位、酒店宾馆、建筑工地等区域的其他垃圾收集运输</w:t>
      </w:r>
      <w:r>
        <w:rPr>
          <w:rFonts w:hint="eastAsia" w:ascii="宋体" w:hAnsi="宋体" w:cs="宋体"/>
          <w:color w:val="000000" w:themeColor="text1"/>
          <w:sz w:val="21"/>
          <w:szCs w:val="21"/>
          <w:highlight w:val="none"/>
          <w:u w:val="single"/>
          <w:lang w:eastAsia="zh-CN"/>
          <w14:textFill>
            <w14:solidFill>
              <w14:schemeClr w14:val="tx1"/>
            </w14:solidFill>
          </w14:textFill>
        </w:rPr>
        <w:t>；辖区</w:t>
      </w:r>
      <w:r>
        <w:rPr>
          <w:rFonts w:hint="eastAsia" w:ascii="宋体" w:hAnsi="宋体" w:eastAsia="宋体" w:cs="宋体"/>
          <w:color w:val="000000" w:themeColor="text1"/>
          <w:sz w:val="21"/>
          <w:szCs w:val="21"/>
          <w:highlight w:val="none"/>
          <w:u w:val="single"/>
          <w14:textFill>
            <w14:solidFill>
              <w14:schemeClr w14:val="tx1"/>
            </w14:solidFill>
          </w14:textFill>
        </w:rPr>
        <w:t>范围内所有</w:t>
      </w:r>
      <w:r>
        <w:rPr>
          <w:rFonts w:hint="eastAsia" w:ascii="宋体" w:hAnsi="宋体" w:cs="宋体"/>
          <w:color w:val="000000" w:themeColor="text1"/>
          <w:sz w:val="21"/>
          <w:szCs w:val="21"/>
          <w:highlight w:val="none"/>
          <w:u w:val="single"/>
          <w:lang w:eastAsia="zh-CN"/>
          <w14:textFill>
            <w14:solidFill>
              <w14:schemeClr w14:val="tx1"/>
            </w14:solidFill>
          </w14:textFill>
        </w:rPr>
        <w:t>城中村、</w:t>
      </w:r>
      <w:r>
        <w:rPr>
          <w:rFonts w:hint="eastAsia" w:ascii="宋体" w:hAnsi="宋体" w:eastAsia="宋体" w:cs="宋体"/>
          <w:color w:val="000000" w:themeColor="text1"/>
          <w:sz w:val="21"/>
          <w:szCs w:val="21"/>
          <w:highlight w:val="none"/>
          <w:u w:val="single"/>
          <w14:textFill>
            <w14:solidFill>
              <w14:schemeClr w14:val="tx1"/>
            </w14:solidFill>
          </w14:textFill>
        </w:rPr>
        <w:t>物业小区</w:t>
      </w:r>
      <w:r>
        <w:rPr>
          <w:rFonts w:hint="eastAsia" w:ascii="宋体" w:hAnsi="宋体" w:cs="宋体"/>
          <w:color w:val="000000" w:themeColor="text1"/>
          <w:sz w:val="21"/>
          <w:szCs w:val="21"/>
          <w:highlight w:val="none"/>
          <w:u w:val="single"/>
          <w:lang w:eastAsia="zh-CN"/>
          <w14:textFill>
            <w14:solidFill>
              <w14:schemeClr w14:val="tx1"/>
            </w14:solidFill>
          </w14:textFill>
        </w:rPr>
        <w:t>（含无物业管理小区）</w:t>
      </w:r>
      <w:r>
        <w:rPr>
          <w:rFonts w:hint="eastAsia" w:ascii="宋体" w:hAnsi="宋体" w:eastAsia="宋体" w:cs="宋体"/>
          <w:color w:val="000000" w:themeColor="text1"/>
          <w:sz w:val="21"/>
          <w:szCs w:val="21"/>
          <w:highlight w:val="none"/>
          <w:u w:val="single"/>
          <w14:textFill>
            <w14:solidFill>
              <w14:schemeClr w14:val="tx1"/>
            </w14:solidFill>
          </w14:textFill>
        </w:rPr>
        <w:t>、工业区、</w:t>
      </w:r>
      <w:r>
        <w:rPr>
          <w:rFonts w:hint="eastAsia" w:ascii="宋体" w:hAnsi="宋体" w:cs="宋体"/>
          <w:color w:val="000000" w:themeColor="text1"/>
          <w:sz w:val="21"/>
          <w:szCs w:val="21"/>
          <w:highlight w:val="none"/>
          <w:u w:val="single"/>
          <w:lang w:eastAsia="zh-CN"/>
          <w14:textFill>
            <w14:solidFill>
              <w14:schemeClr w14:val="tx1"/>
            </w14:solidFill>
          </w14:textFill>
        </w:rPr>
        <w:t>农贸市场、</w:t>
      </w:r>
      <w:r>
        <w:rPr>
          <w:rFonts w:hint="eastAsia" w:ascii="宋体" w:hAnsi="宋体" w:eastAsia="宋体" w:cs="宋体"/>
          <w:color w:val="000000" w:themeColor="text1"/>
          <w:sz w:val="21"/>
          <w:szCs w:val="21"/>
          <w:highlight w:val="none"/>
          <w:u w:val="single"/>
          <w14:textFill>
            <w14:solidFill>
              <w14:schemeClr w14:val="tx1"/>
            </w14:solidFill>
          </w14:textFill>
        </w:rPr>
        <w:t>企事业单位、酒店宾馆、建筑工地等区域的大件废旧家具、年花年桔收集运输</w:t>
      </w:r>
      <w:r>
        <w:rPr>
          <w:rFonts w:hint="eastAsia" w:ascii="宋体" w:hAnsi="宋体" w:cs="宋体"/>
          <w:color w:val="000000" w:themeColor="text1"/>
          <w:sz w:val="21"/>
          <w:szCs w:val="21"/>
          <w:highlight w:val="none"/>
          <w:u w:val="single"/>
          <w:lang w:eastAsia="zh-CN"/>
          <w14:textFill>
            <w14:solidFill>
              <w14:schemeClr w14:val="tx1"/>
            </w14:solidFill>
          </w14:textFill>
        </w:rPr>
        <w:t>；辖区范围内</w:t>
      </w:r>
      <w:r>
        <w:rPr>
          <w:rFonts w:hint="eastAsia" w:ascii="宋体" w:hAnsi="宋体" w:eastAsia="宋体" w:cs="宋体"/>
          <w:color w:val="000000" w:themeColor="text1"/>
          <w:sz w:val="21"/>
          <w:szCs w:val="21"/>
          <w:highlight w:val="none"/>
          <w:u w:val="single"/>
          <w14:textFill>
            <w14:solidFill>
              <w14:schemeClr w14:val="tx1"/>
            </w14:solidFill>
          </w14:textFill>
        </w:rPr>
        <w:t>所有生活垃圾转运站管理并压缩运输垃圾至末端垃圾处理厂，以及</w:t>
      </w:r>
      <w:r>
        <w:rPr>
          <w:rFonts w:hint="eastAsia" w:ascii="宋体" w:hAnsi="宋体" w:cs="宋体"/>
          <w:color w:val="000000" w:themeColor="text1"/>
          <w:sz w:val="21"/>
          <w:szCs w:val="21"/>
          <w:highlight w:val="none"/>
          <w:u w:val="single"/>
          <w:lang w:eastAsia="zh-CN"/>
          <w14:textFill>
            <w14:solidFill>
              <w14:schemeClr w14:val="tx1"/>
            </w14:solidFill>
          </w14:textFill>
        </w:rPr>
        <w:t>辖区范围内</w:t>
      </w:r>
      <w:r>
        <w:rPr>
          <w:rFonts w:hint="eastAsia" w:ascii="宋体" w:hAnsi="宋体" w:eastAsia="宋体" w:cs="宋体"/>
          <w:color w:val="000000" w:themeColor="text1"/>
          <w:sz w:val="21"/>
          <w:szCs w:val="21"/>
          <w:highlight w:val="none"/>
          <w:u w:val="single"/>
          <w14:textFill>
            <w14:solidFill>
              <w14:schemeClr w14:val="tx1"/>
            </w14:solidFill>
          </w14:textFill>
        </w:rPr>
        <w:t>市政公厕管理、海景二路中水回用取水点管理。</w:t>
      </w:r>
    </w:p>
    <w:p>
      <w:pPr>
        <w:tabs>
          <w:tab w:val="left" w:pos="0"/>
        </w:tabs>
        <w:adjustRightInd w:val="0"/>
        <w:snapToGrid w:val="0"/>
        <w:ind w:left="426"/>
        <w:rPr>
          <w:rFonts w:hint="eastAsia" w:ascii="宋体" w:hAnsi="宋体" w:eastAsia="宋体" w:cs="宋体"/>
          <w:bCs/>
          <w:color w:val="auto"/>
          <w:sz w:val="21"/>
          <w:szCs w:val="21"/>
          <w:highlight w:val="none"/>
        </w:rPr>
      </w:pPr>
      <w:r>
        <w:rPr>
          <w:rFonts w:hint="eastAsia" w:ascii="宋体" w:hAnsi="宋体" w:eastAsia="宋体" w:cs="宋体"/>
          <w:bCs/>
          <w:color w:val="000000" w:themeColor="text1"/>
          <w:sz w:val="21"/>
          <w:szCs w:val="21"/>
          <w:highlight w:val="none"/>
          <w14:textFill>
            <w14:solidFill>
              <w14:schemeClr w14:val="tx1"/>
            </w14:solidFill>
          </w14:textFill>
        </w:rPr>
        <w:t>4.垃圾清运：前</w:t>
      </w:r>
      <w:r>
        <w:rPr>
          <w:rFonts w:hint="eastAsia" w:ascii="宋体" w:hAnsi="宋体" w:eastAsia="宋体" w:cs="宋体"/>
          <w:bCs/>
          <w:color w:val="auto"/>
          <w:sz w:val="21"/>
          <w:szCs w:val="21"/>
          <w:highlight w:val="none"/>
        </w:rPr>
        <w:t>端</w:t>
      </w:r>
      <w:r>
        <w:rPr>
          <w:rFonts w:hint="eastAsia" w:ascii="宋体" w:hAnsi="宋体" w:cs="宋体"/>
          <w:bCs/>
          <w:color w:val="auto"/>
          <w:sz w:val="21"/>
          <w:szCs w:val="21"/>
          <w:highlight w:val="none"/>
          <w:lang w:eastAsia="zh-CN"/>
        </w:rPr>
        <w:t>（进站量）</w:t>
      </w:r>
      <w:r>
        <w:rPr>
          <w:rFonts w:hint="eastAsia" w:ascii="宋体" w:hAnsi="宋体"/>
          <w:color w:val="auto"/>
          <w:szCs w:val="21"/>
          <w:highlight w:val="none"/>
          <w:u w:val="single"/>
          <w:lang w:val="en-US" w:eastAsia="zh-CN"/>
        </w:rPr>
        <w:t>24475.57</w:t>
      </w:r>
      <w:r>
        <w:rPr>
          <w:rFonts w:hint="eastAsia" w:ascii="宋体" w:hAnsi="宋体" w:eastAsia="宋体" w:cs="宋体"/>
          <w:bCs/>
          <w:color w:val="auto"/>
          <w:sz w:val="21"/>
          <w:szCs w:val="21"/>
          <w:highlight w:val="none"/>
        </w:rPr>
        <w:t>吨/年、后端</w:t>
      </w:r>
      <w:r>
        <w:rPr>
          <w:rFonts w:hint="eastAsia" w:ascii="宋体" w:hAnsi="宋体" w:cs="宋体"/>
          <w:bCs/>
          <w:color w:val="auto"/>
          <w:sz w:val="21"/>
          <w:szCs w:val="21"/>
          <w:highlight w:val="none"/>
          <w:lang w:eastAsia="zh-CN"/>
        </w:rPr>
        <w:t>（出站量）</w:t>
      </w:r>
      <w:r>
        <w:rPr>
          <w:rFonts w:hint="eastAsia" w:ascii="宋体" w:hAnsi="宋体"/>
          <w:color w:val="auto"/>
          <w:szCs w:val="21"/>
          <w:highlight w:val="none"/>
          <w:u w:val="single"/>
          <w:lang w:val="en-US" w:eastAsia="zh-CN"/>
        </w:rPr>
        <w:t>22517.53</w:t>
      </w:r>
      <w:r>
        <w:rPr>
          <w:rFonts w:hint="eastAsia" w:ascii="宋体" w:hAnsi="宋体" w:eastAsia="宋体" w:cs="宋体"/>
          <w:bCs/>
          <w:color w:val="auto"/>
          <w:sz w:val="21"/>
          <w:szCs w:val="21"/>
          <w:highlight w:val="none"/>
        </w:rPr>
        <w:t>吨/年（实行总量包干计费方式）；</w:t>
      </w:r>
    </w:p>
    <w:p>
      <w:pPr>
        <w:tabs>
          <w:tab w:val="left" w:pos="0"/>
        </w:tabs>
        <w:adjustRightInd w:val="0"/>
        <w:snapToGrid w:val="0"/>
        <w:ind w:left="426" w:firstLine="210" w:firstLineChars="1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生活垃圾转运站 </w:t>
      </w:r>
      <w:r>
        <w:rPr>
          <w:rFonts w:hint="eastAsia" w:ascii="宋体" w:hAnsi="宋体" w:cs="宋体"/>
          <w:bCs/>
          <w:color w:val="auto"/>
          <w:sz w:val="21"/>
          <w:szCs w:val="21"/>
          <w:highlight w:val="none"/>
          <w:u w:val="single"/>
          <w:lang w:val="en-US" w:eastAsia="zh-CN"/>
        </w:rPr>
        <w:t>4</w:t>
      </w:r>
      <w:r>
        <w:rPr>
          <w:rFonts w:hint="eastAsia" w:ascii="宋体" w:hAnsi="宋体" w:eastAsia="宋体" w:cs="宋体"/>
          <w:bCs/>
          <w:color w:val="auto"/>
          <w:sz w:val="21"/>
          <w:szCs w:val="21"/>
          <w:highlight w:val="none"/>
        </w:rPr>
        <w:t>座；</w:t>
      </w:r>
    </w:p>
    <w:p>
      <w:pPr>
        <w:rPr>
          <w:rFonts w:hint="eastAsia" w:ascii="宋体" w:hAnsi="宋体" w:eastAsia="宋体" w:cs="宋体"/>
          <w:bCs/>
          <w:color w:val="auto"/>
          <w:sz w:val="21"/>
          <w:szCs w:val="21"/>
          <w:highlight w:val="none"/>
        </w:rPr>
      </w:pPr>
      <w:r>
        <w:rPr>
          <w:rFonts w:hint="eastAsia" w:ascii="宋体" w:hAnsi="宋体" w:eastAsia="宋体" w:cs="宋体"/>
          <w:snapToGrid w:val="0"/>
          <w:color w:val="auto"/>
          <w:kern w:val="0"/>
          <w:sz w:val="21"/>
          <w:szCs w:val="21"/>
          <w:highlight w:val="none"/>
        </w:rPr>
        <w:t xml:space="preserve">      市政公厕</w:t>
      </w:r>
      <w:r>
        <w:rPr>
          <w:rFonts w:hint="eastAsia" w:ascii="宋体" w:hAnsi="宋体" w:cs="宋体"/>
          <w:bCs/>
          <w:color w:val="auto"/>
          <w:sz w:val="21"/>
          <w:szCs w:val="21"/>
          <w:highlight w:val="none"/>
          <w:u w:val="single"/>
          <w:lang w:val="en-US" w:eastAsia="zh-CN"/>
        </w:rPr>
        <w:t>8</w:t>
      </w:r>
      <w:r>
        <w:rPr>
          <w:rFonts w:hint="eastAsia" w:ascii="宋体" w:hAnsi="宋体" w:eastAsia="宋体" w:cs="宋体"/>
          <w:bCs/>
          <w:color w:val="auto"/>
          <w:sz w:val="21"/>
          <w:szCs w:val="21"/>
          <w:highlight w:val="none"/>
        </w:rPr>
        <w:t>座；</w:t>
      </w:r>
    </w:p>
    <w:p>
      <w:pP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  </w:t>
      </w:r>
      <w:r>
        <w:rPr>
          <w:rFonts w:hint="eastAsia" w:ascii="宋体" w:hAnsi="宋体" w:eastAsia="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rPr>
        <w:t>中水回用取水点</w:t>
      </w:r>
      <w:r>
        <w:rPr>
          <w:rFonts w:hint="eastAsia" w:ascii="宋体" w:hAnsi="宋体" w:eastAsia="宋体" w:cs="宋体"/>
          <w:bCs/>
          <w:color w:val="auto"/>
          <w:sz w:val="21"/>
          <w:szCs w:val="21"/>
          <w:highlight w:val="none"/>
          <w:u w:val="single"/>
        </w:rPr>
        <w:t>1</w:t>
      </w:r>
      <w:r>
        <w:rPr>
          <w:rFonts w:hint="eastAsia" w:ascii="宋体" w:hAnsi="宋体" w:eastAsia="宋体" w:cs="宋体"/>
          <w:bCs/>
          <w:color w:val="auto"/>
          <w:sz w:val="21"/>
          <w:szCs w:val="21"/>
          <w:highlight w:val="none"/>
        </w:rPr>
        <w:t>处。详见《盐田区</w:t>
      </w:r>
      <w:r>
        <w:rPr>
          <w:rFonts w:hint="eastAsia" w:ascii="宋体" w:hAnsi="宋体" w:eastAsia="宋体" w:cs="宋体"/>
          <w:bCs/>
          <w:color w:val="auto"/>
          <w:sz w:val="21"/>
          <w:szCs w:val="21"/>
          <w:highlight w:val="none"/>
          <w:lang w:eastAsia="zh-CN"/>
        </w:rPr>
        <w:t>海山</w:t>
      </w:r>
      <w:r>
        <w:rPr>
          <w:rFonts w:hint="eastAsia" w:ascii="宋体" w:hAnsi="宋体" w:eastAsia="宋体" w:cs="宋体"/>
          <w:bCs/>
          <w:color w:val="auto"/>
          <w:sz w:val="21"/>
          <w:szCs w:val="21"/>
          <w:highlight w:val="none"/>
        </w:rPr>
        <w:t>街道垃圾站、垃圾清运、桶点及公厕管理基础数据一览表》。</w:t>
      </w:r>
    </w:p>
    <w:p>
      <w:pPr>
        <w:tabs>
          <w:tab w:val="left" w:pos="0"/>
        </w:tabs>
        <w:adjustRightInd w:val="0"/>
        <w:snapToGrid w:val="0"/>
        <w:ind w:left="426" w:firstLine="210" w:firstLineChars="100"/>
        <w:rPr>
          <w:rFonts w:hint="eastAsia" w:ascii="宋体" w:hAnsi="宋体" w:eastAsia="宋体" w:cs="宋体"/>
          <w:b/>
          <w:bCs/>
          <w:snapToGrid w:val="0"/>
          <w:color w:val="auto"/>
          <w:kern w:val="0"/>
          <w:sz w:val="21"/>
          <w:szCs w:val="21"/>
          <w:highlight w:val="none"/>
        </w:rPr>
      </w:pPr>
    </w:p>
    <w:p>
      <w:pPr>
        <w:tabs>
          <w:tab w:val="left" w:pos="0"/>
        </w:tabs>
        <w:adjustRightInd w:val="0"/>
        <w:snapToGrid w:val="0"/>
        <w:ind w:left="426" w:firstLine="210" w:firstLineChars="100"/>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注</w:t>
      </w:r>
      <w:r>
        <w:rPr>
          <w:rFonts w:hint="eastAsia" w:ascii="宋体" w:hAnsi="宋体" w:eastAsia="宋体" w:cs="宋体"/>
          <w:snapToGrid w:val="0"/>
          <w:color w:val="auto"/>
          <w:kern w:val="0"/>
          <w:sz w:val="21"/>
          <w:szCs w:val="21"/>
          <w:highlight w:val="none"/>
        </w:rPr>
        <w:t>：</w:t>
      </w:r>
    </w:p>
    <w:p>
      <w:pPr>
        <w:pStyle w:val="72"/>
        <w:widowControl/>
        <w:numPr>
          <w:ilvl w:val="0"/>
          <w:numId w:val="0"/>
        </w:numPr>
        <w:ind w:firstLine="420" w:firstLineChars="200"/>
        <w:jc w:val="left"/>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lang w:val="en-US" w:eastAsia="zh-CN"/>
        </w:rPr>
        <w:t>1</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在合同履行期间，因政策变化或实际管理需要，导致清扫保洁面积、道路等级、 数量或规格发生变化的，</w:t>
      </w:r>
      <w:r>
        <w:rPr>
          <w:rFonts w:hint="eastAsia" w:ascii="宋体" w:hAnsi="宋体" w:cs="宋体"/>
          <w:color w:val="auto"/>
          <w:kern w:val="0"/>
          <w:sz w:val="21"/>
          <w:szCs w:val="21"/>
          <w:highlight w:val="none"/>
          <w:lang w:eastAsia="zh-CN"/>
        </w:rPr>
        <w:t>投</w:t>
      </w:r>
      <w:r>
        <w:rPr>
          <w:rFonts w:hint="eastAsia" w:ascii="宋体" w:hAnsi="宋体" w:eastAsia="宋体" w:cs="宋体"/>
          <w:color w:val="auto"/>
          <w:kern w:val="0"/>
          <w:sz w:val="21"/>
          <w:szCs w:val="21"/>
          <w:highlight w:val="none"/>
        </w:rPr>
        <w:t>标</w:t>
      </w:r>
      <w:r>
        <w:rPr>
          <w:rFonts w:hint="eastAsia" w:ascii="宋体" w:hAnsi="宋体" w:cs="宋体"/>
          <w:color w:val="auto"/>
          <w:kern w:val="0"/>
          <w:sz w:val="21"/>
          <w:szCs w:val="21"/>
          <w:highlight w:val="none"/>
          <w:lang w:val="en-US" w:eastAsia="zh-CN"/>
        </w:rPr>
        <w:t>人</w:t>
      </w:r>
      <w:r>
        <w:rPr>
          <w:rFonts w:hint="eastAsia" w:ascii="宋体" w:hAnsi="宋体" w:eastAsia="宋体" w:cs="宋体"/>
          <w:color w:val="auto"/>
          <w:kern w:val="0"/>
          <w:sz w:val="21"/>
          <w:szCs w:val="21"/>
          <w:highlight w:val="none"/>
        </w:rPr>
        <w:t>需无条件服从安排，</w:t>
      </w:r>
      <w:r>
        <w:rPr>
          <w:rFonts w:hint="eastAsia" w:ascii="宋体" w:hAnsi="宋体"/>
          <w:color w:val="auto"/>
          <w:highlight w:val="none"/>
          <w:lang w:eastAsia="zh-CN"/>
        </w:rPr>
        <w:t>服务费用参照《投标单价一览表》对应投标单价按变动后的实际情况计取，并签订补充协议，费用增加的应按有关规定向财政部门申请。</w:t>
      </w:r>
    </w:p>
    <w:p>
      <w:pPr>
        <w:numPr>
          <w:ilvl w:val="0"/>
          <w:numId w:val="0"/>
        </w:numPr>
        <w:tabs>
          <w:tab w:val="left" w:pos="0"/>
        </w:tabs>
        <w:adjustRightInd w:val="0"/>
        <w:snapToGrid w:val="0"/>
        <w:ind w:firstLine="420" w:firstLineChars="200"/>
        <w:rPr>
          <w:rFonts w:hint="eastAsia" w:ascii="宋体" w:hAnsi="宋体" w:eastAsia="宋体" w:cs="宋体"/>
          <w:bCs/>
          <w:color w:val="auto"/>
          <w:sz w:val="21"/>
          <w:szCs w:val="21"/>
          <w:highlight w:val="none"/>
        </w:rPr>
      </w:pPr>
      <w:r>
        <w:rPr>
          <w:rFonts w:hint="eastAsia" w:ascii="宋体" w:hAnsi="宋体" w:cs="宋体"/>
          <w:snapToGrid w:val="0"/>
          <w:color w:val="auto"/>
          <w:kern w:val="0"/>
          <w:sz w:val="21"/>
          <w:szCs w:val="21"/>
          <w:highlight w:val="none"/>
          <w:lang w:eastAsia="zh-CN"/>
        </w:rPr>
        <w:t>（</w:t>
      </w:r>
      <w:r>
        <w:rPr>
          <w:rFonts w:hint="eastAsia" w:ascii="宋体" w:hAnsi="宋体" w:cs="宋体"/>
          <w:snapToGrid w:val="0"/>
          <w:color w:val="auto"/>
          <w:kern w:val="0"/>
          <w:sz w:val="21"/>
          <w:szCs w:val="21"/>
          <w:highlight w:val="none"/>
          <w:lang w:val="en-US" w:eastAsia="zh-CN"/>
        </w:rPr>
        <w:t>2</w:t>
      </w:r>
      <w:r>
        <w:rPr>
          <w:rFonts w:hint="eastAsia" w:ascii="宋体" w:hAnsi="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在合同履行期间，因目前尚未进站的垃圾逐步进站导致垃圾增量，垃圾分类、餐</w:t>
      </w:r>
    </w:p>
    <w:p>
      <w:pPr>
        <w:numPr>
          <w:ilvl w:val="0"/>
          <w:numId w:val="0"/>
        </w:numPr>
        <w:tabs>
          <w:tab w:val="left" w:pos="0"/>
        </w:tabs>
        <w:adjustRightInd w:val="0"/>
        <w:snapToGrid w:val="0"/>
        <w:rPr>
          <w:rFonts w:hint="eastAsia" w:ascii="宋体" w:hAnsi="宋体" w:eastAsia="宋体" w:cs="宋体"/>
          <w:bCs/>
          <w:color w:val="auto"/>
          <w:sz w:val="21"/>
          <w:szCs w:val="21"/>
          <w:highlight w:val="none"/>
        </w:rPr>
      </w:pPr>
      <w:r>
        <w:rPr>
          <w:rFonts w:hint="eastAsia" w:ascii="宋体" w:hAnsi="宋体" w:eastAsia="宋体" w:cs="宋体"/>
          <w:snapToGrid w:val="0"/>
          <w:color w:val="auto"/>
          <w:kern w:val="0"/>
          <w:sz w:val="21"/>
          <w:szCs w:val="21"/>
          <w:highlight w:val="none"/>
        </w:rPr>
        <w:t>厨垃圾收运工作的推进实现的垃圾减量，以及因城市更新导致垃圾清运量的波动，均不因此而对本包垃圾清运服务费进行调整，投标</w:t>
      </w:r>
      <w:r>
        <w:rPr>
          <w:rFonts w:hint="eastAsia" w:ascii="宋体" w:hAnsi="宋体" w:cs="宋体"/>
          <w:snapToGrid w:val="0"/>
          <w:color w:val="auto"/>
          <w:kern w:val="0"/>
          <w:sz w:val="21"/>
          <w:szCs w:val="21"/>
          <w:highlight w:val="none"/>
          <w:lang w:val="en-US" w:eastAsia="zh-CN"/>
        </w:rPr>
        <w:t>人</w:t>
      </w:r>
      <w:r>
        <w:rPr>
          <w:rFonts w:hint="eastAsia" w:ascii="宋体" w:hAnsi="宋体" w:eastAsia="宋体" w:cs="宋体"/>
          <w:snapToGrid w:val="0"/>
          <w:color w:val="auto"/>
          <w:kern w:val="0"/>
          <w:sz w:val="21"/>
          <w:szCs w:val="21"/>
          <w:highlight w:val="none"/>
        </w:rPr>
        <w:t>在投标报价时应当知晓并适当考虑。</w:t>
      </w:r>
    </w:p>
    <w:p>
      <w:pPr>
        <w:numPr>
          <w:ilvl w:val="0"/>
          <w:numId w:val="0"/>
        </w:numPr>
        <w:tabs>
          <w:tab w:val="left" w:pos="0"/>
        </w:tabs>
        <w:adjustRightInd w:val="0"/>
        <w:snapToGrid w:val="0"/>
        <w:ind w:firstLine="420" w:firstLineChars="200"/>
        <w:rPr>
          <w:rFonts w:hint="eastAsia" w:ascii="宋体" w:hAnsi="宋体" w:eastAsia="宋体" w:cs="宋体"/>
          <w:bCs/>
          <w:color w:val="auto"/>
          <w:sz w:val="21"/>
          <w:szCs w:val="21"/>
          <w:highlight w:val="none"/>
        </w:rPr>
      </w:pPr>
      <w:r>
        <w:rPr>
          <w:rFonts w:hint="eastAsia" w:ascii="宋体" w:hAnsi="宋体" w:cs="宋体"/>
          <w:bCs/>
          <w:color w:val="auto"/>
          <w:sz w:val="21"/>
          <w:szCs w:val="21"/>
          <w:highlight w:val="none"/>
          <w:lang w:eastAsia="zh-CN"/>
        </w:rPr>
        <w:t>（</w:t>
      </w:r>
      <w:r>
        <w:rPr>
          <w:rFonts w:hint="eastAsia" w:ascii="宋体" w:hAnsi="宋体" w:cs="宋体"/>
          <w:bCs/>
          <w:color w:val="auto"/>
          <w:sz w:val="21"/>
          <w:szCs w:val="21"/>
          <w:highlight w:val="none"/>
          <w:lang w:val="en-US" w:eastAsia="zh-CN"/>
        </w:rPr>
        <w:t>3</w:t>
      </w:r>
      <w:r>
        <w:rPr>
          <w:rFonts w:hint="eastAsia" w:ascii="宋体" w:hAnsi="宋体" w:cs="宋体"/>
          <w:bCs/>
          <w:color w:val="auto"/>
          <w:sz w:val="21"/>
          <w:szCs w:val="21"/>
          <w:highlight w:val="none"/>
          <w:lang w:eastAsia="zh-CN"/>
        </w:rPr>
        <w:t>）</w:t>
      </w:r>
      <w:r>
        <w:rPr>
          <w:rFonts w:hint="eastAsia" w:ascii="宋体" w:hAnsi="宋体" w:eastAsia="宋体" w:cs="宋体"/>
          <w:bCs/>
          <w:color w:val="auto"/>
          <w:sz w:val="21"/>
          <w:szCs w:val="21"/>
          <w:highlight w:val="none"/>
        </w:rPr>
        <w:t>途中若垃圾站</w:t>
      </w:r>
      <w:r>
        <w:rPr>
          <w:rFonts w:hint="eastAsia" w:ascii="宋体" w:hAnsi="宋体" w:eastAsia="宋体" w:cs="宋体"/>
          <w:snapToGrid w:val="0"/>
          <w:color w:val="auto"/>
          <w:kern w:val="0"/>
          <w:sz w:val="21"/>
          <w:szCs w:val="21"/>
          <w:highlight w:val="none"/>
        </w:rPr>
        <w:t>改造或其他原因造成管理范围增减，均不因此而对本包垃圾清运服</w:t>
      </w:r>
    </w:p>
    <w:p>
      <w:pPr>
        <w:numPr>
          <w:ilvl w:val="0"/>
          <w:numId w:val="0"/>
        </w:numPr>
        <w:tabs>
          <w:tab w:val="left" w:pos="0"/>
        </w:tabs>
        <w:adjustRightInd w:val="0"/>
        <w:snapToGrid w:val="0"/>
        <w:rPr>
          <w:rFonts w:hint="eastAsia" w:ascii="宋体" w:hAnsi="宋体" w:eastAsia="宋体" w:cs="宋体"/>
          <w:bCs/>
          <w:color w:val="auto"/>
          <w:sz w:val="21"/>
          <w:szCs w:val="21"/>
          <w:highlight w:val="none"/>
        </w:rPr>
      </w:pPr>
      <w:r>
        <w:rPr>
          <w:rFonts w:hint="eastAsia" w:ascii="宋体" w:hAnsi="宋体" w:eastAsia="宋体" w:cs="宋体"/>
          <w:snapToGrid w:val="0"/>
          <w:color w:val="auto"/>
          <w:kern w:val="0"/>
          <w:sz w:val="21"/>
          <w:szCs w:val="21"/>
          <w:highlight w:val="none"/>
        </w:rPr>
        <w:t>务费进行调整，投标</w:t>
      </w:r>
      <w:r>
        <w:rPr>
          <w:rFonts w:hint="eastAsia" w:ascii="宋体" w:hAnsi="宋体" w:cs="宋体"/>
          <w:snapToGrid w:val="0"/>
          <w:color w:val="auto"/>
          <w:kern w:val="0"/>
          <w:sz w:val="21"/>
          <w:szCs w:val="21"/>
          <w:highlight w:val="none"/>
          <w:lang w:val="en-US" w:eastAsia="zh-CN"/>
        </w:rPr>
        <w:t>人</w:t>
      </w:r>
      <w:r>
        <w:rPr>
          <w:rFonts w:hint="eastAsia" w:ascii="宋体" w:hAnsi="宋体" w:eastAsia="宋体" w:cs="宋体"/>
          <w:snapToGrid w:val="0"/>
          <w:color w:val="auto"/>
          <w:kern w:val="0"/>
          <w:sz w:val="21"/>
          <w:szCs w:val="21"/>
          <w:highlight w:val="none"/>
        </w:rPr>
        <w:t>在投标报价时应当知晓并适当考虑。</w:t>
      </w:r>
    </w:p>
    <w:p>
      <w:pPr>
        <w:numPr>
          <w:ilvl w:val="0"/>
          <w:numId w:val="0"/>
        </w:numPr>
        <w:tabs>
          <w:tab w:val="left" w:pos="0"/>
        </w:tabs>
        <w:adjustRightInd w:val="0"/>
        <w:snapToGrid w:val="0"/>
        <w:ind w:firstLine="420" w:firstLineChars="200"/>
        <w:rPr>
          <w:rFonts w:hint="eastAsia" w:ascii="宋体" w:hAnsi="宋体" w:eastAsia="宋体" w:cs="宋体"/>
          <w:bCs/>
          <w:color w:val="auto"/>
          <w:sz w:val="21"/>
          <w:szCs w:val="21"/>
          <w:highlight w:val="none"/>
        </w:rPr>
      </w:pP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lang w:val="en-US" w:eastAsia="zh-CN"/>
        </w:rPr>
        <w:t>4</w:t>
      </w:r>
      <w:r>
        <w:rPr>
          <w:rFonts w:hint="eastAsia" w:ascii="宋体" w:hAnsi="宋体" w:cs="宋体"/>
          <w:color w:val="auto"/>
          <w:kern w:val="0"/>
          <w:sz w:val="21"/>
          <w:szCs w:val="21"/>
          <w:highlight w:val="none"/>
          <w:lang w:eastAsia="zh-CN"/>
        </w:rPr>
        <w:t>）投</w:t>
      </w:r>
      <w:r>
        <w:rPr>
          <w:rFonts w:hint="eastAsia" w:ascii="宋体" w:hAnsi="宋体" w:eastAsia="宋体" w:cs="宋体"/>
          <w:snapToGrid w:val="0"/>
          <w:color w:val="auto"/>
          <w:kern w:val="0"/>
          <w:sz w:val="21"/>
          <w:szCs w:val="21"/>
          <w:highlight w:val="none"/>
        </w:rPr>
        <w:t>标</w:t>
      </w:r>
      <w:r>
        <w:rPr>
          <w:rFonts w:hint="eastAsia" w:ascii="宋体" w:hAnsi="宋体" w:cs="宋体"/>
          <w:snapToGrid w:val="0"/>
          <w:color w:val="auto"/>
          <w:kern w:val="0"/>
          <w:sz w:val="21"/>
          <w:szCs w:val="21"/>
          <w:highlight w:val="none"/>
          <w:lang w:val="en-US" w:eastAsia="zh-CN"/>
        </w:rPr>
        <w:t>人</w:t>
      </w:r>
      <w:r>
        <w:rPr>
          <w:rFonts w:hint="eastAsia" w:ascii="宋体" w:hAnsi="宋体" w:eastAsia="宋体" w:cs="宋体"/>
          <w:snapToGrid w:val="0"/>
          <w:color w:val="auto"/>
          <w:kern w:val="0"/>
          <w:sz w:val="21"/>
          <w:szCs w:val="21"/>
          <w:highlight w:val="none"/>
        </w:rPr>
        <w:t>对本包范围内城市生活垃圾和市政道路清扫保洁垃圾必须无条件接收和</w:t>
      </w:r>
    </w:p>
    <w:p>
      <w:pPr>
        <w:numPr>
          <w:ilvl w:val="0"/>
          <w:numId w:val="0"/>
        </w:numPr>
        <w:tabs>
          <w:tab w:val="left" w:pos="0"/>
        </w:tabs>
        <w:adjustRightInd w:val="0"/>
        <w:snapToGrid w:val="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清运（参见《大件垃圾收集和利用技术要求》 （GB／T 25175））、城市污泥、树干和危险</w:t>
      </w:r>
      <w:r>
        <w:rPr>
          <w:rFonts w:hint="eastAsia" w:ascii="宋体" w:hAnsi="宋体" w:cs="宋体"/>
          <w:snapToGrid w:val="0"/>
          <w:color w:val="auto"/>
          <w:kern w:val="0"/>
          <w:sz w:val="21"/>
          <w:szCs w:val="21"/>
          <w:highlight w:val="none"/>
          <w:lang w:eastAsia="zh-CN"/>
        </w:rPr>
        <w:t>废物</w:t>
      </w:r>
      <w:r>
        <w:rPr>
          <w:rFonts w:hint="eastAsia" w:ascii="宋体" w:hAnsi="宋体" w:eastAsia="宋体" w:cs="宋体"/>
          <w:snapToGrid w:val="0"/>
          <w:color w:val="auto"/>
          <w:kern w:val="0"/>
          <w:sz w:val="21"/>
          <w:szCs w:val="21"/>
          <w:highlight w:val="none"/>
        </w:rPr>
        <w:t>除外）。</w:t>
      </w:r>
    </w:p>
    <w:p>
      <w:pPr>
        <w:numPr>
          <w:ilvl w:val="0"/>
          <w:numId w:val="0"/>
        </w:numPr>
        <w:tabs>
          <w:tab w:val="left" w:pos="0"/>
        </w:tabs>
        <w:adjustRightInd w:val="0"/>
        <w:snapToGrid w:val="0"/>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cs="宋体"/>
          <w:snapToGrid w:val="0"/>
          <w:color w:val="auto"/>
          <w:kern w:val="0"/>
          <w:sz w:val="21"/>
          <w:szCs w:val="21"/>
          <w:highlight w:val="none"/>
          <w:lang w:eastAsia="zh-CN"/>
        </w:rPr>
        <w:t>（</w:t>
      </w:r>
      <w:r>
        <w:rPr>
          <w:rFonts w:hint="eastAsia" w:ascii="宋体" w:hAnsi="宋体" w:cs="宋体"/>
          <w:snapToGrid w:val="0"/>
          <w:color w:val="auto"/>
          <w:kern w:val="0"/>
          <w:sz w:val="21"/>
          <w:szCs w:val="21"/>
          <w:highlight w:val="none"/>
          <w:lang w:val="en-US" w:eastAsia="zh-CN"/>
        </w:rPr>
        <w:t>5</w:t>
      </w:r>
      <w:r>
        <w:rPr>
          <w:rFonts w:hint="eastAsia" w:ascii="宋体" w:hAnsi="宋体" w:cs="宋体"/>
          <w:snapToGrid w:val="0"/>
          <w:color w:val="auto"/>
          <w:kern w:val="0"/>
          <w:sz w:val="21"/>
          <w:szCs w:val="21"/>
          <w:highlight w:val="none"/>
          <w:lang w:eastAsia="zh-CN"/>
        </w:rPr>
        <w:t>）</w:t>
      </w:r>
      <w:r>
        <w:rPr>
          <w:rFonts w:hint="eastAsia" w:ascii="宋体" w:hAnsi="宋体" w:eastAsia="宋体" w:cs="宋体"/>
          <w:bCs/>
          <w:color w:val="auto"/>
          <w:sz w:val="21"/>
          <w:szCs w:val="21"/>
          <w:highlight w:val="none"/>
        </w:rPr>
        <w:t>途中若公共厕所</w:t>
      </w:r>
      <w:r>
        <w:rPr>
          <w:rFonts w:hint="eastAsia" w:ascii="宋体" w:hAnsi="宋体" w:eastAsia="宋体" w:cs="宋体"/>
          <w:snapToGrid w:val="0"/>
          <w:color w:val="auto"/>
          <w:kern w:val="0"/>
          <w:sz w:val="21"/>
          <w:szCs w:val="21"/>
          <w:highlight w:val="none"/>
        </w:rPr>
        <w:t>改造或其他原因造成管理范围增减，</w:t>
      </w:r>
      <w:r>
        <w:rPr>
          <w:rFonts w:hint="eastAsia" w:ascii="宋体" w:hAnsi="宋体" w:cs="宋体"/>
          <w:color w:val="auto"/>
          <w:kern w:val="0"/>
          <w:sz w:val="21"/>
          <w:szCs w:val="21"/>
          <w:highlight w:val="none"/>
          <w:lang w:eastAsia="zh-CN"/>
        </w:rPr>
        <w:t>投</w:t>
      </w:r>
      <w:r>
        <w:rPr>
          <w:rFonts w:hint="eastAsia" w:ascii="宋体" w:hAnsi="宋体" w:eastAsia="宋体" w:cs="宋体"/>
          <w:color w:val="auto"/>
          <w:kern w:val="0"/>
          <w:sz w:val="21"/>
          <w:szCs w:val="21"/>
          <w:highlight w:val="none"/>
        </w:rPr>
        <w:t>标</w:t>
      </w:r>
      <w:r>
        <w:rPr>
          <w:rFonts w:hint="eastAsia" w:ascii="宋体" w:hAnsi="宋体" w:cs="宋体"/>
          <w:color w:val="auto"/>
          <w:kern w:val="0"/>
          <w:sz w:val="21"/>
          <w:szCs w:val="21"/>
          <w:highlight w:val="none"/>
          <w:lang w:val="en-US" w:eastAsia="zh-CN"/>
        </w:rPr>
        <w:t>人</w:t>
      </w:r>
      <w:r>
        <w:rPr>
          <w:rFonts w:hint="eastAsia" w:ascii="宋体" w:hAnsi="宋体" w:eastAsia="宋体" w:cs="宋体"/>
          <w:color w:val="auto"/>
          <w:kern w:val="0"/>
          <w:sz w:val="21"/>
          <w:szCs w:val="21"/>
          <w:highlight w:val="none"/>
        </w:rPr>
        <w:t>需无条件</w:t>
      </w:r>
      <w:r>
        <w:rPr>
          <w:rFonts w:hint="eastAsia" w:ascii="宋体" w:hAnsi="宋体" w:eastAsia="宋体" w:cs="宋体"/>
          <w:color w:val="000000" w:themeColor="text1"/>
          <w:kern w:val="0"/>
          <w:sz w:val="21"/>
          <w:szCs w:val="21"/>
          <w:highlight w:val="none"/>
          <w14:textFill>
            <w14:solidFill>
              <w14:schemeClr w14:val="tx1"/>
            </w14:solidFill>
          </w14:textFill>
        </w:rPr>
        <w:t>服从安排，</w:t>
      </w:r>
      <w:r>
        <w:rPr>
          <w:rFonts w:hint="eastAsia" w:ascii="宋体" w:hAnsi="宋体"/>
          <w:color w:val="000000" w:themeColor="text1"/>
          <w:highlight w:val="none"/>
          <w:lang w:eastAsia="zh-CN"/>
          <w14:textFill>
            <w14:solidFill>
              <w14:schemeClr w14:val="tx1"/>
            </w14:solidFill>
          </w14:textFill>
        </w:rPr>
        <w:t>服务费用参照《投标单价一览表》对应投标单价按变动后的实际情况计取，并签订补充协议，费用增加的应按有关规定向财政部门申请。</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lang w:eastAsia="zh-CN"/>
          <w14:textFill>
            <w14:solidFill>
              <w14:schemeClr w14:val="tx1"/>
            </w14:solidFill>
          </w14:textFill>
        </w:rPr>
        <w:t>（</w:t>
      </w:r>
      <w:r>
        <w:rPr>
          <w:rFonts w:hint="eastAsia" w:ascii="宋体" w:hAnsi="宋体" w:cs="宋体"/>
          <w:b/>
          <w:color w:val="000000" w:themeColor="text1"/>
          <w:sz w:val="21"/>
          <w:szCs w:val="21"/>
          <w:highlight w:val="none"/>
          <w:lang w:val="en-US" w:eastAsia="zh-CN"/>
          <w14:textFill>
            <w14:solidFill>
              <w14:schemeClr w14:val="tx1"/>
            </w14:solidFill>
          </w14:textFill>
        </w:rPr>
        <w:t>二</w:t>
      </w:r>
      <w:r>
        <w:rPr>
          <w:rFonts w:hint="eastAsia" w:ascii="宋体" w:hAnsi="宋体" w:cs="宋体"/>
          <w:b/>
          <w:color w:val="000000" w:themeColor="text1"/>
          <w:sz w:val="21"/>
          <w:szCs w:val="21"/>
          <w:highlight w:val="none"/>
          <w:lang w:eastAsia="zh-CN"/>
          <w14:textFill>
            <w14:solidFill>
              <w14:schemeClr w14:val="tx1"/>
            </w14:solidFill>
          </w14:textFill>
        </w:rPr>
        <w:t>）</w:t>
      </w:r>
      <w:r>
        <w:rPr>
          <w:rFonts w:hint="eastAsia" w:ascii="宋体" w:hAnsi="宋体" w:eastAsia="宋体" w:cs="宋体"/>
          <w:b/>
          <w:color w:val="000000" w:themeColor="text1"/>
          <w:sz w:val="21"/>
          <w:szCs w:val="21"/>
          <w:highlight w:val="none"/>
          <w14:textFill>
            <w14:solidFill>
              <w14:schemeClr w14:val="tx1"/>
            </w14:solidFill>
          </w14:textFill>
        </w:rPr>
        <w:t>服务内容</w:t>
      </w:r>
    </w:p>
    <w:p>
      <w:pPr>
        <w:spacing w:before="120" w:beforeLines="50"/>
        <w:ind w:firstLine="421" w:firstLineChars="200"/>
        <w:outlineLvl w:val="4"/>
        <w:rPr>
          <w:rFonts w:hint="eastAsia" w:ascii="宋体" w:hAnsi="宋体" w:eastAsia="宋体" w:cs="宋体"/>
          <w:b/>
          <w:bCs/>
          <w:snapToGrid w:val="0"/>
          <w:color w:val="000000" w:themeColor="text1"/>
          <w:kern w:val="0"/>
          <w:sz w:val="21"/>
          <w:szCs w:val="21"/>
          <w:highlight w:val="none"/>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1.</w:t>
      </w:r>
      <w:r>
        <w:rPr>
          <w:rFonts w:hint="eastAsia" w:ascii="宋体" w:hAnsi="宋体" w:cs="宋体"/>
          <w:b/>
          <w:bCs/>
          <w:snapToGrid w:val="0"/>
          <w:color w:val="000000" w:themeColor="text1"/>
          <w:kern w:val="0"/>
          <w:sz w:val="21"/>
          <w:szCs w:val="21"/>
          <w:highlight w:val="none"/>
          <w:lang w:eastAsia="zh-CN"/>
          <w14:textFill>
            <w14:solidFill>
              <w14:schemeClr w14:val="tx1"/>
            </w14:solidFill>
          </w14:textFill>
        </w:rPr>
        <w:t>市政</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清扫保洁服务内容：</w:t>
      </w:r>
    </w:p>
    <w:p>
      <w:pPr>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w:t>
      </w:r>
      <w:r>
        <w:rPr>
          <w:rFonts w:hint="eastAsia" w:ascii="宋体" w:hAnsi="宋体" w:eastAsia="宋体" w:cs="宋体"/>
          <w:snapToGrid w:val="0"/>
          <w:color w:val="000000" w:themeColor="text1"/>
          <w:kern w:val="0"/>
          <w:sz w:val="21"/>
          <w:szCs w:val="21"/>
          <w:highlight w:val="none"/>
          <w14:textFill>
            <w14:solidFill>
              <w14:schemeClr w14:val="tx1"/>
            </w14:solidFill>
          </w14:textFill>
        </w:rPr>
        <w:t>道路清扫保洁工作：市政范围内机动车主次干道（包括主车道、辅车道、立交桥、地下通道和隧道等机动车道）进行机械化清扫和巡回保洁（</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采购人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snapToGrid w:val="0"/>
          <w:color w:val="000000" w:themeColor="text1"/>
          <w:kern w:val="0"/>
          <w:sz w:val="21"/>
          <w:szCs w:val="21"/>
          <w:highlight w:val="none"/>
          <w14:textFill>
            <w14:solidFill>
              <w14:schemeClr w14:val="tx1"/>
            </w14:solidFill>
          </w14:textFill>
        </w:rPr>
        <w:t>可根据实际情况要求增加辅助性人工保洁）；绿化带、道路及两旁（外延到墙边）结合部、边角地、无主用地的暴露垃圾、零星垃圾、零星余泥渣土、建筑垃圾、废弃家具等及井盖、防蚊闸积存垃圾的清理；非机动车道、人行道、商业步行街、公共广场、</w:t>
      </w:r>
      <w:r>
        <w:rPr>
          <w:rFonts w:hint="eastAsia" w:ascii="宋体" w:hAnsi="宋体" w:cs="宋体"/>
          <w:snapToGrid w:val="0"/>
          <w:color w:val="000000" w:themeColor="text1"/>
          <w:kern w:val="0"/>
          <w:sz w:val="21"/>
          <w:szCs w:val="21"/>
          <w:highlight w:val="none"/>
          <w:lang w:eastAsia="zh-CN"/>
          <w14:textFill>
            <w14:solidFill>
              <w14:schemeClr w14:val="tx1"/>
            </w14:solidFill>
          </w14:textFill>
        </w:rPr>
        <w:t>区属公园（中央公园、海景公园、海滨栈道）、</w:t>
      </w:r>
      <w:r>
        <w:rPr>
          <w:rFonts w:hint="eastAsia" w:ascii="宋体" w:hAnsi="宋体" w:eastAsia="宋体" w:cs="宋体"/>
          <w:snapToGrid w:val="0"/>
          <w:color w:val="000000" w:themeColor="text1"/>
          <w:kern w:val="0"/>
          <w:sz w:val="21"/>
          <w:szCs w:val="21"/>
          <w:highlight w:val="none"/>
          <w14:textFill>
            <w14:solidFill>
              <w14:schemeClr w14:val="tx1"/>
            </w14:solidFill>
          </w14:textFill>
        </w:rPr>
        <w:t>人行天桥、人行地下通道、排水明沟、门前三包地段及社区道路进行人工清扫和连续性保洁；对施工工地、余泥渣土受纳场、砂石供应站、混凝土搅拌站和泥头车运输主干道等重点道路，机动车道和道牙每天冲洗两次，人行道每周冲洗三次（</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采购人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snapToGrid w:val="0"/>
          <w:color w:val="000000" w:themeColor="text1"/>
          <w:kern w:val="0"/>
          <w:sz w:val="21"/>
          <w:szCs w:val="21"/>
          <w:highlight w:val="none"/>
          <w14:textFill>
            <w14:solidFill>
              <w14:schemeClr w14:val="tx1"/>
            </w14:solidFill>
          </w14:textFill>
        </w:rPr>
        <w:t>可根据实际情况要求增加</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冲洗频次</w:t>
      </w:r>
      <w:r>
        <w:rPr>
          <w:rFonts w:hint="eastAsia" w:ascii="宋体" w:hAnsi="宋体" w:eastAsia="宋体" w:cs="宋体"/>
          <w:snapToGrid w:val="0"/>
          <w:color w:val="000000" w:themeColor="text1"/>
          <w:kern w:val="0"/>
          <w:sz w:val="21"/>
          <w:szCs w:val="21"/>
          <w:highlight w:val="none"/>
          <w14:textFill>
            <w14:solidFill>
              <w14:schemeClr w14:val="tx1"/>
            </w14:solidFill>
          </w14:textFill>
        </w:rPr>
        <w:t>）；</w:t>
      </w:r>
    </w:p>
    <w:p>
      <w:pPr>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（2）道路及附属绿地清扫保洁工作：公共绿地</w:t>
      </w:r>
      <w:r>
        <w:rPr>
          <w:rFonts w:hint="eastAsia" w:ascii="宋体" w:hAnsi="宋体" w:cs="宋体"/>
          <w:snapToGrid w:val="0"/>
          <w:color w:val="000000" w:themeColor="text1"/>
          <w:kern w:val="0"/>
          <w:sz w:val="21"/>
          <w:szCs w:val="21"/>
          <w:highlight w:val="none"/>
          <w:lang w:eastAsia="zh-CN"/>
          <w14:textFill>
            <w14:solidFill>
              <w14:schemeClr w14:val="tx1"/>
            </w14:solidFill>
          </w14:textFill>
        </w:rPr>
        <w:t>、社区公园（含口袋公园）、区属公园（中央公园、海景公园、海滨栈道）</w:t>
      </w:r>
      <w:r>
        <w:rPr>
          <w:rFonts w:hint="eastAsia" w:ascii="宋体" w:hAnsi="宋体" w:eastAsia="宋体" w:cs="宋体"/>
          <w:snapToGrid w:val="0"/>
          <w:color w:val="000000" w:themeColor="text1"/>
          <w:kern w:val="0"/>
          <w:sz w:val="21"/>
          <w:szCs w:val="21"/>
          <w:highlight w:val="none"/>
          <w14:textFill>
            <w14:solidFill>
              <w14:schemeClr w14:val="tx1"/>
            </w14:solidFill>
          </w14:textFill>
        </w:rPr>
        <w:t>及道路附属绿化带（道路两旁绿化带、中间隔离带、人行道树穴、花圃等）的人工清扫保洁（负责清理各类生活垃圾、塑料袋、饭盒、烟头等垃圾以及偷倒的建筑垃圾，但不包括绿化带种植土层内积存的零星砾石、砖块以及绿地内或临近施工项目乱倒、清理不彻底的淤泥渣土、石块等）；</w:t>
      </w:r>
    </w:p>
    <w:p>
      <w:pPr>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（3）垃圾清理运输工作：清扫保洁过程中实施垃圾袋装化，并配置足够的且不小于240升垃圾桶转运垃圾，道路清扫保洁垃圾的清运（运至附近的垃圾转运站或垃圾收集点）；负责本服务区域市政道路、公共绿地</w:t>
      </w:r>
      <w:r>
        <w:rPr>
          <w:rFonts w:hint="eastAsia" w:ascii="宋体" w:hAnsi="宋体" w:cs="宋体"/>
          <w:snapToGrid w:val="0"/>
          <w:color w:val="000000" w:themeColor="text1"/>
          <w:kern w:val="0"/>
          <w:sz w:val="21"/>
          <w:szCs w:val="21"/>
          <w:highlight w:val="none"/>
          <w:lang w:eastAsia="zh-CN"/>
          <w14:textFill>
            <w14:solidFill>
              <w14:schemeClr w14:val="tx1"/>
            </w14:solidFill>
          </w14:textFill>
        </w:rPr>
        <w:t>、社区公园（含口袋公园）、区属公园（中央公园、海景公园、海滨栈道）</w:t>
      </w:r>
      <w:r>
        <w:rPr>
          <w:rFonts w:hint="eastAsia" w:ascii="宋体" w:hAnsi="宋体" w:eastAsia="宋体" w:cs="宋体"/>
          <w:snapToGrid w:val="0"/>
          <w:color w:val="000000" w:themeColor="text1"/>
          <w:kern w:val="0"/>
          <w:sz w:val="21"/>
          <w:szCs w:val="21"/>
          <w:highlight w:val="none"/>
          <w14:textFill>
            <w14:solidFill>
              <w14:schemeClr w14:val="tx1"/>
            </w14:solidFill>
          </w14:textFill>
        </w:rPr>
        <w:t>清扫保洁垃圾、沿街果皮箱、垃圾桶、沿街门店垃圾、偷排偷倒的余泥渣土及建筑垃圾的收集和运送，生活垃圾须清运到附近垃圾转运站，偷排偷倒的余泥渣土及建筑垃圾须经正规渠道自行处理；积极参与辖区</w:t>
      </w:r>
      <w:r>
        <w:rPr>
          <w:rFonts w:hint="eastAsia" w:ascii="宋体" w:hAnsi="宋体" w:cs="宋体"/>
          <w:snapToGrid w:val="0"/>
          <w:color w:val="000000" w:themeColor="text1"/>
          <w:kern w:val="0"/>
          <w:sz w:val="21"/>
          <w:szCs w:val="21"/>
          <w:highlight w:val="none"/>
          <w:lang w:eastAsia="zh-CN"/>
          <w14:textFill>
            <w14:solidFill>
              <w14:schemeClr w14:val="tx1"/>
            </w14:solidFill>
          </w14:textFill>
        </w:rPr>
        <w:t>源头</w:t>
      </w:r>
      <w:r>
        <w:rPr>
          <w:rFonts w:hint="eastAsia" w:ascii="宋体" w:hAnsi="宋体" w:eastAsia="宋体" w:cs="宋体"/>
          <w:snapToGrid w:val="0"/>
          <w:color w:val="000000" w:themeColor="text1"/>
          <w:kern w:val="0"/>
          <w:sz w:val="21"/>
          <w:szCs w:val="21"/>
          <w:highlight w:val="none"/>
          <w14:textFill>
            <w14:solidFill>
              <w14:schemeClr w14:val="tx1"/>
            </w14:solidFill>
          </w14:textFill>
        </w:rPr>
        <w:t>垃圾减量分类工作，日常将</w:t>
      </w:r>
      <w:r>
        <w:rPr>
          <w:rFonts w:hint="eastAsia" w:ascii="宋体" w:hAnsi="宋体" w:cs="宋体"/>
          <w:snapToGrid w:val="0"/>
          <w:color w:val="000000" w:themeColor="text1"/>
          <w:kern w:val="0"/>
          <w:sz w:val="21"/>
          <w:szCs w:val="21"/>
          <w:highlight w:val="none"/>
          <w:lang w:eastAsia="zh-CN"/>
          <w14:textFill>
            <w14:solidFill>
              <w14:schemeClr w14:val="tx1"/>
            </w14:solidFill>
          </w14:textFill>
        </w:rPr>
        <w:t>市政道路清扫保洁范围内的</w:t>
      </w:r>
      <w:r>
        <w:rPr>
          <w:rFonts w:hint="eastAsia" w:ascii="宋体" w:hAnsi="宋体" w:eastAsia="宋体" w:cs="宋体"/>
          <w:snapToGrid w:val="0"/>
          <w:color w:val="000000" w:themeColor="text1"/>
          <w:kern w:val="0"/>
          <w:sz w:val="21"/>
          <w:szCs w:val="21"/>
          <w:highlight w:val="none"/>
          <w14:textFill>
            <w14:solidFill>
              <w14:schemeClr w14:val="tx1"/>
            </w14:solidFill>
          </w14:textFill>
        </w:rPr>
        <w:t>废旧玻璃、合成金属、塑料、织物等低价值可回收垃圾、大件木质家具、年花年桔及园林绿化垃圾等清运至</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采购人或</w:t>
      </w:r>
      <w:r>
        <w:rPr>
          <w:rFonts w:hint="eastAsia" w:asciiTheme="minorEastAsia" w:hAnsiTheme="minorEastAsia" w:eastAsiaTheme="minorEastAsia" w:cstheme="minorEastAsia"/>
          <w:snapToGrid w:val="0"/>
          <w:color w:val="auto"/>
          <w:kern w:val="0"/>
          <w:sz w:val="21"/>
          <w:szCs w:val="21"/>
          <w:highlight w:val="none"/>
          <w:lang w:eastAsia="zh-CN"/>
        </w:rPr>
        <w:t>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snapToGrid w:val="0"/>
          <w:color w:val="000000" w:themeColor="text1"/>
          <w:kern w:val="0"/>
          <w:sz w:val="21"/>
          <w:szCs w:val="21"/>
          <w:highlight w:val="none"/>
          <w14:textFill>
            <w14:solidFill>
              <w14:schemeClr w14:val="tx1"/>
            </w14:solidFill>
          </w14:textFill>
        </w:rPr>
        <w:t>指定地方，并配置足够的车辆及分类垃圾桶等容器，用于贮存沿街门店投放的垃圾及进行转运；</w:t>
      </w:r>
    </w:p>
    <w:p>
      <w:pPr>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4）环卫设施及城市家具清洁管理工作：市政道路和公共场所的垃圾收集点（屋）、垃圾桶、果皮箱、环卫工具房等环卫设施和交通护栏、交通指示牌（高度2m内范围）、道路隔离设施、道路两侧路灯杆（高度2m内范围）、广告牌、路牌、邮筒、读报栏、公交候车亭等城市家具进行日常清洗保洁、消毒；</w:t>
      </w:r>
      <w:r>
        <w:rPr>
          <w:rFonts w:hint="eastAsia" w:ascii="宋体" w:hAnsi="宋体" w:cs="宋体"/>
          <w:snapToGrid w:val="0"/>
          <w:color w:val="auto"/>
          <w:kern w:val="0"/>
          <w:sz w:val="21"/>
          <w:szCs w:val="21"/>
          <w:highlight w:val="none"/>
          <w:lang w:eastAsia="zh-CN"/>
        </w:rPr>
        <w:t>清理服务范围内各类废弃的城市家具，协助街道对城市家具进行油漆粉刷翻新；</w:t>
      </w:r>
    </w:p>
    <w:p>
      <w:pPr>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（5）乱张贴及乱涂写清理工作：清扫保洁区域地面、人行道板、人行天桥、环卫设施、路边墙体，及市政、路灯、交通设施等公共设施表面乱张贴、乱涂写、乱刻画的清理；</w:t>
      </w:r>
    </w:p>
    <w:p>
      <w:pPr>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（6）配合开展应急管理工作：本标段管理范围及服务内容相关的应急管理、应急处置工作，包括突发性公共污染事件应急处置、大气污染应急响应、台风等极端天气和重大公共活动及迎检任务环卫保障等。</w:t>
      </w:r>
    </w:p>
    <w:p>
      <w:pPr>
        <w:ind w:firstLine="421" w:firstLineChars="200"/>
        <w:rPr>
          <w:rFonts w:hint="eastAsia" w:ascii="宋体" w:hAnsi="宋体" w:eastAsia="宋体" w:cs="宋体"/>
          <w:b/>
          <w:bCs/>
          <w:snapToGrid w:val="0"/>
          <w:color w:val="000000" w:themeColor="text1"/>
          <w:kern w:val="0"/>
          <w:sz w:val="21"/>
          <w:szCs w:val="21"/>
          <w:highlight w:val="none"/>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2.</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城中村清扫保洁</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服务内容：</w:t>
      </w:r>
    </w:p>
    <w:p>
      <w:pPr>
        <w:ind w:firstLine="420" w:firstLineChars="200"/>
        <w:rPr>
          <w:rFonts w:hint="eastAsia" w:eastAsia="宋体"/>
          <w:lang w:eastAsia="zh-CN"/>
        </w:rPr>
      </w:pP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lang w:val="en-US" w:eastAsia="zh-CN"/>
        </w:rPr>
        <w:t>1</w:t>
      </w:r>
      <w:r>
        <w:rPr>
          <w:rFonts w:hint="eastAsia" w:ascii="宋体" w:hAnsi="宋体" w:eastAsia="宋体" w:cs="宋体"/>
          <w:snapToGrid w:val="0"/>
          <w:color w:val="auto"/>
          <w:kern w:val="0"/>
          <w:sz w:val="21"/>
          <w:szCs w:val="21"/>
          <w:highlight w:val="none"/>
          <w:lang w:eastAsia="zh-CN"/>
        </w:rPr>
        <w:t>）</w:t>
      </w:r>
      <w:r>
        <w:rPr>
          <w:rFonts w:hint="eastAsia" w:ascii="宋体" w:hAnsi="宋体" w:cs="宋体"/>
          <w:snapToGrid w:val="0"/>
          <w:color w:val="auto"/>
          <w:kern w:val="0"/>
          <w:sz w:val="21"/>
          <w:szCs w:val="21"/>
          <w:highlight w:val="none"/>
          <w:lang w:eastAsia="zh-CN"/>
        </w:rPr>
        <w:t>无物业管理小区所有</w:t>
      </w:r>
      <w:r>
        <w:rPr>
          <w:rFonts w:hint="eastAsia" w:ascii="宋体" w:hAnsi="宋体" w:eastAsia="宋体" w:cs="宋体"/>
          <w:snapToGrid w:val="0"/>
          <w:color w:val="auto"/>
          <w:kern w:val="0"/>
          <w:sz w:val="21"/>
          <w:szCs w:val="21"/>
          <w:highlight w:val="none"/>
        </w:rPr>
        <w:t>公共场所</w:t>
      </w:r>
      <w:r>
        <w:rPr>
          <w:rFonts w:hint="eastAsia" w:ascii="宋体" w:hAnsi="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巷道（含开放式的院落）的清扫和保洁</w:t>
      </w:r>
      <w:r>
        <w:rPr>
          <w:rFonts w:hint="eastAsia" w:ascii="宋体" w:hAnsi="宋体" w:cs="宋体"/>
          <w:snapToGrid w:val="0"/>
          <w:color w:val="auto"/>
          <w:kern w:val="0"/>
          <w:sz w:val="21"/>
          <w:szCs w:val="21"/>
          <w:highlight w:val="none"/>
          <w:lang w:eastAsia="zh-CN"/>
        </w:rPr>
        <w:t>；城中村除围合式院落外其他</w:t>
      </w:r>
      <w:r>
        <w:rPr>
          <w:rFonts w:hint="eastAsia" w:ascii="宋体" w:hAnsi="宋体" w:eastAsia="宋体" w:cs="宋体"/>
          <w:snapToGrid w:val="0"/>
          <w:color w:val="auto"/>
          <w:kern w:val="0"/>
          <w:sz w:val="21"/>
          <w:szCs w:val="21"/>
          <w:highlight w:val="none"/>
        </w:rPr>
        <w:t>公共场所</w:t>
      </w:r>
      <w:r>
        <w:rPr>
          <w:rFonts w:hint="eastAsia" w:ascii="宋体" w:hAnsi="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巷道（含开放式的院落）</w:t>
      </w:r>
      <w:r>
        <w:rPr>
          <w:rFonts w:hint="eastAsia" w:ascii="宋体" w:hAnsi="宋体" w:cs="宋体"/>
          <w:snapToGrid w:val="0"/>
          <w:color w:val="auto"/>
          <w:kern w:val="0"/>
          <w:sz w:val="21"/>
          <w:szCs w:val="21"/>
          <w:highlight w:val="none"/>
          <w:lang w:eastAsia="zh-CN"/>
        </w:rPr>
        <w:t>及其他可进入区域的地面清扫和保洁</w:t>
      </w:r>
      <w:r>
        <w:rPr>
          <w:rFonts w:hint="eastAsia" w:ascii="宋体" w:hAnsi="宋体" w:eastAsia="宋体" w:cs="宋体"/>
          <w:snapToGrid w:val="0"/>
          <w:color w:val="auto"/>
          <w:kern w:val="0"/>
          <w:sz w:val="21"/>
          <w:szCs w:val="21"/>
          <w:highlight w:val="none"/>
        </w:rPr>
        <w:t>；</w:t>
      </w:r>
      <w:r>
        <w:rPr>
          <w:rFonts w:hint="eastAsia" w:ascii="宋体" w:hAnsi="宋体" w:cs="宋体"/>
          <w:snapToGrid w:val="0"/>
          <w:color w:val="auto"/>
          <w:kern w:val="0"/>
          <w:sz w:val="21"/>
          <w:szCs w:val="21"/>
          <w:highlight w:val="none"/>
          <w:lang w:eastAsia="zh-CN"/>
        </w:rPr>
        <w:t>城中村地面每周至少冲洗三次；</w:t>
      </w:r>
    </w:p>
    <w:p>
      <w:pPr>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lang w:val="en-US" w:eastAsia="zh-CN"/>
        </w:rPr>
        <w:t>2</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果皮箱、垃圾桶等环卫设备的购置、更新、清洁和维护；</w:t>
      </w:r>
      <w:r>
        <w:rPr>
          <w:rFonts w:hint="eastAsia" w:ascii="宋体" w:hAnsi="宋体" w:cs="宋体"/>
          <w:snapToGrid w:val="0"/>
          <w:color w:val="auto"/>
          <w:kern w:val="0"/>
          <w:sz w:val="21"/>
          <w:szCs w:val="21"/>
          <w:highlight w:val="none"/>
          <w:lang w:eastAsia="zh-CN"/>
        </w:rPr>
        <w:t>零星垃圾桶点需套上铁皮箱外罩，并符合垃圾分类相关要求，垃圾集中转运点需密闭化保存（如设置垃圾桶转运屋）；</w:t>
      </w:r>
    </w:p>
    <w:p>
      <w:pPr>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3</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14:textFill>
            <w14:solidFill>
              <w14:schemeClr w14:val="tx1"/>
            </w14:solidFill>
          </w14:textFill>
        </w:rPr>
        <w:t>城中村（工业区、农贸市场）清扫保洁垃圾</w:t>
      </w:r>
      <w:r>
        <w:rPr>
          <w:rFonts w:hint="eastAsia" w:ascii="宋体" w:hAnsi="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14:textFill>
            <w14:solidFill>
              <w14:schemeClr w14:val="tx1"/>
            </w14:solidFill>
          </w14:textFill>
        </w:rPr>
        <w:t>居民生活垃圾的收集清运服务；</w:t>
      </w:r>
    </w:p>
    <w:p>
      <w:pPr>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4</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14:textFill>
            <w14:solidFill>
              <w14:schemeClr w14:val="tx1"/>
            </w14:solidFill>
          </w14:textFill>
        </w:rPr>
        <w:t>城中村建筑物立面和公共设施设备的清洁维护（包括：宣传栏、休闲座椅、健身器材、屋檐、窗檐、 顶棚、下水道防蚊闸）等垃圾清理清洗；</w:t>
      </w:r>
    </w:p>
    <w:p>
      <w:pPr>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14:textFill>
            <w14:solidFill>
              <w14:schemeClr w14:val="tx1"/>
            </w14:solidFill>
          </w14:textFill>
        </w:rPr>
        <w:t>公共绿化带的日常保洁、管养；</w:t>
      </w:r>
    </w:p>
    <w:p>
      <w:pPr>
        <w:ind w:firstLine="420" w:firstLineChars="200"/>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6</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14:textFill>
            <w14:solidFill>
              <w14:schemeClr w14:val="tx1"/>
            </w14:solidFill>
          </w14:textFill>
        </w:rPr>
        <w:t>乱张贴乱涂写乱刻画清理整治</w:t>
      </w:r>
      <w:r>
        <w:rPr>
          <w:rFonts w:hint="eastAsia" w:ascii="宋体" w:hAnsi="宋体" w:cs="宋体"/>
          <w:snapToGrid w:val="0"/>
          <w:color w:val="000000" w:themeColor="text1"/>
          <w:kern w:val="0"/>
          <w:sz w:val="21"/>
          <w:szCs w:val="21"/>
          <w:highlight w:val="none"/>
          <w:lang w:eastAsia="zh-CN"/>
          <w14:textFill>
            <w14:solidFill>
              <w14:schemeClr w14:val="tx1"/>
            </w14:solidFill>
          </w14:textFill>
        </w:rPr>
        <w:t>；</w:t>
      </w:r>
    </w:p>
    <w:p>
      <w:pPr>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7</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14:textFill>
            <w14:solidFill>
              <w14:schemeClr w14:val="tx1"/>
            </w14:solidFill>
          </w14:textFill>
        </w:rPr>
        <w:t>无主垃圾（含无主建筑垃圾）清理；</w:t>
      </w:r>
    </w:p>
    <w:p>
      <w:pPr>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8</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14:textFill>
            <w14:solidFill>
              <w14:schemeClr w14:val="tx1"/>
            </w14:solidFill>
          </w14:textFill>
        </w:rPr>
        <w:t>城中村及无物业管理小区污水管道堵塞疏通。</w:t>
      </w:r>
    </w:p>
    <w:p>
      <w:pPr>
        <w:spacing w:before="120" w:beforeLines="50"/>
        <w:ind w:firstLine="421" w:firstLineChars="200"/>
        <w:outlineLvl w:val="4"/>
        <w:rPr>
          <w:rFonts w:hint="eastAsia" w:ascii="宋体" w:hAnsi="宋体" w:eastAsia="宋体" w:cs="宋体"/>
          <w:b/>
          <w:bCs/>
          <w:snapToGrid w:val="0"/>
          <w:color w:val="000000" w:themeColor="text1"/>
          <w:kern w:val="0"/>
          <w:sz w:val="21"/>
          <w:szCs w:val="21"/>
          <w:highlight w:val="none"/>
          <w14:textFill>
            <w14:solidFill>
              <w14:schemeClr w14:val="tx1"/>
            </w14:solidFill>
          </w14:textFill>
        </w:rPr>
      </w:pPr>
      <w:r>
        <w:rPr>
          <w:rFonts w:hint="eastAsia" w:ascii="宋体" w:hAnsi="宋体" w:cs="宋体"/>
          <w:b/>
          <w:bCs/>
          <w:snapToGrid w:val="0"/>
          <w:color w:val="000000" w:themeColor="text1"/>
          <w:kern w:val="0"/>
          <w:sz w:val="21"/>
          <w:szCs w:val="21"/>
          <w:highlight w:val="none"/>
          <w:lang w:val="en-US" w:eastAsia="zh-CN"/>
          <w14:textFill>
            <w14:solidFill>
              <w14:schemeClr w14:val="tx1"/>
            </w14:solidFill>
          </w14:textFill>
        </w:rPr>
        <w:t>3</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.垃圾清运服务内容：</w:t>
      </w:r>
    </w:p>
    <w:p>
      <w:pPr>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（1）垃圾收集运输全覆盖服务：全面负责管理</w:t>
      </w:r>
      <w:r>
        <w:rPr>
          <w:rFonts w:hint="eastAsia" w:ascii="宋体" w:hAnsi="宋体" w:cs="宋体"/>
          <w:snapToGrid w:val="0"/>
          <w:color w:val="000000" w:themeColor="text1"/>
          <w:kern w:val="0"/>
          <w:sz w:val="21"/>
          <w:szCs w:val="21"/>
          <w:highlight w:val="none"/>
          <w:lang w:eastAsia="zh-CN"/>
          <w14:textFill>
            <w14:solidFill>
              <w14:schemeClr w14:val="tx1"/>
            </w14:solidFill>
          </w14:textFill>
        </w:rPr>
        <w:t>海山</w:t>
      </w:r>
      <w:r>
        <w:rPr>
          <w:rFonts w:hint="eastAsia" w:ascii="宋体" w:hAnsi="宋体" w:eastAsia="宋体" w:cs="宋体"/>
          <w:snapToGrid w:val="0"/>
          <w:color w:val="000000" w:themeColor="text1"/>
          <w:kern w:val="0"/>
          <w:sz w:val="21"/>
          <w:szCs w:val="21"/>
          <w:highlight w:val="none"/>
          <w14:textFill>
            <w14:solidFill>
              <w14:schemeClr w14:val="tx1"/>
            </w14:solidFill>
          </w14:textFill>
        </w:rPr>
        <w:t>片区各生活垃圾转运站，并负责压缩运输约</w:t>
      </w:r>
      <w:r>
        <w:rPr>
          <w:rFonts w:hint="eastAsia" w:ascii="宋体" w:hAnsi="宋体"/>
          <w:color w:val="000000" w:themeColor="text1"/>
          <w:szCs w:val="21"/>
          <w:highlight w:val="none"/>
          <w:u w:val="single"/>
          <w:lang w:val="en-US" w:eastAsia="zh-CN"/>
          <w14:textFill>
            <w14:solidFill>
              <w14:schemeClr w14:val="tx1"/>
            </w14:solidFill>
          </w14:textFill>
        </w:rPr>
        <w:t>22517.53</w:t>
      </w:r>
      <w:r>
        <w:rPr>
          <w:rFonts w:hint="eastAsia" w:ascii="宋体" w:hAnsi="宋体" w:eastAsia="宋体" w:cs="宋体"/>
          <w:snapToGrid w:val="0"/>
          <w:color w:val="000000" w:themeColor="text1"/>
          <w:kern w:val="0"/>
          <w:sz w:val="21"/>
          <w:szCs w:val="21"/>
          <w:highlight w:val="none"/>
          <w14:textFill>
            <w14:solidFill>
              <w14:schemeClr w14:val="tx1"/>
            </w14:solidFill>
          </w14:textFill>
        </w:rPr>
        <w:t>吨/年垃圾（该数据为基础参考数据，且在合同期内不作调整）；同时负责收集运输</w:t>
      </w:r>
      <w:r>
        <w:rPr>
          <w:rFonts w:hint="eastAsia" w:ascii="宋体" w:hAnsi="宋体" w:cs="宋体"/>
          <w:snapToGrid w:val="0"/>
          <w:color w:val="000000" w:themeColor="text1"/>
          <w:kern w:val="0"/>
          <w:sz w:val="21"/>
          <w:szCs w:val="21"/>
          <w:highlight w:val="none"/>
          <w:lang w:eastAsia="zh-CN"/>
          <w14:textFill>
            <w14:solidFill>
              <w14:schemeClr w14:val="tx1"/>
            </w14:solidFill>
          </w14:textFill>
        </w:rPr>
        <w:t>海山</w:t>
      </w:r>
      <w:r>
        <w:rPr>
          <w:rFonts w:hint="eastAsia" w:ascii="宋体" w:hAnsi="宋体" w:eastAsia="宋体" w:cs="宋体"/>
          <w:snapToGrid w:val="0"/>
          <w:color w:val="000000" w:themeColor="text1"/>
          <w:kern w:val="0"/>
          <w:sz w:val="21"/>
          <w:szCs w:val="21"/>
          <w:highlight w:val="none"/>
          <w14:textFill>
            <w14:solidFill>
              <w14:schemeClr w14:val="tx1"/>
            </w14:solidFill>
          </w14:textFill>
        </w:rPr>
        <w:t>片区全部</w:t>
      </w:r>
      <w:r>
        <w:rPr>
          <w:rFonts w:hint="eastAsia" w:ascii="宋体" w:hAnsi="宋体" w:cs="宋体"/>
          <w:snapToGrid w:val="0"/>
          <w:color w:val="000000" w:themeColor="text1"/>
          <w:kern w:val="0"/>
          <w:sz w:val="21"/>
          <w:szCs w:val="21"/>
          <w:highlight w:val="none"/>
          <w:lang w:eastAsia="zh-CN"/>
          <w14:textFill>
            <w14:solidFill>
              <w14:schemeClr w14:val="tx1"/>
            </w14:solidFill>
          </w14:textFill>
        </w:rPr>
        <w:t>城中村、</w:t>
      </w:r>
      <w:r>
        <w:rPr>
          <w:rFonts w:hint="eastAsia" w:ascii="宋体" w:hAnsi="宋体" w:eastAsia="宋体" w:cs="宋体"/>
          <w:snapToGrid w:val="0"/>
          <w:color w:val="000000" w:themeColor="text1"/>
          <w:kern w:val="0"/>
          <w:sz w:val="21"/>
          <w:szCs w:val="21"/>
          <w:highlight w:val="none"/>
          <w14:textFill>
            <w14:solidFill>
              <w14:schemeClr w14:val="tx1"/>
            </w14:solidFill>
          </w14:textFill>
        </w:rPr>
        <w:t>物业小区（</w:t>
      </w:r>
      <w:r>
        <w:rPr>
          <w:rFonts w:hint="eastAsia" w:ascii="宋体" w:hAnsi="宋体" w:cs="宋体"/>
          <w:snapToGrid w:val="0"/>
          <w:color w:val="000000" w:themeColor="text1"/>
          <w:kern w:val="0"/>
          <w:sz w:val="21"/>
          <w:szCs w:val="21"/>
          <w:highlight w:val="none"/>
          <w:lang w:eastAsia="zh-CN"/>
          <w14:textFill>
            <w14:solidFill>
              <w14:schemeClr w14:val="tx1"/>
            </w14:solidFill>
          </w14:textFill>
        </w:rPr>
        <w:t>含</w:t>
      </w:r>
      <w:r>
        <w:rPr>
          <w:rFonts w:hint="eastAsia" w:ascii="宋体" w:hAnsi="宋体" w:eastAsia="宋体" w:cs="宋体"/>
          <w:snapToGrid w:val="0"/>
          <w:color w:val="000000" w:themeColor="text1"/>
          <w:kern w:val="0"/>
          <w:sz w:val="21"/>
          <w:szCs w:val="21"/>
          <w:highlight w:val="none"/>
          <w14:textFill>
            <w14:solidFill>
              <w14:schemeClr w14:val="tx1"/>
            </w14:solidFill>
          </w14:textFill>
        </w:rPr>
        <w:t>无物业管理小区及沿街餐饮酒楼）生活垃圾约</w:t>
      </w:r>
      <w:r>
        <w:rPr>
          <w:rFonts w:hint="eastAsia" w:ascii="宋体" w:hAnsi="宋体"/>
          <w:color w:val="000000" w:themeColor="text1"/>
          <w:szCs w:val="21"/>
          <w:highlight w:val="none"/>
          <w:u w:val="single"/>
          <w:lang w:val="en-US" w:eastAsia="zh-CN"/>
          <w14:textFill>
            <w14:solidFill>
              <w14:schemeClr w14:val="tx1"/>
            </w14:solidFill>
          </w14:textFill>
        </w:rPr>
        <w:t>24475.57</w:t>
      </w:r>
      <w:r>
        <w:rPr>
          <w:rFonts w:hint="eastAsia" w:ascii="宋体" w:hAnsi="宋体" w:eastAsia="宋体" w:cs="宋体"/>
          <w:snapToGrid w:val="0"/>
          <w:color w:val="000000" w:themeColor="text1"/>
          <w:kern w:val="0"/>
          <w:sz w:val="21"/>
          <w:szCs w:val="21"/>
          <w:highlight w:val="none"/>
          <w14:textFill>
            <w14:solidFill>
              <w14:schemeClr w14:val="tx1"/>
            </w14:solidFill>
          </w14:textFill>
        </w:rPr>
        <w:t>吨/年（该数据为基础参考数据，且在合同期内不作调整）；负责服务范围内采购</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snapToGrid w:val="0"/>
          <w:color w:val="000000" w:themeColor="text1"/>
          <w:kern w:val="0"/>
          <w:sz w:val="21"/>
          <w:szCs w:val="21"/>
          <w:highlight w:val="none"/>
          <w14:textFill>
            <w14:solidFill>
              <w14:schemeClr w14:val="tx1"/>
            </w14:solidFill>
          </w14:textFill>
        </w:rPr>
        <w:t>要求的其他垃圾收集运输服务（包含预约上门收运）；配合采购</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snapToGrid w:val="0"/>
          <w:color w:val="000000" w:themeColor="text1"/>
          <w:kern w:val="0"/>
          <w:sz w:val="21"/>
          <w:szCs w:val="21"/>
          <w:highlight w:val="none"/>
          <w14:textFill>
            <w14:solidFill>
              <w14:schemeClr w14:val="tx1"/>
            </w14:solidFill>
          </w14:textFill>
        </w:rPr>
        <w:t>督促各物业小区等单位开展垃圾减量分类工作并提供有关辅助服务；</w:t>
      </w:r>
    </w:p>
    <w:p>
      <w:pPr>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（2）垃圾转运站点及设备维护管理：负责管理维护</w:t>
      </w:r>
      <w:r>
        <w:rPr>
          <w:rFonts w:hint="eastAsia" w:ascii="宋体" w:hAnsi="宋体" w:cs="宋体"/>
          <w:snapToGrid w:val="0"/>
          <w:color w:val="000000" w:themeColor="text1"/>
          <w:kern w:val="0"/>
          <w:sz w:val="21"/>
          <w:szCs w:val="21"/>
          <w:highlight w:val="none"/>
          <w:lang w:eastAsia="zh-CN"/>
          <w14:textFill>
            <w14:solidFill>
              <w14:schemeClr w14:val="tx1"/>
            </w14:solidFill>
          </w14:textFill>
        </w:rPr>
        <w:t>海山辖区</w:t>
      </w:r>
      <w:r>
        <w:rPr>
          <w:rFonts w:hint="eastAsia" w:ascii="宋体" w:hAnsi="宋体" w:eastAsia="宋体" w:cs="宋体"/>
          <w:snapToGrid w:val="0"/>
          <w:color w:val="000000" w:themeColor="text1"/>
          <w:kern w:val="0"/>
          <w:sz w:val="21"/>
          <w:szCs w:val="21"/>
          <w:highlight w:val="none"/>
          <w14:textFill>
            <w14:solidFill>
              <w14:schemeClr w14:val="tx1"/>
            </w14:solidFill>
          </w14:textFill>
        </w:rPr>
        <w:t>生活垃圾转运站</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4</w:t>
      </w:r>
      <w:r>
        <w:rPr>
          <w:rFonts w:hint="eastAsia" w:ascii="宋体" w:hAnsi="宋体" w:eastAsia="宋体" w:cs="宋体"/>
          <w:snapToGrid w:val="0"/>
          <w:color w:val="000000" w:themeColor="text1"/>
          <w:kern w:val="0"/>
          <w:sz w:val="21"/>
          <w:szCs w:val="21"/>
          <w:highlight w:val="none"/>
          <w14:textFill>
            <w14:solidFill>
              <w14:schemeClr w14:val="tx1"/>
            </w14:solidFill>
          </w14:textFill>
        </w:rPr>
        <w:t>座，日常负责站内压缩垃圾及相关配套设施、设备的维护及协助管理工作；</w:t>
      </w:r>
    </w:p>
    <w:p>
      <w:pPr>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（3）公共厕所管理及日常维护：负责运营管理</w:t>
      </w:r>
      <w:r>
        <w:rPr>
          <w:rFonts w:hint="eastAsia" w:ascii="宋体" w:hAnsi="宋体" w:cs="宋体"/>
          <w:snapToGrid w:val="0"/>
          <w:color w:val="000000" w:themeColor="text1"/>
          <w:kern w:val="0"/>
          <w:sz w:val="21"/>
          <w:szCs w:val="21"/>
          <w:highlight w:val="none"/>
          <w:lang w:eastAsia="zh-CN"/>
          <w14:textFill>
            <w14:solidFill>
              <w14:schemeClr w14:val="tx1"/>
            </w14:solidFill>
          </w14:textFill>
        </w:rPr>
        <w:t>海山辖区</w:t>
      </w:r>
      <w:r>
        <w:rPr>
          <w:rFonts w:hint="eastAsia" w:ascii="宋体" w:hAnsi="宋体" w:eastAsia="宋体" w:cs="宋体"/>
          <w:snapToGrid w:val="0"/>
          <w:color w:val="000000" w:themeColor="text1"/>
          <w:kern w:val="0"/>
          <w:sz w:val="21"/>
          <w:szCs w:val="21"/>
          <w:highlight w:val="none"/>
          <w14:textFill>
            <w14:solidFill>
              <w14:schemeClr w14:val="tx1"/>
            </w14:solidFill>
          </w14:textFill>
        </w:rPr>
        <w:t>市政公厕</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8</w:t>
      </w:r>
      <w:r>
        <w:rPr>
          <w:rFonts w:hint="eastAsia" w:ascii="宋体" w:hAnsi="宋体" w:eastAsia="宋体" w:cs="宋体"/>
          <w:snapToGrid w:val="0"/>
          <w:color w:val="000000" w:themeColor="text1"/>
          <w:kern w:val="0"/>
          <w:sz w:val="21"/>
          <w:szCs w:val="21"/>
          <w:highlight w:val="none"/>
          <w14:textFill>
            <w14:solidFill>
              <w14:schemeClr w14:val="tx1"/>
            </w14:solidFill>
          </w14:textFill>
        </w:rPr>
        <w:t>座；</w:t>
      </w:r>
    </w:p>
    <w:p>
      <w:pPr>
        <w:pStyle w:val="43"/>
        <w:ind w:left="0" w:leftChars="0" w:firstLine="420" w:firstLineChars="200"/>
        <w:rPr>
          <w:rFonts w:hint="eastAsia" w:eastAsia="宋体"/>
          <w:color w:val="000000" w:themeColor="text1"/>
          <w:lang w:eastAsia="zh-CN"/>
          <w14:textFill>
            <w14:solidFill>
              <w14:schemeClr w14:val="tx1"/>
            </w14:solidFill>
          </w14:textFill>
        </w:rPr>
      </w:pPr>
      <w:r>
        <w:rPr>
          <w:rFonts w:hint="eastAsia" w:ascii="宋体" w:hAnsi="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4</w:t>
      </w:r>
      <w:r>
        <w:rPr>
          <w:rFonts w:hint="eastAsia" w:ascii="宋体" w:hAnsi="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14:textFill>
            <w14:solidFill>
              <w14:schemeClr w14:val="tx1"/>
            </w14:solidFill>
          </w14:textFill>
        </w:rPr>
        <w:t>中水回用取水点管理及日常维护：负责运营管理海山街道海景二路中水回用取水点。</w:t>
      </w:r>
    </w:p>
    <w:p>
      <w:pPr>
        <w:spacing w:before="120" w:beforeLines="50"/>
        <w:ind w:firstLine="421" w:firstLineChars="200"/>
        <w:outlineLvl w:val="4"/>
        <w:rPr>
          <w:rFonts w:hint="eastAsia" w:ascii="宋体" w:hAnsi="宋体" w:eastAsia="宋体" w:cs="宋体"/>
          <w:b/>
          <w:bCs/>
          <w:snapToGrid w:val="0"/>
          <w:color w:val="000000" w:themeColor="text1"/>
          <w:kern w:val="0"/>
          <w:sz w:val="21"/>
          <w:szCs w:val="21"/>
          <w:highlight w:val="none"/>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4</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城市管家</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服务内容：</w:t>
      </w:r>
    </w:p>
    <w:p>
      <w:pPr>
        <w:pStyle w:val="43"/>
        <w:ind w:left="0" w:leftChars="0" w:firstLine="420" w:firstLineChars="200"/>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（1）</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街区制城市管理，协助街道办开展市容环境治理，实现街区精细化闭环管理；</w:t>
      </w:r>
    </w:p>
    <w:p>
      <w:pPr>
        <w:pStyle w:val="43"/>
        <w:ind w:left="0" w:leftChars="0" w:firstLine="420" w:firstLineChars="200"/>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）非机动车规范停放，对非机动车未停放在划线或指定区域、在划线或指定区域内歪斜、倒地、骑线停放的情况进行巡查及时发现问题，对于不规范停放行为进行劝告、制止并进行规范停放。</w:t>
      </w:r>
    </w:p>
    <w:p>
      <w:pPr>
        <w:ind w:firstLine="413" w:firstLineChars="196"/>
        <w:outlineLvl w:val="3"/>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cs="宋体"/>
          <w:b/>
          <w:color w:val="000000" w:themeColor="text1"/>
          <w:sz w:val="21"/>
          <w:szCs w:val="21"/>
          <w:highlight w:val="none"/>
          <w:lang w:eastAsia="zh-CN"/>
          <w14:textFill>
            <w14:solidFill>
              <w14:schemeClr w14:val="tx1"/>
            </w14:solidFill>
          </w14:textFill>
        </w:rPr>
        <w:t>（</w:t>
      </w:r>
      <w:r>
        <w:rPr>
          <w:rFonts w:hint="eastAsia" w:ascii="宋体" w:hAnsi="宋体" w:cs="宋体"/>
          <w:b/>
          <w:color w:val="000000" w:themeColor="text1"/>
          <w:sz w:val="21"/>
          <w:szCs w:val="21"/>
          <w:highlight w:val="none"/>
          <w:lang w:val="en-US" w:eastAsia="zh-CN"/>
          <w14:textFill>
            <w14:solidFill>
              <w14:schemeClr w14:val="tx1"/>
            </w14:solidFill>
          </w14:textFill>
        </w:rPr>
        <w:t>三</w:t>
      </w:r>
      <w:r>
        <w:rPr>
          <w:rFonts w:hint="eastAsia" w:ascii="宋体" w:hAnsi="宋体" w:cs="宋体"/>
          <w:b/>
          <w:color w:val="000000" w:themeColor="text1"/>
          <w:sz w:val="21"/>
          <w:szCs w:val="21"/>
          <w:highlight w:val="none"/>
          <w:lang w:eastAsia="zh-CN"/>
          <w14:textFill>
            <w14:solidFill>
              <w14:schemeClr w14:val="tx1"/>
            </w14:solidFill>
          </w14:textFill>
        </w:rPr>
        <w:t>）人员及环卫设备要求</w:t>
      </w:r>
    </w:p>
    <w:p>
      <w:pPr>
        <w:ind w:firstLine="421" w:firstLineChars="200"/>
        <w:outlineLvl w:val="4"/>
        <w:rPr>
          <w:rFonts w:hint="eastAsia" w:ascii="宋体" w:hAnsi="宋体" w:eastAsia="宋体" w:cs="宋体"/>
          <w:b/>
          <w:bCs/>
          <w:snapToGrid w:val="0"/>
          <w:color w:val="000000" w:themeColor="text1"/>
          <w:kern w:val="0"/>
          <w:sz w:val="21"/>
          <w:szCs w:val="21"/>
          <w:highlight w:val="none"/>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1.人员配置要求</w:t>
      </w:r>
    </w:p>
    <w:p>
      <w:pPr>
        <w:widowControl/>
        <w:ind w:firstLine="420" w:firstLineChars="200"/>
        <w:jc w:val="lef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采购</w:t>
      </w:r>
      <w:r>
        <w:rPr>
          <w:rFonts w:hint="eastAsia" w:ascii="宋体" w:hAnsi="宋体" w:cs="宋体"/>
          <w:bCs/>
          <w:color w:val="000000" w:themeColor="text1"/>
          <w:sz w:val="21"/>
          <w:szCs w:val="21"/>
          <w:highlight w:val="none"/>
          <w:lang w:val="en-US" w:eastAsia="zh-CN"/>
          <w14:textFill>
            <w14:solidFill>
              <w14:schemeClr w14:val="tx1"/>
            </w14:solidFill>
          </w14:textFill>
        </w:rPr>
        <w:t>人</w:t>
      </w:r>
      <w:r>
        <w:rPr>
          <w:rFonts w:hint="eastAsia" w:ascii="宋体" w:hAnsi="宋体" w:eastAsia="宋体" w:cs="宋体"/>
          <w:bCs/>
          <w:color w:val="000000" w:themeColor="text1"/>
          <w:sz w:val="21"/>
          <w:szCs w:val="21"/>
          <w:highlight w:val="none"/>
          <w14:textFill>
            <w14:solidFill>
              <w14:schemeClr w14:val="tx1"/>
            </w14:solidFill>
          </w14:textFill>
        </w:rPr>
        <w:t>根据劳动定额标准和实际情况，结合</w:t>
      </w:r>
      <w:r>
        <w:rPr>
          <w:rFonts w:hint="eastAsia" w:ascii="宋体" w:hAnsi="宋体" w:cs="宋体"/>
          <w:bCs/>
          <w:color w:val="000000" w:themeColor="text1"/>
          <w:sz w:val="21"/>
          <w:szCs w:val="21"/>
          <w:highlight w:val="none"/>
          <w:lang w:eastAsia="zh-CN"/>
          <w14:textFill>
            <w14:solidFill>
              <w14:schemeClr w14:val="tx1"/>
            </w14:solidFill>
          </w14:textFill>
        </w:rPr>
        <w:t>城市</w:t>
      </w:r>
      <w:r>
        <w:rPr>
          <w:rFonts w:hint="eastAsia" w:ascii="宋体" w:hAnsi="宋体" w:eastAsia="宋体" w:cs="宋体"/>
          <w:bCs/>
          <w:color w:val="000000" w:themeColor="text1"/>
          <w:sz w:val="21"/>
          <w:szCs w:val="21"/>
          <w:highlight w:val="none"/>
          <w14:textFill>
            <w14:solidFill>
              <w14:schemeClr w14:val="tx1"/>
            </w14:solidFill>
          </w14:textFill>
        </w:rPr>
        <w:t>道路人工、机械化清扫保洁服务作业管理指标和定额标准合理配备人员。并按照《公共区域环境卫生质量和管理要求》安排作业岗位、人员。其中</w:t>
      </w:r>
    </w:p>
    <w:p>
      <w:pPr>
        <w:adjustRightInd w:val="0"/>
        <w:snapToGrid w:val="0"/>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①司机、跟车辅工配置要求：</w:t>
      </w:r>
    </w:p>
    <w:p>
      <w:pPr>
        <w:adjustRightInd w:val="0"/>
        <w:snapToGrid w:val="0"/>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每台纯电动桶装垃圾车至少须配置1名司机、</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名跟车</w:t>
      </w:r>
      <w:r>
        <w:rPr>
          <w:rFonts w:hint="eastAsia" w:ascii="宋体" w:hAnsi="宋体" w:cs="宋体"/>
          <w:color w:val="000000" w:themeColor="text1"/>
          <w:sz w:val="21"/>
          <w:szCs w:val="21"/>
          <w:highlight w:val="none"/>
          <w:lang w:eastAsia="zh-CN"/>
          <w14:textFill>
            <w14:solidFill>
              <w14:schemeClr w14:val="tx1"/>
            </w14:solidFill>
          </w14:textFill>
        </w:rPr>
        <w:t>辅工</w:t>
      </w:r>
      <w:r>
        <w:rPr>
          <w:rFonts w:hint="eastAsia" w:ascii="宋体" w:hAnsi="宋体" w:eastAsia="宋体" w:cs="宋体"/>
          <w:color w:val="000000" w:themeColor="text1"/>
          <w:sz w:val="21"/>
          <w:szCs w:val="21"/>
          <w:highlight w:val="none"/>
          <w14:textFill>
            <w14:solidFill>
              <w14:schemeClr w14:val="tx1"/>
            </w14:solidFill>
          </w14:textFill>
        </w:rPr>
        <w:t>；每台纯电动多功能洗扫车、纯电动高压清洗车、</w:t>
      </w:r>
      <w:r>
        <w:rPr>
          <w:rFonts w:hint="eastAsia" w:ascii="宋体" w:hAnsi="宋体" w:cs="宋体"/>
          <w:color w:val="000000" w:themeColor="text1"/>
          <w:sz w:val="21"/>
          <w:szCs w:val="21"/>
          <w:highlight w:val="none"/>
          <w:lang w:eastAsia="zh-CN"/>
          <w14:textFill>
            <w14:solidFill>
              <w14:schemeClr w14:val="tx1"/>
            </w14:solidFill>
          </w14:textFill>
        </w:rPr>
        <w:t>纯电动路面养护车、</w:t>
      </w:r>
      <w:r>
        <w:rPr>
          <w:rFonts w:hint="eastAsia" w:ascii="宋体" w:hAnsi="宋体" w:eastAsia="宋体" w:cs="宋体"/>
          <w:color w:val="000000" w:themeColor="text1"/>
          <w:sz w:val="21"/>
          <w:szCs w:val="21"/>
          <w:highlight w:val="none"/>
          <w14:textFill>
            <w14:solidFill>
              <w14:schemeClr w14:val="tx1"/>
            </w14:solidFill>
          </w14:textFill>
        </w:rPr>
        <w:t>垃圾转运勾臂车</w:t>
      </w:r>
      <w:r>
        <w:rPr>
          <w:rFonts w:hint="eastAsia" w:ascii="宋体" w:hAnsi="宋体" w:cs="宋体"/>
          <w:color w:val="000000" w:themeColor="text1"/>
          <w:sz w:val="21"/>
          <w:szCs w:val="21"/>
          <w:highlight w:val="none"/>
          <w:lang w:eastAsia="zh-CN"/>
          <w14:textFill>
            <w14:solidFill>
              <w14:schemeClr w14:val="tx1"/>
            </w14:solidFill>
          </w14:textFill>
        </w:rPr>
        <w:t>、后装式垃圾压缩车</w:t>
      </w:r>
      <w:r>
        <w:rPr>
          <w:rFonts w:hint="eastAsia" w:ascii="宋体" w:hAnsi="宋体" w:eastAsia="宋体" w:cs="宋体"/>
          <w:color w:val="000000" w:themeColor="text1"/>
          <w:sz w:val="21"/>
          <w:szCs w:val="21"/>
          <w:highlight w:val="none"/>
          <w14:textFill>
            <w14:solidFill>
              <w14:schemeClr w14:val="tx1"/>
            </w14:solidFill>
          </w14:textFill>
        </w:rPr>
        <w:t>至少须配置1名司机；应有足够的预备司机和跟车辅工用于轮休。</w:t>
      </w:r>
    </w:p>
    <w:p>
      <w:pPr>
        <w:adjustRightInd w:val="0"/>
        <w:snapToGrid w:val="0"/>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②转运站配员要求：</w:t>
      </w:r>
    </w:p>
    <w:p>
      <w:pPr>
        <w:adjustRightInd w:val="0"/>
        <w:snapToGrid w:val="0"/>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每个转运站在开放时间每班（</w:t>
      </w:r>
      <w:r>
        <w:rPr>
          <w:rFonts w:hint="eastAsia" w:ascii="宋体" w:hAnsi="宋体" w:eastAsia="宋体" w:cs="宋体"/>
          <w:color w:val="000000" w:themeColor="text1"/>
          <w:sz w:val="21"/>
          <w:szCs w:val="21"/>
          <w:highlight w:val="none"/>
          <w:u w:val="single"/>
          <w14:textFill>
            <w14:solidFill>
              <w14:schemeClr w14:val="tx1"/>
            </w14:solidFill>
          </w14:textFill>
        </w:rPr>
        <w:t>8</w:t>
      </w:r>
      <w:r>
        <w:rPr>
          <w:rFonts w:hint="eastAsia" w:ascii="宋体" w:hAnsi="宋体" w:eastAsia="宋体" w:cs="宋体"/>
          <w:color w:val="000000" w:themeColor="text1"/>
          <w:sz w:val="21"/>
          <w:szCs w:val="21"/>
          <w:highlight w:val="none"/>
          <w14:textFill>
            <w14:solidFill>
              <w14:schemeClr w14:val="tx1"/>
            </w14:solidFill>
          </w14:textFill>
        </w:rPr>
        <w:t>小时）</w:t>
      </w:r>
      <w:r>
        <w:rPr>
          <w:rFonts w:hint="eastAsia" w:ascii="宋体" w:hAnsi="宋体" w:eastAsia="宋体" w:cs="宋体"/>
          <w:snapToGrid w:val="0"/>
          <w:color w:val="000000" w:themeColor="text1"/>
          <w:kern w:val="0"/>
          <w:sz w:val="21"/>
          <w:szCs w:val="21"/>
          <w:highlight w:val="none"/>
          <w14:textFill>
            <w14:solidFill>
              <w14:schemeClr w14:val="tx1"/>
            </w14:solidFill>
          </w14:textFill>
        </w:rPr>
        <w:t>配备站台作业人员不少于 1 人</w:t>
      </w:r>
      <w:r>
        <w:rPr>
          <w:rFonts w:hint="eastAsia" w:ascii="宋体" w:hAnsi="宋体" w:eastAsia="宋体" w:cs="宋体"/>
          <w:color w:val="000000" w:themeColor="text1"/>
          <w:sz w:val="21"/>
          <w:szCs w:val="21"/>
          <w:highlight w:val="none"/>
          <w14:textFill>
            <w14:solidFill>
              <w14:schemeClr w14:val="tx1"/>
            </w14:solidFill>
          </w14:textFill>
        </w:rPr>
        <w:t>。</w:t>
      </w:r>
    </w:p>
    <w:p>
      <w:pPr>
        <w:adjustRightInd w:val="0"/>
        <w:snapToGrid w:val="0"/>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③公厕配员要求：</w:t>
      </w:r>
    </w:p>
    <w:p>
      <w:pPr>
        <w:adjustRightInd w:val="0"/>
        <w:snapToGrid w:val="0"/>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每座公厕至少配2名管理员。</w:t>
      </w:r>
    </w:p>
    <w:p>
      <w:pPr>
        <w:adjustRightInd w:val="0"/>
        <w:snapToGrid w:val="0"/>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④本项目至少配</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名项目经理</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1名专职安全管理人员及合理的其他管理人员和一线作业人员。</w:t>
      </w:r>
    </w:p>
    <w:p>
      <w:pPr>
        <w:adjustRightInd w:val="0"/>
        <w:snapToGrid w:val="0"/>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p>
    <w:p>
      <w:pPr>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项目人员需求一览表</w:t>
      </w:r>
    </w:p>
    <w:tbl>
      <w:tblPr>
        <w:tblStyle w:val="44"/>
        <w:tblW w:w="86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076"/>
        <w:gridCol w:w="1793"/>
        <w:gridCol w:w="1173"/>
        <w:gridCol w:w="2454"/>
        <w:gridCol w:w="1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00" w:type="dxa"/>
            <w:vAlign w:val="center"/>
          </w:tcPr>
          <w:p>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2869" w:type="dxa"/>
            <w:gridSpan w:val="2"/>
            <w:vAlign w:val="center"/>
          </w:tcPr>
          <w:p>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人员类别</w:t>
            </w:r>
          </w:p>
        </w:tc>
        <w:tc>
          <w:tcPr>
            <w:tcW w:w="1173" w:type="dxa"/>
            <w:vAlign w:val="center"/>
          </w:tcPr>
          <w:p>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数量</w:t>
            </w:r>
          </w:p>
        </w:tc>
        <w:tc>
          <w:tcPr>
            <w:tcW w:w="2454" w:type="dxa"/>
            <w:vAlign w:val="center"/>
          </w:tcPr>
          <w:p>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人员必须具备条件</w:t>
            </w:r>
          </w:p>
        </w:tc>
        <w:tc>
          <w:tcPr>
            <w:tcW w:w="1427" w:type="dxa"/>
            <w:vAlign w:val="center"/>
          </w:tcPr>
          <w:p>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Align w:val="center"/>
          </w:tcPr>
          <w:p>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076" w:type="dxa"/>
            <w:vMerge w:val="restart"/>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w:t>
            </w:r>
            <w:r>
              <w:rPr>
                <w:rFonts w:hint="eastAsia" w:ascii="宋体" w:hAnsi="宋体" w:cs="宋体"/>
                <w:b w:val="0"/>
                <w:bCs/>
                <w:color w:val="000000" w:themeColor="text1"/>
                <w:sz w:val="21"/>
                <w:szCs w:val="21"/>
                <w:highlight w:val="none"/>
                <w:lang w:eastAsia="zh-CN"/>
                <w14:textFill>
                  <w14:solidFill>
                    <w14:schemeClr w14:val="tx1"/>
                  </w14:solidFill>
                </w14:textFill>
              </w:rPr>
              <w:t>环卫一体化</w:t>
            </w:r>
            <w:r>
              <w:rPr>
                <w:rFonts w:hint="eastAsia" w:ascii="宋体" w:hAnsi="宋体" w:eastAsia="宋体" w:cs="宋体"/>
                <w:b w:val="0"/>
                <w:bCs/>
                <w:color w:val="000000" w:themeColor="text1"/>
                <w:sz w:val="21"/>
                <w:szCs w:val="21"/>
                <w:highlight w:val="none"/>
                <w14:textFill>
                  <w14:solidFill>
                    <w14:schemeClr w14:val="tx1"/>
                  </w14:solidFill>
                </w14:textFill>
              </w:rPr>
              <w:t>项</w:t>
            </w:r>
            <w:r>
              <w:rPr>
                <w:rFonts w:hint="eastAsia" w:ascii="宋体" w:hAnsi="宋体" w:eastAsia="宋体" w:cs="宋体"/>
                <w:color w:val="000000" w:themeColor="text1"/>
                <w:sz w:val="21"/>
                <w:szCs w:val="21"/>
                <w:highlight w:val="none"/>
                <w14:textFill>
                  <w14:solidFill>
                    <w14:schemeClr w14:val="tx1"/>
                  </w14:solidFill>
                </w14:textFill>
              </w:rPr>
              <w:t>目管理团队（管理人员）</w:t>
            </w:r>
          </w:p>
        </w:tc>
        <w:tc>
          <w:tcPr>
            <w:tcW w:w="1793"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项目负责人（</w:t>
            </w:r>
            <w:r>
              <w:rPr>
                <w:rFonts w:hint="eastAsia" w:ascii="宋体" w:hAnsi="宋体"/>
                <w:bCs/>
                <w:color w:val="000000" w:themeColor="text1"/>
                <w:szCs w:val="21"/>
                <w:highlight w:val="none"/>
                <w14:textFill>
                  <w14:solidFill>
                    <w14:schemeClr w14:val="tx1"/>
                  </w14:solidFill>
                </w14:textFill>
              </w:rPr>
              <w:t>项目经理</w:t>
            </w:r>
            <w:r>
              <w:rPr>
                <w:rFonts w:hint="eastAsia" w:ascii="宋体" w:hAnsi="宋体"/>
                <w:bCs/>
                <w:color w:val="000000" w:themeColor="text1"/>
                <w:szCs w:val="21"/>
                <w:highlight w:val="none"/>
                <w:lang w:val="en-US" w:eastAsia="zh-CN"/>
                <w14:textFill>
                  <w14:solidFill>
                    <w14:schemeClr w14:val="tx1"/>
                  </w14:solidFill>
                </w14:textFill>
              </w:rPr>
              <w:t>）</w:t>
            </w:r>
          </w:p>
        </w:tc>
        <w:tc>
          <w:tcPr>
            <w:tcW w:w="1173" w:type="dxa"/>
            <w:vAlign w:val="center"/>
          </w:tcPr>
          <w:p>
            <w:pPr>
              <w:jc w:val="center"/>
              <w:rPr>
                <w:rFonts w:hint="default" w:ascii="宋体" w:hAnsi="宋体" w:eastAsia="宋体" w:cs="宋体"/>
                <w:color w:val="000000" w:themeColor="text1"/>
                <w:sz w:val="21"/>
                <w:szCs w:val="21"/>
                <w:highlight w:val="none"/>
                <w:lang w:eastAsia="zh-CN"/>
                <w14:textFill>
                  <w14:solidFill>
                    <w14:schemeClr w14:val="tx1"/>
                  </w14:solidFill>
                </w14:textFill>
              </w:rPr>
            </w:pPr>
            <w:r>
              <w:rPr>
                <w:rFonts w:hint="default" w:ascii="宋体" w:hAnsi="宋体" w:cs="宋体"/>
                <w:color w:val="000000" w:themeColor="text1"/>
                <w:sz w:val="21"/>
                <w:szCs w:val="21"/>
                <w:highlight w:val="none"/>
                <w:lang w:eastAsia="zh-CN"/>
                <w14:textFill>
                  <w14:solidFill>
                    <w14:schemeClr w14:val="tx1"/>
                  </w14:solidFill>
                </w14:textFill>
              </w:rPr>
              <w:t>1</w:t>
            </w:r>
          </w:p>
        </w:tc>
        <w:tc>
          <w:tcPr>
            <w:tcW w:w="2454"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大</w:t>
            </w:r>
            <w:r>
              <w:rPr>
                <w:rFonts w:hint="eastAsia" w:ascii="宋体" w:hAnsi="宋体" w:cs="宋体"/>
                <w:color w:val="000000" w:themeColor="text1"/>
                <w:kern w:val="0"/>
                <w:sz w:val="21"/>
                <w:szCs w:val="21"/>
                <w:highlight w:val="none"/>
                <w:lang w:val="en-US" w:eastAsia="zh-CN"/>
                <w14:textFill>
                  <w14:solidFill>
                    <w14:schemeClr w14:val="tx1"/>
                  </w14:solidFill>
                </w14:textFill>
              </w:rPr>
              <w:t>学</w:t>
            </w:r>
            <w:r>
              <w:rPr>
                <w:rFonts w:hint="eastAsia" w:ascii="宋体" w:hAnsi="宋体" w:eastAsia="宋体" w:cs="宋体"/>
                <w:color w:val="000000" w:themeColor="text1"/>
                <w:kern w:val="0"/>
                <w:sz w:val="21"/>
                <w:szCs w:val="21"/>
                <w:highlight w:val="none"/>
                <w14:textFill>
                  <w14:solidFill>
                    <w14:schemeClr w14:val="tx1"/>
                  </w14:solidFill>
                </w14:textFill>
              </w:rPr>
              <w:t>专</w:t>
            </w:r>
            <w:r>
              <w:rPr>
                <w:rFonts w:hint="eastAsia" w:ascii="宋体" w:hAnsi="宋体" w:cs="宋体"/>
                <w:color w:val="000000" w:themeColor="text1"/>
                <w:kern w:val="0"/>
                <w:sz w:val="21"/>
                <w:szCs w:val="21"/>
                <w:highlight w:val="none"/>
                <w:lang w:val="en-US" w:eastAsia="zh-CN"/>
                <w14:textFill>
                  <w14:solidFill>
                    <w14:schemeClr w14:val="tx1"/>
                  </w14:solidFill>
                </w14:textFill>
              </w:rPr>
              <w:t>科</w:t>
            </w:r>
            <w:r>
              <w:rPr>
                <w:rFonts w:hint="eastAsia" w:ascii="宋体" w:hAnsi="宋体" w:eastAsia="宋体" w:cs="宋体"/>
                <w:color w:val="000000" w:themeColor="text1"/>
                <w:kern w:val="0"/>
                <w:sz w:val="21"/>
                <w:szCs w:val="21"/>
                <w:highlight w:val="none"/>
                <w14:textFill>
                  <w14:solidFill>
                    <w14:schemeClr w14:val="tx1"/>
                  </w14:solidFill>
                </w14:textFill>
              </w:rPr>
              <w:t>学历</w:t>
            </w:r>
          </w:p>
        </w:tc>
        <w:tc>
          <w:tcPr>
            <w:tcW w:w="1427"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Align w:val="center"/>
          </w:tcPr>
          <w:p>
            <w:pPr>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p>
        </w:tc>
        <w:tc>
          <w:tcPr>
            <w:tcW w:w="1076" w:type="dxa"/>
            <w:vMerge w:val="continue"/>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c>
          <w:tcPr>
            <w:tcW w:w="1793"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专职安全负责人</w:t>
            </w:r>
          </w:p>
        </w:tc>
        <w:tc>
          <w:tcPr>
            <w:tcW w:w="1173" w:type="dxa"/>
            <w:vAlign w:val="center"/>
          </w:tcPr>
          <w:p>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2454"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大</w:t>
            </w:r>
            <w:r>
              <w:rPr>
                <w:rFonts w:hint="eastAsia" w:ascii="宋体" w:hAnsi="宋体" w:cs="宋体"/>
                <w:color w:val="000000" w:themeColor="text1"/>
                <w:kern w:val="0"/>
                <w:sz w:val="21"/>
                <w:szCs w:val="21"/>
                <w:highlight w:val="none"/>
                <w:lang w:val="en-US" w:eastAsia="zh-CN"/>
                <w14:textFill>
                  <w14:solidFill>
                    <w14:schemeClr w14:val="tx1"/>
                  </w14:solidFill>
                </w14:textFill>
              </w:rPr>
              <w:t>学</w:t>
            </w:r>
            <w:r>
              <w:rPr>
                <w:rFonts w:hint="eastAsia" w:ascii="宋体" w:hAnsi="宋体" w:eastAsia="宋体" w:cs="宋体"/>
                <w:color w:val="000000" w:themeColor="text1"/>
                <w:kern w:val="0"/>
                <w:sz w:val="21"/>
                <w:szCs w:val="21"/>
                <w:highlight w:val="none"/>
                <w14:textFill>
                  <w14:solidFill>
                    <w14:schemeClr w14:val="tx1"/>
                  </w14:solidFill>
                </w14:textFill>
              </w:rPr>
              <w:t>专</w:t>
            </w:r>
            <w:r>
              <w:rPr>
                <w:rFonts w:hint="eastAsia" w:ascii="宋体" w:hAnsi="宋体" w:cs="宋体"/>
                <w:color w:val="000000" w:themeColor="text1"/>
                <w:kern w:val="0"/>
                <w:sz w:val="21"/>
                <w:szCs w:val="21"/>
                <w:highlight w:val="none"/>
                <w:lang w:val="en-US" w:eastAsia="zh-CN"/>
                <w14:textFill>
                  <w14:solidFill>
                    <w14:schemeClr w14:val="tx1"/>
                  </w14:solidFill>
                </w14:textFill>
              </w:rPr>
              <w:t>科</w:t>
            </w:r>
            <w:r>
              <w:rPr>
                <w:rFonts w:hint="eastAsia" w:ascii="宋体" w:hAnsi="宋体" w:eastAsia="宋体" w:cs="宋体"/>
                <w:color w:val="000000" w:themeColor="text1"/>
                <w:kern w:val="0"/>
                <w:sz w:val="21"/>
                <w:szCs w:val="21"/>
                <w:highlight w:val="none"/>
                <w14:textFill>
                  <w14:solidFill>
                    <w14:schemeClr w14:val="tx1"/>
                  </w14:solidFill>
                </w14:textFill>
              </w:rPr>
              <w:t>学历</w:t>
            </w:r>
          </w:p>
        </w:tc>
        <w:tc>
          <w:tcPr>
            <w:tcW w:w="1427"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Align w:val="center"/>
          </w:tcPr>
          <w:p>
            <w:pPr>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p>
        </w:tc>
        <w:tc>
          <w:tcPr>
            <w:tcW w:w="1076" w:type="dxa"/>
            <w:vMerge w:val="continue"/>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c>
          <w:tcPr>
            <w:tcW w:w="1793"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信息化管理员</w:t>
            </w:r>
          </w:p>
        </w:tc>
        <w:tc>
          <w:tcPr>
            <w:tcW w:w="1173" w:type="dxa"/>
            <w:vAlign w:val="center"/>
          </w:tcPr>
          <w:p>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2454"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大</w:t>
            </w:r>
            <w:r>
              <w:rPr>
                <w:rFonts w:hint="eastAsia" w:ascii="宋体" w:hAnsi="宋体" w:cs="宋体"/>
                <w:color w:val="000000" w:themeColor="text1"/>
                <w:kern w:val="0"/>
                <w:sz w:val="21"/>
                <w:szCs w:val="21"/>
                <w:highlight w:val="none"/>
                <w:lang w:val="en-US" w:eastAsia="zh-CN"/>
                <w14:textFill>
                  <w14:solidFill>
                    <w14:schemeClr w14:val="tx1"/>
                  </w14:solidFill>
                </w14:textFill>
              </w:rPr>
              <w:t>学</w:t>
            </w:r>
            <w:r>
              <w:rPr>
                <w:rFonts w:hint="eastAsia" w:ascii="宋体" w:hAnsi="宋体" w:eastAsia="宋体" w:cs="宋体"/>
                <w:color w:val="000000" w:themeColor="text1"/>
                <w:kern w:val="0"/>
                <w:sz w:val="21"/>
                <w:szCs w:val="21"/>
                <w:highlight w:val="none"/>
                <w14:textFill>
                  <w14:solidFill>
                    <w14:schemeClr w14:val="tx1"/>
                  </w14:solidFill>
                </w14:textFill>
              </w:rPr>
              <w:t>专</w:t>
            </w:r>
            <w:r>
              <w:rPr>
                <w:rFonts w:hint="eastAsia" w:ascii="宋体" w:hAnsi="宋体" w:cs="宋体"/>
                <w:color w:val="000000" w:themeColor="text1"/>
                <w:kern w:val="0"/>
                <w:sz w:val="21"/>
                <w:szCs w:val="21"/>
                <w:highlight w:val="none"/>
                <w:lang w:val="en-US" w:eastAsia="zh-CN"/>
                <w14:textFill>
                  <w14:solidFill>
                    <w14:schemeClr w14:val="tx1"/>
                  </w14:solidFill>
                </w14:textFill>
              </w:rPr>
              <w:t>科</w:t>
            </w:r>
            <w:r>
              <w:rPr>
                <w:rFonts w:hint="eastAsia" w:ascii="宋体" w:hAnsi="宋体" w:eastAsia="宋体" w:cs="宋体"/>
                <w:color w:val="000000" w:themeColor="text1"/>
                <w:kern w:val="0"/>
                <w:sz w:val="21"/>
                <w:szCs w:val="21"/>
                <w:highlight w:val="none"/>
                <w14:textFill>
                  <w14:solidFill>
                    <w14:schemeClr w14:val="tx1"/>
                  </w14:solidFill>
                </w14:textFill>
              </w:rPr>
              <w:t>学历</w:t>
            </w:r>
          </w:p>
        </w:tc>
        <w:tc>
          <w:tcPr>
            <w:tcW w:w="1427"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Align w:val="center"/>
          </w:tcPr>
          <w:p>
            <w:pPr>
              <w:jc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p>
        </w:tc>
        <w:tc>
          <w:tcPr>
            <w:tcW w:w="1076" w:type="dxa"/>
            <w:vMerge w:val="continue"/>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c>
          <w:tcPr>
            <w:tcW w:w="1793" w:type="dxa"/>
            <w:vAlign w:val="center"/>
          </w:tcPr>
          <w:p>
            <w:pPr>
              <w:spacing w:line="300" w:lineRule="exact"/>
              <w:jc w:val="center"/>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办公室文员</w:t>
            </w:r>
          </w:p>
        </w:tc>
        <w:tc>
          <w:tcPr>
            <w:tcW w:w="1173" w:type="dxa"/>
            <w:vAlign w:val="center"/>
          </w:tcPr>
          <w:p>
            <w:pPr>
              <w:spacing w:line="300" w:lineRule="exact"/>
              <w:jc w:val="center"/>
              <w:rPr>
                <w:rFonts w:hint="default"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w:t>
            </w:r>
          </w:p>
        </w:tc>
        <w:tc>
          <w:tcPr>
            <w:tcW w:w="2454" w:type="dxa"/>
            <w:vAlign w:val="center"/>
          </w:tcPr>
          <w:p>
            <w:pPr>
              <w:jc w:val="center"/>
              <w:rPr>
                <w:rFonts w:hint="default" w:ascii="宋体" w:hAnsi="宋体" w:cs="宋体"/>
                <w:bCs/>
                <w:color w:val="000000" w:themeColor="text1"/>
                <w:sz w:val="21"/>
                <w:szCs w:val="21"/>
                <w:highlight w:val="none"/>
                <w:lang w:val="en-US"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w:t>
            </w:r>
          </w:p>
        </w:tc>
        <w:tc>
          <w:tcPr>
            <w:tcW w:w="1427"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Align w:val="center"/>
          </w:tcPr>
          <w:p>
            <w:pPr>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p>
        </w:tc>
        <w:tc>
          <w:tcPr>
            <w:tcW w:w="1076" w:type="dxa"/>
            <w:vMerge w:val="continue"/>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c>
          <w:tcPr>
            <w:tcW w:w="1793" w:type="dxa"/>
            <w:vAlign w:val="center"/>
          </w:tcPr>
          <w:p>
            <w:pPr>
              <w:spacing w:line="300" w:lineRule="exact"/>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水电设施设备维修技术人员</w:t>
            </w:r>
          </w:p>
        </w:tc>
        <w:tc>
          <w:tcPr>
            <w:tcW w:w="1173" w:type="dxa"/>
            <w:vAlign w:val="center"/>
          </w:tcPr>
          <w:p>
            <w:pPr>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1</w:t>
            </w:r>
          </w:p>
        </w:tc>
        <w:tc>
          <w:tcPr>
            <w:tcW w:w="2454"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需具备初级或以上电工资格证书</w:t>
            </w:r>
          </w:p>
        </w:tc>
        <w:tc>
          <w:tcPr>
            <w:tcW w:w="1427"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Align w:val="center"/>
          </w:tcPr>
          <w:p>
            <w:pPr>
              <w:jc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w:t>
            </w:r>
          </w:p>
        </w:tc>
        <w:tc>
          <w:tcPr>
            <w:tcW w:w="1076" w:type="dxa"/>
            <w:vMerge w:val="continue"/>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c>
          <w:tcPr>
            <w:tcW w:w="1793" w:type="dxa"/>
            <w:vAlign w:val="center"/>
          </w:tcPr>
          <w:p>
            <w:pPr>
              <w:spacing w:line="300" w:lineRule="exact"/>
              <w:jc w:val="center"/>
              <w:rPr>
                <w:rFonts w:hint="eastAsia" w:ascii="宋体" w:hAnsi="宋体"/>
                <w:bCs/>
                <w:color w:val="000000" w:themeColor="text1"/>
                <w:szCs w:val="21"/>
                <w:highlight w:val="none"/>
                <w:lang w:val="en-US" w:eastAsia="zh-CN"/>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街区管家巡查专员</w:t>
            </w:r>
          </w:p>
        </w:tc>
        <w:tc>
          <w:tcPr>
            <w:tcW w:w="1173" w:type="dxa"/>
            <w:vAlign w:val="center"/>
          </w:tcPr>
          <w:p>
            <w:pPr>
              <w:spacing w:line="300" w:lineRule="exact"/>
              <w:jc w:val="center"/>
              <w:rPr>
                <w:rFonts w:hint="default"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w:t>
            </w:r>
          </w:p>
        </w:tc>
        <w:tc>
          <w:tcPr>
            <w:tcW w:w="2454"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w:t>
            </w:r>
          </w:p>
        </w:tc>
        <w:tc>
          <w:tcPr>
            <w:tcW w:w="1427"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Align w:val="center"/>
          </w:tcPr>
          <w:p>
            <w:pPr>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7</w:t>
            </w:r>
          </w:p>
        </w:tc>
        <w:tc>
          <w:tcPr>
            <w:tcW w:w="1076" w:type="dxa"/>
            <w:vMerge w:val="restart"/>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w:t>
            </w:r>
            <w:r>
              <w:rPr>
                <w:rFonts w:hint="eastAsia" w:ascii="宋体" w:hAnsi="宋体" w:cs="宋体"/>
                <w:b w:val="0"/>
                <w:bCs/>
                <w:color w:val="000000" w:themeColor="text1"/>
                <w:sz w:val="21"/>
                <w:szCs w:val="21"/>
                <w:highlight w:val="none"/>
                <w:lang w:eastAsia="zh-CN"/>
                <w14:textFill>
                  <w14:solidFill>
                    <w14:schemeClr w14:val="tx1"/>
                  </w14:solidFill>
                </w14:textFill>
              </w:rPr>
              <w:t>环卫一体化</w:t>
            </w:r>
            <w:r>
              <w:rPr>
                <w:rFonts w:hint="eastAsia" w:ascii="宋体" w:hAnsi="宋体" w:eastAsia="宋体" w:cs="宋体"/>
                <w:bCs/>
                <w:color w:val="000000" w:themeColor="text1"/>
                <w:sz w:val="21"/>
                <w:szCs w:val="21"/>
                <w:highlight w:val="none"/>
                <w14:textFill>
                  <w14:solidFill>
                    <w14:schemeClr w14:val="tx1"/>
                  </w14:solidFill>
                </w14:textFill>
              </w:rPr>
              <w:t>一线作业人员</w:t>
            </w:r>
          </w:p>
        </w:tc>
        <w:tc>
          <w:tcPr>
            <w:tcW w:w="1793" w:type="dxa"/>
            <w:vAlign w:val="center"/>
          </w:tcPr>
          <w:p>
            <w:pPr>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司机</w:t>
            </w:r>
          </w:p>
        </w:tc>
        <w:tc>
          <w:tcPr>
            <w:tcW w:w="1173" w:type="dxa"/>
            <w:vAlign w:val="center"/>
          </w:tcPr>
          <w:p>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17</w:t>
            </w:r>
          </w:p>
        </w:tc>
        <w:tc>
          <w:tcPr>
            <w:tcW w:w="2454"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持有有效相应的驾驶执照</w:t>
            </w:r>
          </w:p>
        </w:tc>
        <w:tc>
          <w:tcPr>
            <w:tcW w:w="1427"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Align w:val="center"/>
          </w:tcPr>
          <w:p>
            <w:pPr>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8</w:t>
            </w:r>
          </w:p>
        </w:tc>
        <w:tc>
          <w:tcPr>
            <w:tcW w:w="1076" w:type="dxa"/>
            <w:vMerge w:val="continue"/>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c>
          <w:tcPr>
            <w:tcW w:w="1793"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跟车辅工</w:t>
            </w:r>
          </w:p>
        </w:tc>
        <w:tc>
          <w:tcPr>
            <w:tcW w:w="1173" w:type="dxa"/>
            <w:vAlign w:val="center"/>
          </w:tcPr>
          <w:p>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8</w:t>
            </w:r>
          </w:p>
        </w:tc>
        <w:tc>
          <w:tcPr>
            <w:tcW w:w="2454" w:type="dxa"/>
            <w:vAlign w:val="center"/>
          </w:tcPr>
          <w:p>
            <w:pPr>
              <w:jc w:val="center"/>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w:t>
            </w:r>
          </w:p>
        </w:tc>
        <w:tc>
          <w:tcPr>
            <w:tcW w:w="1427"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700" w:type="dxa"/>
            <w:vAlign w:val="center"/>
          </w:tcPr>
          <w:p>
            <w:pPr>
              <w:jc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9</w:t>
            </w:r>
          </w:p>
        </w:tc>
        <w:tc>
          <w:tcPr>
            <w:tcW w:w="1076" w:type="dxa"/>
            <w:vMerge w:val="continue"/>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c>
          <w:tcPr>
            <w:tcW w:w="1793" w:type="dxa"/>
            <w:vAlign w:val="center"/>
          </w:tcPr>
          <w:p>
            <w:pPr>
              <w:jc w:val="center"/>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cs="宋体"/>
                <w:bCs/>
                <w:color w:val="000000" w:themeColor="text1"/>
                <w:sz w:val="21"/>
                <w:szCs w:val="21"/>
                <w:highlight w:val="none"/>
                <w:lang w:eastAsia="zh-CN"/>
                <w14:textFill>
                  <w14:solidFill>
                    <w14:schemeClr w14:val="tx1"/>
                  </w14:solidFill>
                </w14:textFill>
              </w:rPr>
              <w:t>非机动车协助管理员</w:t>
            </w:r>
          </w:p>
        </w:tc>
        <w:tc>
          <w:tcPr>
            <w:tcW w:w="1173" w:type="dxa"/>
            <w:vAlign w:val="center"/>
          </w:tcPr>
          <w:p>
            <w:pPr>
              <w:jc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w:t>
            </w:r>
          </w:p>
        </w:tc>
        <w:tc>
          <w:tcPr>
            <w:tcW w:w="2454" w:type="dxa"/>
            <w:vAlign w:val="center"/>
          </w:tcPr>
          <w:p>
            <w:pPr>
              <w:jc w:val="center"/>
              <w:rPr>
                <w:rFonts w:hint="eastAsia" w:ascii="宋体" w:hAnsi="宋体" w:cs="宋体"/>
                <w:bCs/>
                <w:color w:val="000000" w:themeColor="text1"/>
                <w:sz w:val="21"/>
                <w:szCs w:val="21"/>
                <w:highlight w:val="none"/>
                <w:lang w:val="en-US"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w:t>
            </w:r>
          </w:p>
        </w:tc>
        <w:tc>
          <w:tcPr>
            <w:tcW w:w="1427"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700" w:type="dxa"/>
            <w:vAlign w:val="center"/>
          </w:tcPr>
          <w:p>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10</w:t>
            </w:r>
          </w:p>
        </w:tc>
        <w:tc>
          <w:tcPr>
            <w:tcW w:w="1076" w:type="dxa"/>
            <w:vMerge w:val="continue"/>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c>
          <w:tcPr>
            <w:tcW w:w="1793"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清扫保洁人员</w:t>
            </w:r>
          </w:p>
        </w:tc>
        <w:tc>
          <w:tcPr>
            <w:tcW w:w="1173" w:type="dxa"/>
            <w:vAlign w:val="center"/>
          </w:tcPr>
          <w:p>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110</w:t>
            </w:r>
          </w:p>
        </w:tc>
        <w:tc>
          <w:tcPr>
            <w:tcW w:w="2454" w:type="dxa"/>
            <w:vAlign w:val="center"/>
          </w:tcPr>
          <w:p>
            <w:pPr>
              <w:jc w:val="center"/>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w:t>
            </w:r>
          </w:p>
        </w:tc>
        <w:tc>
          <w:tcPr>
            <w:tcW w:w="1427"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Align w:val="center"/>
          </w:tcPr>
          <w:p>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11</w:t>
            </w:r>
          </w:p>
        </w:tc>
        <w:tc>
          <w:tcPr>
            <w:tcW w:w="1076" w:type="dxa"/>
            <w:vMerge w:val="continue"/>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c>
          <w:tcPr>
            <w:tcW w:w="1793" w:type="dxa"/>
            <w:vAlign w:val="center"/>
          </w:tcPr>
          <w:p>
            <w:pPr>
              <w:jc w:val="center"/>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垃圾站、公厕</w:t>
            </w:r>
            <w:r>
              <w:rPr>
                <w:rFonts w:hint="eastAsia" w:ascii="宋体" w:hAnsi="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中水点管理人员</w:t>
            </w:r>
          </w:p>
        </w:tc>
        <w:tc>
          <w:tcPr>
            <w:tcW w:w="1173" w:type="dxa"/>
            <w:vAlign w:val="center"/>
          </w:tcPr>
          <w:p>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23</w:t>
            </w:r>
          </w:p>
        </w:tc>
        <w:tc>
          <w:tcPr>
            <w:tcW w:w="2454" w:type="dxa"/>
            <w:vAlign w:val="center"/>
          </w:tcPr>
          <w:p>
            <w:pPr>
              <w:jc w:val="center"/>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w:t>
            </w:r>
          </w:p>
        </w:tc>
        <w:tc>
          <w:tcPr>
            <w:tcW w:w="1427"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00" w:type="dxa"/>
            <w:vAlign w:val="center"/>
          </w:tcPr>
          <w:p>
            <w:pPr>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2869" w:type="dxa"/>
            <w:gridSpan w:val="2"/>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合计</w:t>
            </w:r>
          </w:p>
        </w:tc>
        <w:tc>
          <w:tcPr>
            <w:tcW w:w="1173" w:type="dxa"/>
            <w:vAlign w:val="center"/>
          </w:tcPr>
          <w:p>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172</w:t>
            </w:r>
          </w:p>
        </w:tc>
        <w:tc>
          <w:tcPr>
            <w:tcW w:w="2454"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c>
          <w:tcPr>
            <w:tcW w:w="1427" w:type="dxa"/>
            <w:vAlign w:val="center"/>
          </w:tcPr>
          <w:p>
            <w:pPr>
              <w:jc w:val="center"/>
              <w:rPr>
                <w:rFonts w:hint="eastAsia" w:ascii="宋体" w:hAnsi="宋体" w:eastAsia="宋体" w:cs="宋体"/>
                <w:bCs/>
                <w:color w:val="000000" w:themeColor="text1"/>
                <w:sz w:val="21"/>
                <w:szCs w:val="21"/>
                <w:highlight w:val="none"/>
                <w14:textFill>
                  <w14:solidFill>
                    <w14:schemeClr w14:val="tx1"/>
                  </w14:solidFill>
                </w14:textFill>
              </w:rPr>
            </w:pPr>
          </w:p>
        </w:tc>
      </w:tr>
    </w:tbl>
    <w:p>
      <w:pPr>
        <w:adjustRightInd w:val="0"/>
        <w:snapToGrid w:val="0"/>
        <w:spacing w:line="360" w:lineRule="exact"/>
        <w:ind w:firstLine="421" w:firstLineChars="200"/>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★以上人员配置为最低要求，投标人在配备人员时，不得少于招标文件中规定的最少配备人数</w:t>
      </w:r>
      <w:r>
        <w:rPr>
          <w:rFonts w:hint="eastAsia" w:ascii="宋体" w:hAnsi="宋体" w:cs="宋体"/>
          <w:b/>
          <w:color w:val="000000" w:themeColor="text1"/>
          <w:sz w:val="21"/>
          <w:szCs w:val="21"/>
          <w:highlight w:val="none"/>
          <w:lang w:eastAsia="zh-CN"/>
          <w14:textFill>
            <w14:solidFill>
              <w14:schemeClr w14:val="tx1"/>
            </w14:solidFill>
          </w14:textFill>
        </w:rPr>
        <w:t>。中标后，</w:t>
      </w:r>
      <w:r>
        <w:rPr>
          <w:rFonts w:hint="eastAsia" w:ascii="宋体" w:hAnsi="宋体" w:eastAsia="宋体" w:cs="宋体"/>
          <w:b/>
          <w:color w:val="000000" w:themeColor="text1"/>
          <w:sz w:val="21"/>
          <w:szCs w:val="21"/>
          <w:highlight w:val="none"/>
          <w14:textFill>
            <w14:solidFill>
              <w14:schemeClr w14:val="tx1"/>
            </w14:solidFill>
          </w14:textFill>
        </w:rPr>
        <w:t>投标人须对标段拟投入人员做出书面承诺，工作人员在中标通知书发放后15天配置到位，同时须完成人员招聘和培训工作。</w:t>
      </w:r>
      <w:r>
        <w:rPr>
          <w:rFonts w:hint="eastAsia" w:ascii="宋体" w:hAnsi="宋体" w:eastAsia="宋体" w:cs="宋体"/>
          <w:b/>
          <w:color w:val="000000" w:themeColor="text1"/>
          <w:sz w:val="21"/>
          <w:szCs w:val="21"/>
          <w:highlight w:val="none"/>
          <w14:textFill>
            <w14:solidFill>
              <w14:schemeClr w14:val="tx1"/>
            </w14:solidFill>
          </w14:textFill>
        </w:rPr>
        <w:tab/>
      </w:r>
    </w:p>
    <w:p>
      <w:pPr>
        <w:adjustRightInd w:val="0"/>
        <w:snapToGrid w:val="0"/>
        <w:spacing w:line="360" w:lineRule="exact"/>
        <w:ind w:firstLine="421" w:firstLineChars="200"/>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中标</w:t>
      </w:r>
      <w:r>
        <w:rPr>
          <w:rFonts w:hint="eastAsia" w:ascii="宋体" w:hAnsi="宋体" w:cs="宋体"/>
          <w:b/>
          <w:color w:val="000000" w:themeColor="text1"/>
          <w:sz w:val="21"/>
          <w:szCs w:val="21"/>
          <w:highlight w:val="none"/>
          <w:lang w:val="en-US" w:eastAsia="zh-CN"/>
          <w14:textFill>
            <w14:solidFill>
              <w14:schemeClr w14:val="tx1"/>
            </w14:solidFill>
          </w14:textFill>
        </w:rPr>
        <w:t>人</w:t>
      </w:r>
      <w:r>
        <w:rPr>
          <w:rFonts w:hint="eastAsia" w:ascii="宋体" w:hAnsi="宋体" w:eastAsia="宋体" w:cs="宋体"/>
          <w:b/>
          <w:color w:val="000000" w:themeColor="text1"/>
          <w:sz w:val="21"/>
          <w:szCs w:val="21"/>
          <w:highlight w:val="none"/>
          <w14:textFill>
            <w14:solidFill>
              <w14:schemeClr w14:val="tx1"/>
            </w14:solidFill>
          </w14:textFill>
        </w:rPr>
        <w:t>未经书面同意不得在标段服务范围以外使用本标段的配置的人员</w:t>
      </w:r>
      <w:r>
        <w:rPr>
          <w:rFonts w:hint="eastAsia" w:ascii="宋体" w:hAnsi="宋体" w:cs="宋体"/>
          <w:b/>
          <w:color w:val="000000" w:themeColor="text1"/>
          <w:sz w:val="21"/>
          <w:szCs w:val="21"/>
          <w:highlight w:val="none"/>
          <w:lang w:eastAsia="zh-CN"/>
          <w14:textFill>
            <w14:solidFill>
              <w14:schemeClr w14:val="tx1"/>
            </w14:solidFill>
          </w14:textFill>
        </w:rPr>
        <w:t>，中标人需要更换项目负责人（项目经理）的，需要报请招标人同意后方可更换</w:t>
      </w:r>
      <w:r>
        <w:rPr>
          <w:rFonts w:hint="eastAsia" w:ascii="宋体" w:hAnsi="宋体" w:eastAsia="宋体" w:cs="宋体"/>
          <w:b/>
          <w:color w:val="000000" w:themeColor="text1"/>
          <w:sz w:val="21"/>
          <w:szCs w:val="21"/>
          <w:highlight w:val="none"/>
          <w14:textFill>
            <w14:solidFill>
              <w14:schemeClr w14:val="tx1"/>
            </w14:solidFill>
          </w14:textFill>
        </w:rPr>
        <w:t>。</w:t>
      </w:r>
    </w:p>
    <w:p>
      <w:pPr>
        <w:adjustRightInd w:val="0"/>
        <w:snapToGrid w:val="0"/>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注：项目管理团队（管理人员）包括：项目经理</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专职安全负责人</w:t>
      </w:r>
      <w:r>
        <w:rPr>
          <w:rFonts w:hint="eastAsia" w:ascii="宋体" w:hAnsi="宋体" w:eastAsia="宋体" w:cs="宋体"/>
          <w:color w:val="000000" w:themeColor="text1"/>
          <w:sz w:val="21"/>
          <w:szCs w:val="21"/>
          <w:highlight w:val="none"/>
          <w14:textFill>
            <w14:solidFill>
              <w14:schemeClr w14:val="tx1"/>
            </w14:solidFill>
          </w14:textFill>
        </w:rPr>
        <w:t>、信息化管理员、办公室文员</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bCs/>
          <w:color w:val="000000" w:themeColor="text1"/>
          <w:szCs w:val="21"/>
          <w:highlight w:val="none"/>
          <w:lang w:val="en-US" w:eastAsia="zh-CN"/>
          <w14:textFill>
            <w14:solidFill>
              <w14:schemeClr w14:val="tx1"/>
            </w14:solidFill>
          </w14:textFill>
        </w:rPr>
        <w:t>水电设施设备维修技术人员、</w:t>
      </w:r>
      <w:r>
        <w:rPr>
          <w:rFonts w:hint="eastAsia" w:ascii="宋体" w:hAnsi="宋体" w:cs="宋体"/>
          <w:color w:val="000000" w:themeColor="text1"/>
          <w:sz w:val="21"/>
          <w:szCs w:val="21"/>
          <w:highlight w:val="none"/>
          <w:lang w:eastAsia="zh-CN"/>
          <w14:textFill>
            <w14:solidFill>
              <w14:schemeClr w14:val="tx1"/>
            </w14:solidFill>
          </w14:textFill>
        </w:rPr>
        <w:t>街区管家巡查专员</w:t>
      </w:r>
      <w:r>
        <w:rPr>
          <w:rFonts w:hint="eastAsia" w:ascii="宋体" w:hAnsi="宋体" w:eastAsia="宋体" w:cs="宋体"/>
          <w:color w:val="000000" w:themeColor="text1"/>
          <w:sz w:val="21"/>
          <w:szCs w:val="21"/>
          <w:highlight w:val="none"/>
          <w14:textFill>
            <w14:solidFill>
              <w14:schemeClr w14:val="tx1"/>
            </w14:solidFill>
          </w14:textFill>
        </w:rPr>
        <w:t>；一线作业人员包括：司机、跟车辅工、清扫保洁人员、垃圾站、公厕</w:t>
      </w:r>
      <w:r>
        <w:rPr>
          <w:rFonts w:hint="eastAsia" w:ascii="宋体" w:hAnsi="宋体" w:cs="宋体"/>
          <w:color w:val="000000" w:themeColor="text1"/>
          <w:sz w:val="21"/>
          <w:szCs w:val="21"/>
          <w:highlight w:val="none"/>
          <w:lang w:eastAsia="zh-CN"/>
          <w14:textFill>
            <w14:solidFill>
              <w14:schemeClr w14:val="tx1"/>
            </w14:solidFill>
          </w14:textFill>
        </w:rPr>
        <w:t>、中水点</w:t>
      </w:r>
      <w:r>
        <w:rPr>
          <w:rFonts w:hint="eastAsia" w:ascii="宋体" w:hAnsi="宋体" w:eastAsia="宋体" w:cs="宋体"/>
          <w:color w:val="000000" w:themeColor="text1"/>
          <w:sz w:val="21"/>
          <w:szCs w:val="21"/>
          <w:highlight w:val="none"/>
          <w14:textFill>
            <w14:solidFill>
              <w14:schemeClr w14:val="tx1"/>
            </w14:solidFill>
          </w14:textFill>
        </w:rPr>
        <w:t>管理人员</w:t>
      </w:r>
      <w:r>
        <w:rPr>
          <w:rFonts w:hint="eastAsia" w:ascii="宋体" w:hAnsi="宋体" w:cs="宋体"/>
          <w:color w:val="000000" w:themeColor="text1"/>
          <w:sz w:val="21"/>
          <w:szCs w:val="21"/>
          <w:highlight w:val="none"/>
          <w:lang w:eastAsia="zh-CN"/>
          <w14:textFill>
            <w14:solidFill>
              <w14:schemeClr w14:val="tx1"/>
            </w14:solidFill>
          </w14:textFill>
        </w:rPr>
        <w:t>、非机动车协助管理员</w:t>
      </w:r>
      <w:r>
        <w:rPr>
          <w:rFonts w:hint="eastAsia" w:ascii="宋体" w:hAnsi="宋体" w:eastAsia="宋体" w:cs="宋体"/>
          <w:color w:val="000000" w:themeColor="text1"/>
          <w:sz w:val="21"/>
          <w:szCs w:val="21"/>
          <w:highlight w:val="none"/>
          <w14:textFill>
            <w14:solidFill>
              <w14:schemeClr w14:val="tx1"/>
            </w14:solidFill>
          </w14:textFill>
        </w:rPr>
        <w:t>。</w:t>
      </w:r>
    </w:p>
    <w:p>
      <w:pPr>
        <w:ind w:firstLine="421" w:firstLineChars="200"/>
        <w:outlineLvl w:val="4"/>
        <w:rPr>
          <w:rFonts w:hint="eastAsia" w:ascii="宋体" w:hAnsi="宋体" w:eastAsia="宋体" w:cs="宋体"/>
          <w:b/>
          <w:bCs/>
          <w:snapToGrid w:val="0"/>
          <w:color w:val="000000" w:themeColor="text1"/>
          <w:kern w:val="0"/>
          <w:sz w:val="21"/>
          <w:szCs w:val="21"/>
          <w:highlight w:val="none"/>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2</w:t>
      </w:r>
      <w:r>
        <w:rPr>
          <w:rFonts w:hint="eastAsia" w:ascii="宋体" w:hAnsi="宋体" w:cs="宋体"/>
          <w:b/>
          <w:bCs/>
          <w:snapToGrid w:val="0"/>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车辆设备配置要求</w:t>
      </w:r>
    </w:p>
    <w:p>
      <w:pPr>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设备（含车辆）需求一览表</w:t>
      </w:r>
    </w:p>
    <w:tbl>
      <w:tblPr>
        <w:tblStyle w:val="44"/>
        <w:tblW w:w="8862"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2597"/>
        <w:gridCol w:w="1887"/>
        <w:gridCol w:w="4378"/>
      </w:tblGrid>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259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车辆、设备名称</w:t>
            </w:r>
          </w:p>
        </w:tc>
        <w:tc>
          <w:tcPr>
            <w:tcW w:w="188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配置不少于以下数量</w:t>
            </w:r>
          </w:p>
          <w:p>
            <w:pPr>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（台/套/辆/个）</w:t>
            </w:r>
          </w:p>
        </w:tc>
        <w:tc>
          <w:tcPr>
            <w:tcW w:w="4378"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车辆、设备</w:t>
            </w:r>
            <w:r>
              <w:rPr>
                <w:rFonts w:hint="default" w:ascii="宋体" w:hAnsi="宋体" w:eastAsia="宋体" w:cs="宋体"/>
                <w:color w:val="000000" w:themeColor="text1"/>
                <w:sz w:val="21"/>
                <w:szCs w:val="21"/>
                <w:highlight w:val="none"/>
                <w:lang w:val="en-US"/>
                <w14:textFill>
                  <w14:solidFill>
                    <w14:schemeClr w14:val="tx1"/>
                  </w14:solidFill>
                </w14:textFill>
              </w:rPr>
              <w:t>必须</w:t>
            </w:r>
            <w:r>
              <w:rPr>
                <w:rFonts w:hint="eastAsia" w:ascii="宋体" w:hAnsi="宋体" w:eastAsia="宋体" w:cs="宋体"/>
                <w:color w:val="000000" w:themeColor="text1"/>
                <w:sz w:val="21"/>
                <w:szCs w:val="21"/>
                <w:highlight w:val="none"/>
                <w14:textFill>
                  <w14:solidFill>
                    <w14:schemeClr w14:val="tx1"/>
                  </w14:solidFill>
                </w14:textFill>
              </w:rPr>
              <w:t>具备条件</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259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纯电动</w:t>
            </w:r>
            <w:r>
              <w:rPr>
                <w:rFonts w:hint="eastAsia" w:ascii="宋体" w:hAnsi="宋体"/>
                <w:color w:val="000000" w:themeColor="text1"/>
                <w:szCs w:val="21"/>
                <w:highlight w:val="none"/>
                <w:lang w:val="en-US" w:eastAsia="zh-CN"/>
                <w14:textFill>
                  <w14:solidFill>
                    <w14:schemeClr w14:val="tx1"/>
                  </w14:solidFill>
                </w14:textFill>
              </w:rPr>
              <w:t>洗扫一体车        （重型）</w:t>
            </w:r>
          </w:p>
        </w:tc>
        <w:tc>
          <w:tcPr>
            <w:tcW w:w="18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p>
        </w:tc>
        <w:tc>
          <w:tcPr>
            <w:tcW w:w="437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rPr>
                <w:rFonts w:hint="eastAsia"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1、进场作业前须完成机动车登记，具备深圳合法上路作业条件，同时须满足深圳环卫车辆管理、智慧环卫平台接入要求，可正常在项目区域开展环卫作业；若使用外地号牌车辆，全部由中标人自行向深圳交警申请市政环卫作业电子通行证，保证作业时段、路段合法上路，自行承担办证失败、到期续期、限行处罚等全部风险，否则视为违约。</w:t>
            </w:r>
          </w:p>
          <w:p>
            <w:pPr>
              <w:adjustRightInd w:val="0"/>
              <w:snapToGrid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eastAsia="zh-CN"/>
                <w14:textFill>
                  <w14:solidFill>
                    <w14:schemeClr w14:val="tx1"/>
                  </w14:solidFill>
                </w14:textFill>
              </w:rPr>
              <w:t>需</w:t>
            </w:r>
            <w:r>
              <w:rPr>
                <w:rFonts w:hint="eastAsia" w:ascii="宋体" w:hAnsi="宋体"/>
                <w:color w:val="000000" w:themeColor="text1"/>
                <w:szCs w:val="21"/>
                <w:highlight w:val="none"/>
                <w14:textFill>
                  <w14:solidFill>
                    <w14:schemeClr w14:val="tx1"/>
                  </w14:solidFill>
                </w14:textFill>
              </w:rPr>
              <w:t>安装 360 度全景景像监控设备、智能辅助安全制动系统、监控盲区报警装置、</w:t>
            </w:r>
            <w:r>
              <w:rPr>
                <w:rFonts w:ascii="宋体" w:hAnsi="宋体"/>
                <w:color w:val="000000" w:themeColor="text1"/>
                <w:szCs w:val="21"/>
                <w:highlight w:val="none"/>
                <w14:textFill>
                  <w14:solidFill>
                    <w14:schemeClr w14:val="tx1"/>
                  </w14:solidFill>
                </w14:textFill>
              </w:rPr>
              <w:t>定位设备和智能视频监控报警系统</w:t>
            </w:r>
            <w:r>
              <w:rPr>
                <w:rFonts w:hint="eastAsia" w:ascii="宋体" w:hAnsi="宋体"/>
                <w:color w:val="000000" w:themeColor="text1"/>
                <w:szCs w:val="21"/>
                <w:highlight w:val="none"/>
                <w14:textFill>
                  <w14:solidFill>
                    <w14:schemeClr w14:val="tx1"/>
                  </w14:solidFill>
                </w14:textFill>
              </w:rPr>
              <w:t>终端</w:t>
            </w:r>
            <w:r>
              <w:rPr>
                <w:rFonts w:ascii="宋体" w:hAnsi="宋体"/>
                <w:color w:val="000000" w:themeColor="text1"/>
                <w:szCs w:val="21"/>
                <w:highlight w:val="none"/>
                <w14:textFill>
                  <w14:solidFill>
                    <w14:schemeClr w14:val="tx1"/>
                  </w14:solidFill>
                </w14:textFill>
              </w:rPr>
              <w:t>并</w:t>
            </w:r>
            <w:r>
              <w:rPr>
                <w:rFonts w:hint="eastAsia" w:ascii="宋体" w:hAnsi="宋体"/>
                <w:color w:val="000000" w:themeColor="text1"/>
                <w:szCs w:val="21"/>
                <w:highlight w:val="none"/>
                <w14:textFill>
                  <w14:solidFill>
                    <w14:schemeClr w14:val="tx1"/>
                  </w14:solidFill>
                </w14:textFill>
              </w:rPr>
              <w:t>接入区</w:t>
            </w:r>
            <w:r>
              <w:rPr>
                <w:rFonts w:hint="eastAsia" w:ascii="宋体" w:hAnsi="宋体" w:cs="宋体"/>
                <w:color w:val="000000" w:themeColor="text1"/>
                <w:szCs w:val="21"/>
                <w:highlight w:val="none"/>
                <w14:textFill>
                  <w14:solidFill>
                    <w14:schemeClr w14:val="tx1"/>
                  </w14:solidFill>
                </w14:textFill>
              </w:rPr>
              <w:t>城管和综合执法</w:t>
            </w:r>
            <w:r>
              <w:rPr>
                <w:rFonts w:hint="eastAsia" w:ascii="宋体" w:hAnsi="宋体"/>
                <w:color w:val="000000" w:themeColor="text1"/>
                <w:szCs w:val="21"/>
                <w:highlight w:val="none"/>
                <w14:textFill>
                  <w14:solidFill>
                    <w14:schemeClr w14:val="tx1"/>
                  </w14:solidFill>
                </w14:textFill>
              </w:rPr>
              <w:t>局指定的信息化监管平台，视频监控设备需实现 AI识别应用，产生的费用由中标人承担。</w:t>
            </w:r>
          </w:p>
          <w:p>
            <w:pPr>
              <w:adjustRightInd w:val="0"/>
              <w:snapToGrid w:val="0"/>
              <w:spacing w:line="3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3</w:t>
            </w:r>
            <w:r>
              <w:rPr>
                <w:rFonts w:ascii="宋体" w:hAnsi="宋体"/>
                <w:color w:val="000000" w:themeColor="text1"/>
                <w:szCs w:val="21"/>
                <w:highlight w:val="none"/>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总质量≥18吨</w:t>
            </w:r>
            <w:r>
              <w:rPr>
                <w:rFonts w:hint="eastAsia" w:ascii="宋体" w:hAnsi="宋体"/>
                <w:color w:val="000000" w:themeColor="text1"/>
                <w:szCs w:val="21"/>
                <w:highlight w:val="none"/>
                <w:lang w:eastAsia="zh-CN"/>
                <w14:textFill>
                  <w14:solidFill>
                    <w14:schemeClr w14:val="tx1"/>
                  </w14:solidFill>
                </w14:textFill>
              </w:rPr>
              <w:t>。</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706"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纯电动高压清洗车</w:t>
            </w:r>
          </w:p>
          <w:p>
            <w:pPr>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（重型）</w:t>
            </w:r>
          </w:p>
        </w:tc>
        <w:tc>
          <w:tcPr>
            <w:tcW w:w="18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p>
        </w:tc>
        <w:tc>
          <w:tcPr>
            <w:tcW w:w="437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rPr>
                <w:rFonts w:hint="eastAsia"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1、进场作业前须完成机动车登记，具备深圳合法上路作业条件，同时须满足深圳环卫车辆管理、智慧环卫平台接入要求，可正常在项目区域开展环卫作业；若使用外地号牌车辆，全部由中标人自行向深圳交警申请市政环卫作业电子通行证，保证作业时段、路段合法上路，自行承担办证失败、到期续期、限行处罚等全部风险，否则视为违约。</w:t>
            </w:r>
          </w:p>
          <w:p>
            <w:pPr>
              <w:adjustRightInd w:val="0"/>
              <w:snapToGrid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eastAsia="zh-CN"/>
                <w14:textFill>
                  <w14:solidFill>
                    <w14:schemeClr w14:val="tx1"/>
                  </w14:solidFill>
                </w14:textFill>
              </w:rPr>
              <w:t>需</w:t>
            </w:r>
            <w:r>
              <w:rPr>
                <w:rFonts w:hint="eastAsia" w:ascii="宋体" w:hAnsi="宋体"/>
                <w:color w:val="000000" w:themeColor="text1"/>
                <w:szCs w:val="21"/>
                <w:highlight w:val="none"/>
                <w14:textFill>
                  <w14:solidFill>
                    <w14:schemeClr w14:val="tx1"/>
                  </w14:solidFill>
                </w14:textFill>
              </w:rPr>
              <w:t>安装 360 度全景景像监控设备、智能辅助安全制动系统、监控盲区报警装置、</w:t>
            </w:r>
            <w:r>
              <w:rPr>
                <w:rFonts w:ascii="宋体" w:hAnsi="宋体"/>
                <w:color w:val="000000" w:themeColor="text1"/>
                <w:szCs w:val="21"/>
                <w:highlight w:val="none"/>
                <w14:textFill>
                  <w14:solidFill>
                    <w14:schemeClr w14:val="tx1"/>
                  </w14:solidFill>
                </w14:textFill>
              </w:rPr>
              <w:t>定位设备和智能视频监控报警系统</w:t>
            </w:r>
            <w:r>
              <w:rPr>
                <w:rFonts w:hint="eastAsia" w:ascii="宋体" w:hAnsi="宋体"/>
                <w:color w:val="000000" w:themeColor="text1"/>
                <w:szCs w:val="21"/>
                <w:highlight w:val="none"/>
                <w14:textFill>
                  <w14:solidFill>
                    <w14:schemeClr w14:val="tx1"/>
                  </w14:solidFill>
                </w14:textFill>
              </w:rPr>
              <w:t>终端</w:t>
            </w:r>
            <w:r>
              <w:rPr>
                <w:rFonts w:ascii="宋体" w:hAnsi="宋体"/>
                <w:color w:val="000000" w:themeColor="text1"/>
                <w:szCs w:val="21"/>
                <w:highlight w:val="none"/>
                <w14:textFill>
                  <w14:solidFill>
                    <w14:schemeClr w14:val="tx1"/>
                  </w14:solidFill>
                </w14:textFill>
              </w:rPr>
              <w:t>并</w:t>
            </w:r>
            <w:r>
              <w:rPr>
                <w:rFonts w:hint="eastAsia" w:ascii="宋体" w:hAnsi="宋体"/>
                <w:color w:val="000000" w:themeColor="text1"/>
                <w:szCs w:val="21"/>
                <w:highlight w:val="none"/>
                <w14:textFill>
                  <w14:solidFill>
                    <w14:schemeClr w14:val="tx1"/>
                  </w14:solidFill>
                </w14:textFill>
              </w:rPr>
              <w:t>接入区</w:t>
            </w:r>
            <w:r>
              <w:rPr>
                <w:rFonts w:hint="eastAsia" w:ascii="宋体" w:hAnsi="宋体" w:cs="宋体"/>
                <w:color w:val="000000" w:themeColor="text1"/>
                <w:szCs w:val="21"/>
                <w:highlight w:val="none"/>
                <w14:textFill>
                  <w14:solidFill>
                    <w14:schemeClr w14:val="tx1"/>
                  </w14:solidFill>
                </w14:textFill>
              </w:rPr>
              <w:t>城管和综合执法</w:t>
            </w:r>
            <w:r>
              <w:rPr>
                <w:rFonts w:hint="eastAsia" w:ascii="宋体" w:hAnsi="宋体"/>
                <w:color w:val="000000" w:themeColor="text1"/>
                <w:szCs w:val="21"/>
                <w:highlight w:val="none"/>
                <w14:textFill>
                  <w14:solidFill>
                    <w14:schemeClr w14:val="tx1"/>
                  </w14:solidFill>
                </w14:textFill>
              </w:rPr>
              <w:t>局指定的信息化监管平台，视频监控设备需实现 AI识别应用，产生的费用由中标人承担。</w:t>
            </w:r>
          </w:p>
          <w:p>
            <w:pPr>
              <w:adjustRightInd w:val="0"/>
              <w:snapToGrid w:val="0"/>
              <w:spacing w:line="3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3</w:t>
            </w:r>
            <w:r>
              <w:rPr>
                <w:rFonts w:ascii="宋体" w:hAnsi="宋体"/>
                <w:color w:val="000000" w:themeColor="text1"/>
                <w:szCs w:val="21"/>
                <w:highlight w:val="none"/>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总质量≥1</w:t>
            </w:r>
            <w:r>
              <w:rPr>
                <w:rFonts w:hint="eastAsia" w:ascii="宋体" w:hAnsi="宋体"/>
                <w:color w:val="000000" w:themeColor="text1"/>
                <w:szCs w:val="21"/>
                <w:highlight w:val="none"/>
                <w:lang w:val="en-US" w:eastAsia="zh-CN"/>
                <w14:textFill>
                  <w14:solidFill>
                    <w14:schemeClr w14:val="tx1"/>
                  </w14:solidFill>
                </w14:textFill>
              </w:rPr>
              <w:t>8</w:t>
            </w:r>
            <w:r>
              <w:rPr>
                <w:rFonts w:hint="eastAsia" w:ascii="宋体" w:hAnsi="宋体"/>
                <w:color w:val="000000" w:themeColor="text1"/>
                <w:szCs w:val="21"/>
                <w:highlight w:val="none"/>
                <w14:textFill>
                  <w14:solidFill>
                    <w14:schemeClr w14:val="tx1"/>
                  </w14:solidFill>
                </w14:textFill>
              </w:rPr>
              <w:t>吨</w:t>
            </w:r>
            <w:r>
              <w:rPr>
                <w:rFonts w:hint="eastAsia" w:ascii="宋体" w:hAnsi="宋体"/>
                <w:color w:val="000000" w:themeColor="text1"/>
                <w:szCs w:val="21"/>
                <w:highlight w:val="none"/>
                <w:lang w:eastAsia="zh-CN"/>
                <w14:textFill>
                  <w14:solidFill>
                    <w14:schemeClr w14:val="tx1"/>
                  </w14:solidFill>
                </w14:textFill>
              </w:rPr>
              <w:t>。</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411"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纯电动路面养护车</w:t>
            </w:r>
            <w:r>
              <w:rPr>
                <w:rFonts w:hint="eastAsia" w:ascii="宋体" w:hAnsi="宋体"/>
                <w:color w:val="000000" w:themeColor="text1"/>
                <w:szCs w:val="21"/>
                <w:highlight w:val="none"/>
                <w:lang w:val="en-US" w:eastAsia="zh-CN"/>
                <w14:textFill>
                  <w14:solidFill>
                    <w14:schemeClr w14:val="tx1"/>
                  </w14:solidFill>
                </w14:textFill>
              </w:rPr>
              <w:t xml:space="preserve">  </w:t>
            </w:r>
            <w:r>
              <w:rPr>
                <w:rFonts w:hint="eastAsia" w:ascii="宋体" w:hAnsi="宋体"/>
                <w:color w:val="000000" w:themeColor="text1"/>
                <w:szCs w:val="21"/>
                <w:highlight w:val="none"/>
                <w:lang w:eastAsia="zh-CN"/>
                <w14:textFill>
                  <w14:solidFill>
                    <w14:schemeClr w14:val="tx1"/>
                  </w14:solidFill>
                </w14:textFill>
              </w:rPr>
              <w:t>（中型）</w:t>
            </w:r>
          </w:p>
        </w:tc>
        <w:tc>
          <w:tcPr>
            <w:tcW w:w="1887" w:type="dxa"/>
            <w:tcBorders>
              <w:top w:val="single" w:color="auto" w:sz="4" w:space="0"/>
              <w:left w:val="single" w:color="auto" w:sz="4" w:space="0"/>
              <w:bottom w:val="single" w:color="auto" w:sz="4" w:space="0"/>
              <w:right w:val="single" w:color="auto" w:sz="4" w:space="0"/>
            </w:tcBorders>
            <w:vAlign w:val="center"/>
          </w:tcPr>
          <w:p>
            <w:pPr>
              <w:widowControl/>
              <w:adjustRightInd/>
              <w:snapToGrid/>
              <w:spacing w:line="240" w:lineRule="auto"/>
              <w:jc w:val="center"/>
              <w:rPr>
                <w:rFonts w:hint="default" w:ascii="宋体" w:cs="宋体"/>
                <w:color w:val="000000" w:themeColor="text1"/>
                <w:kern w:val="0"/>
                <w:szCs w:val="21"/>
                <w:highlight w:val="none"/>
                <w:lang w:val="en-US" w:eastAsia="zh-CN"/>
                <w14:textFill>
                  <w14:solidFill>
                    <w14:schemeClr w14:val="tx1"/>
                  </w14:solidFill>
                </w14:textFill>
              </w:rPr>
            </w:pPr>
            <w:r>
              <w:rPr>
                <w:rFonts w:hint="eastAsia" w:ascii="宋体" w:cs="宋体"/>
                <w:color w:val="000000" w:themeColor="text1"/>
                <w:kern w:val="0"/>
                <w:szCs w:val="21"/>
                <w:highlight w:val="none"/>
                <w:lang w:val="en-US" w:eastAsia="zh-CN"/>
                <w14:textFill>
                  <w14:solidFill>
                    <w14:schemeClr w14:val="tx1"/>
                  </w14:solidFill>
                </w14:textFill>
              </w:rPr>
              <w:t>2</w:t>
            </w:r>
          </w:p>
        </w:tc>
        <w:tc>
          <w:tcPr>
            <w:tcW w:w="437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rPr>
                <w:rFonts w:hint="eastAsia"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1、进场作业前须完成机动车登记，具备深圳合法上路作业条件，同时须满足深圳环卫车辆管理、智慧环卫平台接入要求，可正常在项目区域开展环卫作业；若使用外地号牌车辆，全部由中标人自行向深圳交警申请市政环卫作业电子通行证，保证作业时段、路段合法上路，自行承担办证失败、到期续期、限行处罚等全部风险，否则视为违约。</w:t>
            </w:r>
          </w:p>
          <w:p>
            <w:pPr>
              <w:adjustRightInd w:val="0"/>
              <w:snapToGrid w:val="0"/>
              <w:spacing w:line="30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eastAsia="zh-CN"/>
                <w14:textFill>
                  <w14:solidFill>
                    <w14:schemeClr w14:val="tx1"/>
                  </w14:solidFill>
                </w14:textFill>
              </w:rPr>
              <w:t>需</w:t>
            </w:r>
            <w:r>
              <w:rPr>
                <w:rFonts w:hint="eastAsia" w:ascii="宋体" w:hAnsi="宋体"/>
                <w:color w:val="000000" w:themeColor="text1"/>
                <w:szCs w:val="21"/>
                <w:highlight w:val="none"/>
                <w14:textFill>
                  <w14:solidFill>
                    <w14:schemeClr w14:val="tx1"/>
                  </w14:solidFill>
                </w14:textFill>
              </w:rPr>
              <w:t>安装 360 度全景景像监控设备、智能辅助安全制动系统、监控盲区报警装置、定位设备和智能视频监控报警系统终端并接入区城管和综合执法局指定的信息化监管平台，视频监控设备需实现 AI识别应用，产生的费用由中标人承担。</w:t>
            </w:r>
          </w:p>
          <w:p>
            <w:pPr>
              <w:pStyle w:val="24"/>
              <w:rPr>
                <w:rFonts w:hint="eastAsia" w:ascii="宋体" w:hAnsi="宋体"/>
                <w:color w:val="000000" w:themeColor="text1"/>
                <w:szCs w:val="21"/>
                <w:highlight w:val="none"/>
                <w:lang w:val="en-US" w:eastAsia="zh-CN"/>
                <w14:textFill>
                  <w14:solidFill>
                    <w14:schemeClr w14:val="tx1"/>
                  </w14:solidFill>
                </w14:textFill>
              </w:rPr>
            </w:pPr>
            <w:r>
              <w:rPr>
                <w:rFonts w:hint="eastAsia" w:hAnsi="宋体"/>
                <w:color w:val="000000" w:themeColor="text1"/>
                <w:szCs w:val="21"/>
                <w:highlight w:val="none"/>
                <w:lang w:val="en-US" w:eastAsia="zh-CN"/>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、其他：总质量</w:t>
            </w:r>
            <w:r>
              <w:rPr>
                <w:rFonts w:hint="eastAsia" w:hAnsi="宋体"/>
                <w:color w:val="000000" w:themeColor="text1"/>
                <w:szCs w:val="21"/>
                <w:highlight w:val="none"/>
                <w:lang w:val="en-US" w:eastAsia="zh-CN"/>
                <w14:textFill>
                  <w14:solidFill>
                    <w14:schemeClr w14:val="tx1"/>
                  </w14:solidFill>
                </w14:textFill>
              </w:rPr>
              <w:t>4吨~6</w:t>
            </w:r>
            <w:r>
              <w:rPr>
                <w:rFonts w:hint="eastAsia" w:ascii="宋体" w:hAnsi="宋体"/>
                <w:color w:val="000000" w:themeColor="text1"/>
                <w:szCs w:val="21"/>
                <w:highlight w:val="none"/>
                <w14:textFill>
                  <w14:solidFill>
                    <w14:schemeClr w14:val="tx1"/>
                  </w14:solidFill>
                </w14:textFill>
              </w:rPr>
              <w:t>吨。</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706"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无人驾驶智能扫路车（</w:t>
            </w:r>
            <w:r>
              <w:rPr>
                <w:rFonts w:hint="eastAsia" w:ascii="宋体" w:hAnsi="宋体"/>
                <w:color w:val="000000" w:themeColor="text1"/>
                <w:szCs w:val="21"/>
                <w:highlight w:val="none"/>
                <w14:textFill>
                  <w14:solidFill>
                    <w14:schemeClr w14:val="tx1"/>
                  </w14:solidFill>
                </w14:textFill>
              </w:rPr>
              <w:t>环卫机器人</w:t>
            </w:r>
            <w:r>
              <w:rPr>
                <w:rFonts w:hint="eastAsia" w:ascii="宋体" w:hAnsi="宋体"/>
                <w:color w:val="000000" w:themeColor="text1"/>
                <w:szCs w:val="21"/>
                <w:highlight w:val="none"/>
                <w:lang w:eastAsia="zh-CN"/>
                <w14:textFill>
                  <w14:solidFill>
                    <w14:schemeClr w14:val="tx1"/>
                  </w14:solidFill>
                </w14:textFill>
              </w:rPr>
              <w:t>）</w:t>
            </w:r>
          </w:p>
        </w:tc>
        <w:tc>
          <w:tcPr>
            <w:tcW w:w="1887" w:type="dxa"/>
            <w:tcBorders>
              <w:top w:val="single" w:color="auto" w:sz="4" w:space="0"/>
              <w:left w:val="single" w:color="auto" w:sz="4" w:space="0"/>
              <w:bottom w:val="single" w:color="auto" w:sz="4" w:space="0"/>
              <w:right w:val="single" w:color="auto" w:sz="4" w:space="0"/>
            </w:tcBorders>
            <w:vAlign w:val="center"/>
          </w:tcPr>
          <w:p>
            <w:pPr>
              <w:widowControl/>
              <w:adjustRightInd/>
              <w:snapToGrid/>
              <w:spacing w:line="240" w:lineRule="auto"/>
              <w:jc w:val="cente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cs="宋体"/>
                <w:color w:val="000000" w:themeColor="text1"/>
                <w:kern w:val="0"/>
                <w:szCs w:val="21"/>
                <w:highlight w:val="none"/>
                <w:lang w:val="en-US" w:eastAsia="zh-CN"/>
                <w14:textFill>
                  <w14:solidFill>
                    <w14:schemeClr w14:val="tx1"/>
                  </w14:solidFill>
                </w14:textFill>
              </w:rPr>
              <w:t>2</w:t>
            </w:r>
          </w:p>
        </w:tc>
        <w:tc>
          <w:tcPr>
            <w:tcW w:w="4378" w:type="dxa"/>
            <w:tcBorders>
              <w:top w:val="single" w:color="auto" w:sz="4" w:space="0"/>
              <w:left w:val="single" w:color="auto" w:sz="4" w:space="0"/>
              <w:bottom w:val="single" w:color="auto" w:sz="4" w:space="0"/>
              <w:right w:val="single" w:color="auto" w:sz="4" w:space="0"/>
            </w:tcBorders>
            <w:vAlign w:val="center"/>
          </w:tcPr>
          <w:p>
            <w:pPr>
              <w:pStyle w:val="24"/>
              <w:adjustRightInd/>
              <w:snapToGrid/>
              <w:spacing w:line="240" w:lineRule="auto"/>
              <w:rPr>
                <w:rFonts w:hint="default"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本项目投入使用环卫机器人</w:t>
            </w:r>
            <w:r>
              <w:rPr>
                <w:rFonts w:hint="eastAsia" w:ascii="宋体" w:hAnsi="宋体"/>
                <w:color w:val="000000" w:themeColor="text1"/>
                <w:szCs w:val="21"/>
                <w:highlight w:val="none"/>
                <w:lang w:val="en-US" w:eastAsia="zh-CN"/>
                <w14:textFill>
                  <w14:solidFill>
                    <w14:schemeClr w14:val="tx1"/>
                  </w14:solidFill>
                </w14:textFill>
              </w:rPr>
              <w:t>相关参数须符合《</w:t>
            </w:r>
            <w:r>
              <w:rPr>
                <w:rFonts w:hint="eastAsia" w:ascii="宋体" w:hAnsi="宋体"/>
                <w:color w:val="000000" w:themeColor="text1"/>
                <w:szCs w:val="21"/>
                <w:highlight w:val="none"/>
                <w14:textFill>
                  <w14:solidFill>
                    <w14:schemeClr w14:val="tx1"/>
                  </w14:solidFill>
                </w14:textFill>
              </w:rPr>
              <w:t>深圳市小型环卫机械设备管理及技术指引</w:t>
            </w:r>
            <w:r>
              <w:rPr>
                <w:rFonts w:hint="eastAsia" w:ascii="宋体" w:hAnsi="宋体"/>
                <w:color w:val="000000" w:themeColor="text1"/>
                <w:szCs w:val="21"/>
                <w:highlight w:val="none"/>
                <w:lang w:val="en-US"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如须采用锂离子动力电池为单一能源并由电机驱动行驶和作业，作业噪声应≤</w:t>
            </w:r>
            <w:r>
              <w:rPr>
                <w:rFonts w:ascii="宋体" w:hAnsi="宋体" w:cs="宋体"/>
                <w:color w:val="000000" w:themeColor="text1"/>
                <w:szCs w:val="21"/>
                <w:highlight w:val="none"/>
                <w14:textFill>
                  <w14:solidFill>
                    <w14:schemeClr w14:val="tx1"/>
                  </w14:solidFill>
                </w14:textFill>
              </w:rPr>
              <w:t>80分贝</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p>
          <w:p>
            <w:pPr>
              <w:pStyle w:val="24"/>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w:t>
            </w:r>
            <w:r>
              <w:rPr>
                <w:rFonts w:hint="eastAsia" w:hAnsi="宋体"/>
                <w:color w:val="000000" w:themeColor="text1"/>
                <w:szCs w:val="21"/>
                <w:highlight w:val="none"/>
                <w:lang w:val="en-US" w:eastAsia="zh-CN"/>
                <w14:textFill>
                  <w14:solidFill>
                    <w14:schemeClr w14:val="tx1"/>
                  </w14:solidFill>
                </w14:textFill>
              </w:rPr>
              <w:t>需安装 360 度全景景像监控设备、智能辅助安全制动系统、监控盲区报警装置、</w:t>
            </w:r>
            <w:r>
              <w:rPr>
                <w:rFonts w:ascii="宋体" w:hAnsi="宋体"/>
                <w:color w:val="000000" w:themeColor="text1"/>
                <w:szCs w:val="21"/>
                <w:highlight w:val="none"/>
                <w14:textFill>
                  <w14:solidFill>
                    <w14:schemeClr w14:val="tx1"/>
                  </w14:solidFill>
                </w14:textFill>
              </w:rPr>
              <w:t>定位设备和智能视频监控报警系统</w:t>
            </w:r>
            <w:r>
              <w:rPr>
                <w:rFonts w:hint="eastAsia" w:ascii="宋体" w:hAnsi="宋体"/>
                <w:color w:val="000000" w:themeColor="text1"/>
                <w:szCs w:val="21"/>
                <w:highlight w:val="none"/>
                <w14:textFill>
                  <w14:solidFill>
                    <w14:schemeClr w14:val="tx1"/>
                  </w14:solidFill>
                </w14:textFill>
              </w:rPr>
              <w:t>终端</w:t>
            </w:r>
            <w:r>
              <w:rPr>
                <w:rFonts w:ascii="宋体" w:hAnsi="宋体"/>
                <w:color w:val="000000" w:themeColor="text1"/>
                <w:szCs w:val="21"/>
                <w:highlight w:val="none"/>
                <w14:textFill>
                  <w14:solidFill>
                    <w14:schemeClr w14:val="tx1"/>
                  </w14:solidFill>
                </w14:textFill>
              </w:rPr>
              <w:t>并</w:t>
            </w:r>
            <w:r>
              <w:rPr>
                <w:rFonts w:hint="eastAsia" w:ascii="宋体" w:hAnsi="宋体"/>
                <w:color w:val="000000" w:themeColor="text1"/>
                <w:szCs w:val="21"/>
                <w:highlight w:val="none"/>
                <w14:textFill>
                  <w14:solidFill>
                    <w14:schemeClr w14:val="tx1"/>
                  </w14:solidFill>
                </w14:textFill>
              </w:rPr>
              <w:t>接入区</w:t>
            </w:r>
            <w:r>
              <w:rPr>
                <w:rFonts w:hint="eastAsia" w:ascii="宋体" w:hAnsi="宋体" w:cs="宋体"/>
                <w:color w:val="000000" w:themeColor="text1"/>
                <w:szCs w:val="21"/>
                <w:highlight w:val="none"/>
                <w14:textFill>
                  <w14:solidFill>
                    <w14:schemeClr w14:val="tx1"/>
                  </w14:solidFill>
                </w14:textFill>
              </w:rPr>
              <w:t>城管和综合执法</w:t>
            </w:r>
            <w:r>
              <w:rPr>
                <w:rFonts w:hint="eastAsia" w:ascii="宋体" w:hAnsi="宋体"/>
                <w:color w:val="000000" w:themeColor="text1"/>
                <w:szCs w:val="21"/>
                <w:highlight w:val="none"/>
                <w14:textFill>
                  <w14:solidFill>
                    <w14:schemeClr w14:val="tx1"/>
                  </w14:solidFill>
                </w14:textFill>
              </w:rPr>
              <w:t>局指定的</w:t>
            </w:r>
            <w:r>
              <w:rPr>
                <w:rFonts w:hint="eastAsia" w:ascii="宋体" w:hAnsi="宋体"/>
                <w:color w:val="000000" w:themeColor="text1"/>
                <w:szCs w:val="21"/>
                <w:highlight w:val="none"/>
                <w:lang w:val="en-US" w:eastAsia="zh-CN"/>
                <w14:textFill>
                  <w14:solidFill>
                    <w14:schemeClr w14:val="tx1"/>
                  </w14:solidFill>
                </w14:textFill>
              </w:rPr>
              <w:t>环卫</w:t>
            </w:r>
            <w:r>
              <w:rPr>
                <w:rFonts w:hint="eastAsia" w:ascii="宋体" w:hAnsi="宋体"/>
                <w:color w:val="000000" w:themeColor="text1"/>
                <w:szCs w:val="21"/>
                <w:highlight w:val="none"/>
                <w14:textFill>
                  <w14:solidFill>
                    <w14:schemeClr w14:val="tx1"/>
                  </w14:solidFill>
                </w14:textFill>
              </w:rPr>
              <w:t>信息化监管平台，视频监控设备需实现 AI识别应用，产生的费用由中标人承担。</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706"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小型、微型环卫机械</w:t>
            </w:r>
          </w:p>
          <w:p>
            <w:pPr>
              <w:adjustRightInd w:val="0"/>
              <w:snapToGrid w:val="0"/>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设备</w:t>
            </w:r>
          </w:p>
        </w:tc>
        <w:tc>
          <w:tcPr>
            <w:tcW w:w="188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left"/>
              <w:rPr>
                <w:rFonts w:ascii="宋体" w:cs="宋体"/>
                <w:color w:val="000000" w:themeColor="text1"/>
                <w:kern w:val="0"/>
                <w:szCs w:val="21"/>
                <w:highlight w:val="none"/>
                <w14:textFill>
                  <w14:solidFill>
                    <w14:schemeClr w14:val="tx1"/>
                  </w14:solidFill>
                </w14:textFill>
              </w:rPr>
            </w:pPr>
            <w:r>
              <w:rPr>
                <w:rFonts w:hint="eastAsia" w:ascii="宋体" w:cs="宋体"/>
                <w:color w:val="000000" w:themeColor="text1"/>
                <w:kern w:val="0"/>
                <w:szCs w:val="21"/>
                <w:highlight w:val="none"/>
                <w14:textFill>
                  <w14:solidFill>
                    <w14:schemeClr w14:val="tx1"/>
                  </w14:solidFill>
                </w14:textFill>
              </w:rPr>
              <w:t>扫路机</w:t>
            </w:r>
            <w:r>
              <w:rPr>
                <w:rFonts w:hint="eastAsia" w:ascii="宋体" w:cs="宋体"/>
                <w:color w:val="000000" w:themeColor="text1"/>
                <w:kern w:val="0"/>
                <w:szCs w:val="21"/>
                <w:highlight w:val="none"/>
                <w:lang w:val="en-US" w:eastAsia="zh-CN"/>
                <w14:textFill>
                  <w14:solidFill>
                    <w14:schemeClr w14:val="tx1"/>
                  </w14:solidFill>
                </w14:textFill>
              </w:rPr>
              <w:t>4</w:t>
            </w:r>
            <w:r>
              <w:rPr>
                <w:rFonts w:hint="eastAsia" w:ascii="宋体" w:cs="宋体"/>
                <w:color w:val="000000" w:themeColor="text1"/>
                <w:kern w:val="0"/>
                <w:szCs w:val="21"/>
                <w:highlight w:val="none"/>
                <w14:textFill>
                  <w14:solidFill>
                    <w14:schemeClr w14:val="tx1"/>
                  </w14:solidFill>
                </w14:textFill>
              </w:rPr>
              <w:t>（台）</w:t>
            </w:r>
          </w:p>
          <w:p>
            <w:pPr>
              <w:adjustRightInd w:val="0"/>
              <w:snapToGrid w:val="0"/>
              <w:spacing w:line="300" w:lineRule="exact"/>
              <w:jc w:val="left"/>
              <w:rPr>
                <w:rFonts w:ascii="宋体" w:cs="宋体"/>
                <w:color w:val="000000" w:themeColor="text1"/>
                <w:kern w:val="0"/>
                <w:szCs w:val="21"/>
                <w:highlight w:val="none"/>
                <w14:textFill>
                  <w14:solidFill>
                    <w14:schemeClr w14:val="tx1"/>
                  </w14:solidFill>
                </w14:textFill>
              </w:rPr>
            </w:pPr>
            <w:r>
              <w:rPr>
                <w:rFonts w:hint="eastAsia" w:ascii="宋体" w:cs="宋体"/>
                <w:color w:val="000000" w:themeColor="text1"/>
                <w:kern w:val="0"/>
                <w:szCs w:val="21"/>
                <w:highlight w:val="none"/>
                <w14:textFill>
                  <w14:solidFill>
                    <w14:schemeClr w14:val="tx1"/>
                  </w14:solidFill>
                </w14:textFill>
              </w:rPr>
              <w:t>清洗机</w:t>
            </w:r>
            <w:r>
              <w:rPr>
                <w:rFonts w:hint="eastAsia" w:ascii="宋体" w:cs="宋体"/>
                <w:color w:val="000000" w:themeColor="text1"/>
                <w:kern w:val="0"/>
                <w:szCs w:val="21"/>
                <w:highlight w:val="none"/>
                <w:lang w:val="en-US" w:eastAsia="zh-CN"/>
                <w14:textFill>
                  <w14:solidFill>
                    <w14:schemeClr w14:val="tx1"/>
                  </w14:solidFill>
                </w14:textFill>
              </w:rPr>
              <w:t>5</w:t>
            </w:r>
            <w:r>
              <w:rPr>
                <w:rFonts w:hint="eastAsia" w:ascii="宋体" w:cs="宋体"/>
                <w:color w:val="000000" w:themeColor="text1"/>
                <w:kern w:val="0"/>
                <w:szCs w:val="21"/>
                <w:highlight w:val="none"/>
                <w14:textFill>
                  <w14:solidFill>
                    <w14:schemeClr w14:val="tx1"/>
                  </w14:solidFill>
                </w14:textFill>
              </w:rPr>
              <w:t>（台）</w:t>
            </w:r>
          </w:p>
          <w:p>
            <w:pPr>
              <w:adjustRightInd w:val="0"/>
              <w:snapToGrid w:val="0"/>
              <w:spacing w:line="300" w:lineRule="exact"/>
              <w:jc w:val="left"/>
              <w:rPr>
                <w:rFonts w:ascii="宋体" w:cs="宋体"/>
                <w:color w:val="000000" w:themeColor="text1"/>
                <w:kern w:val="0"/>
                <w:szCs w:val="21"/>
                <w:highlight w:val="none"/>
                <w14:textFill>
                  <w14:solidFill>
                    <w14:schemeClr w14:val="tx1"/>
                  </w14:solidFill>
                </w14:textFill>
              </w:rPr>
            </w:pPr>
            <w:r>
              <w:rPr>
                <w:rFonts w:hint="eastAsia" w:ascii="宋体" w:cs="宋体"/>
                <w:color w:val="000000" w:themeColor="text1"/>
                <w:kern w:val="0"/>
                <w:szCs w:val="21"/>
                <w:highlight w:val="none"/>
                <w14:textFill>
                  <w14:solidFill>
                    <w14:schemeClr w14:val="tx1"/>
                  </w14:solidFill>
                </w14:textFill>
              </w:rPr>
              <w:t>树叶吹风机</w:t>
            </w:r>
            <w:r>
              <w:rPr>
                <w:rFonts w:hint="eastAsia" w:ascii="宋体" w:cs="宋体"/>
                <w:color w:val="000000" w:themeColor="text1"/>
                <w:kern w:val="0"/>
                <w:szCs w:val="21"/>
                <w:highlight w:val="none"/>
                <w:lang w:val="en-US" w:eastAsia="zh-CN"/>
                <w14:textFill>
                  <w14:solidFill>
                    <w14:schemeClr w14:val="tx1"/>
                  </w14:solidFill>
                </w14:textFill>
              </w:rPr>
              <w:t>2</w:t>
            </w:r>
            <w:r>
              <w:rPr>
                <w:rFonts w:hint="eastAsia" w:ascii="宋体" w:cs="宋体"/>
                <w:color w:val="000000" w:themeColor="text1"/>
                <w:kern w:val="0"/>
                <w:szCs w:val="21"/>
                <w:highlight w:val="none"/>
                <w14:textFill>
                  <w14:solidFill>
                    <w14:schemeClr w14:val="tx1"/>
                  </w14:solidFill>
                </w14:textFill>
              </w:rPr>
              <w:t>（台）</w:t>
            </w:r>
          </w:p>
          <w:p>
            <w:pPr>
              <w:adjustRightInd w:val="0"/>
              <w:snapToGrid w:val="0"/>
              <w:spacing w:line="300" w:lineRule="exact"/>
              <w:jc w:val="left"/>
              <w:rPr>
                <w:rFonts w:hint="eastAsia" w:ascii="宋体" w:hAnsi="宋体" w:eastAsia="宋体" w:cs="宋体"/>
                <w:color w:val="000000" w:themeColor="text1"/>
                <w:sz w:val="21"/>
                <w:szCs w:val="21"/>
                <w:highlight w:val="none"/>
                <w14:textFill>
                  <w14:solidFill>
                    <w14:schemeClr w14:val="tx1"/>
                  </w14:solidFill>
                </w14:textFill>
              </w:rPr>
            </w:pPr>
          </w:p>
        </w:tc>
        <w:tc>
          <w:tcPr>
            <w:tcW w:w="4378" w:type="dxa"/>
            <w:tcBorders>
              <w:top w:val="single" w:color="auto" w:sz="4" w:space="0"/>
              <w:left w:val="single" w:color="auto" w:sz="4" w:space="0"/>
              <w:bottom w:val="single" w:color="auto" w:sz="4" w:space="0"/>
              <w:right w:val="single" w:color="auto" w:sz="4" w:space="0"/>
            </w:tcBorders>
            <w:vAlign w:val="center"/>
          </w:tcPr>
          <w:p>
            <w:pPr>
              <w:pStyle w:val="24"/>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1、本项目投入使用的小型、微型四轮环卫机械设备相关参数须符合《深圳市小型环卫机械设备管理及技术指引》要求，</w:t>
            </w:r>
            <w:r>
              <w:rPr>
                <w:rFonts w:hint="eastAsia" w:ascii="宋体" w:hAnsi="宋体" w:cs="宋体"/>
                <w:color w:val="000000" w:themeColor="text1"/>
                <w:szCs w:val="21"/>
                <w:highlight w:val="none"/>
                <w14:textFill>
                  <w14:solidFill>
                    <w14:schemeClr w14:val="tx1"/>
                  </w14:solidFill>
                </w14:textFill>
              </w:rPr>
              <w:t>如须采用锂离子动力电池为单一能源并由电机驱动行驶和作业，作业噪声应≤</w:t>
            </w:r>
            <w:r>
              <w:rPr>
                <w:rFonts w:ascii="宋体" w:hAnsi="宋体" w:cs="宋体"/>
                <w:color w:val="000000" w:themeColor="text1"/>
                <w:szCs w:val="21"/>
                <w:highlight w:val="none"/>
                <w14:textFill>
                  <w14:solidFill>
                    <w14:schemeClr w14:val="tx1"/>
                  </w14:solidFill>
                </w14:textFill>
              </w:rPr>
              <w:t>80分贝</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其中小型四轮环卫机械设备须为纯电动设备，转运类设备保证全密闭</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 xml:space="preserve"> </w:t>
            </w:r>
          </w:p>
          <w:p>
            <w:pPr>
              <w:pStyle w:val="24"/>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2、本项目投入使用的小型环卫机械设备生产企业须具有国家工信部颁发的《专用车生产企业》许可。</w:t>
            </w:r>
          </w:p>
          <w:p>
            <w:pPr>
              <w:pStyle w:val="24"/>
              <w:rPr>
                <w:rFonts w:hint="eastAsia" w:ascii="宋体" w:hAnsi="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lang w:val="en-US" w:eastAsia="zh-CN"/>
                <w14:textFill>
                  <w14:solidFill>
                    <w14:schemeClr w14:val="tx1"/>
                  </w14:solidFill>
                </w14:textFill>
              </w:rPr>
              <w:t>3</w:t>
            </w:r>
            <w:r>
              <w:rPr>
                <w:rFonts w:hint="eastAsia" w:hAnsi="宋体" w:cs="宋体"/>
                <w:color w:val="000000" w:themeColor="text1"/>
                <w:szCs w:val="21"/>
                <w:highlight w:val="none"/>
                <w14:textFill>
                  <w14:solidFill>
                    <w14:schemeClr w14:val="tx1"/>
                  </w14:solidFill>
                </w14:textFill>
              </w:rPr>
              <w:t>、高压水枪压力≥3</w:t>
            </w:r>
            <m:oMath>
              <m:r>
                <m:rPr/>
                <w:rPr>
                  <w:rFonts w:hint="eastAsia" w:ascii="Cambria Math" w:hAnsi="Cambria Math" w:cs="宋体"/>
                  <w:color w:val="000000" w:themeColor="text1"/>
                  <w:szCs w:val="21"/>
                  <w:highlight w:val="none"/>
                  <w14:textFill>
                    <w14:solidFill>
                      <w14:schemeClr w14:val="tx1"/>
                    </w14:solidFill>
                  </w14:textFill>
                </w:rPr>
                <m:t>MPa</m:t>
              </m:r>
            </m:oMath>
            <w:r>
              <w:rPr>
                <w:rFonts w:hint="eastAsia" w:hAnsi="宋体" w:cs="宋体"/>
                <w:color w:val="000000" w:themeColor="text1"/>
                <w:szCs w:val="21"/>
                <w:highlight w:val="none"/>
                <w14:textFill>
                  <w14:solidFill>
                    <w14:schemeClr w14:val="tx1"/>
                  </w14:solidFill>
                </w14:textFill>
              </w:rPr>
              <w:t>，采用380</w:t>
            </w:r>
            <m:oMath>
              <m:r>
                <m:rPr/>
                <w:rPr>
                  <w:rFonts w:hint="eastAsia" w:ascii="Cambria Math" w:hAnsi="Cambria Math" w:cs="宋体"/>
                  <w:color w:val="000000" w:themeColor="text1"/>
                  <w:szCs w:val="21"/>
                  <w:highlight w:val="none"/>
                  <w14:textFill>
                    <w14:solidFill>
                      <w14:schemeClr w14:val="tx1"/>
                    </w14:solidFill>
                  </w14:textFill>
                </w:rPr>
                <m:t>V</m:t>
              </m:r>
            </m:oMath>
            <w:r>
              <w:rPr>
                <w:rFonts w:hint="eastAsia" w:hAnsi="宋体" w:cs="宋体"/>
                <w:color w:val="000000" w:themeColor="text1"/>
                <w:szCs w:val="21"/>
                <w:highlight w:val="none"/>
                <w14:textFill>
                  <w14:solidFill>
                    <w14:schemeClr w14:val="tx1"/>
                  </w14:solidFill>
                </w14:textFill>
              </w:rPr>
              <w:t>三相供电，流量≤40</w:t>
            </w:r>
            <m:oMath>
              <m:r>
                <m:rPr/>
                <w:rPr>
                  <w:rFonts w:hint="eastAsia" w:ascii="Cambria Math" w:hAnsi="Cambria Math" w:cs="宋体"/>
                  <w:color w:val="000000" w:themeColor="text1"/>
                  <w:szCs w:val="21"/>
                  <w:highlight w:val="none"/>
                  <w14:textFill>
                    <w14:solidFill>
                      <w14:schemeClr w14:val="tx1"/>
                    </w14:solidFill>
                  </w14:textFill>
                </w:rPr>
                <m:t>L/</m:t>
              </m:r>
            </m:oMath>
            <w:r>
              <w:rPr>
                <w:rFonts w:hint="eastAsia" w:hAnsi="宋体" w:cs="宋体"/>
                <w:color w:val="000000" w:themeColor="text1"/>
                <w:szCs w:val="21"/>
                <w:highlight w:val="none"/>
                <w:lang w:val="en-US"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小型、微型四轮环卫机械设备</w:t>
            </w:r>
            <w:r>
              <w:rPr>
                <w:rFonts w:hint="eastAsia" w:hAnsi="宋体"/>
                <w:color w:val="000000" w:themeColor="text1"/>
                <w:szCs w:val="21"/>
                <w:highlight w:val="none"/>
                <w:lang w:val="en-US" w:eastAsia="zh-CN"/>
                <w14:textFill>
                  <w14:solidFill>
                    <w14:schemeClr w14:val="tx1"/>
                  </w14:solidFill>
                </w14:textFill>
              </w:rPr>
              <w:t>需</w:t>
            </w:r>
            <w:r>
              <w:rPr>
                <w:rFonts w:ascii="宋体" w:hAnsi="宋体"/>
                <w:color w:val="000000" w:themeColor="text1"/>
                <w:szCs w:val="21"/>
                <w:highlight w:val="none"/>
                <w14:textFill>
                  <w14:solidFill>
                    <w14:schemeClr w14:val="tx1"/>
                  </w14:solidFill>
                </w14:textFill>
              </w:rPr>
              <w:t>安装定位设备和智能视频监控报警系统</w:t>
            </w:r>
            <w:r>
              <w:rPr>
                <w:rFonts w:hint="eastAsia" w:ascii="宋体" w:hAnsi="宋体"/>
                <w:color w:val="000000" w:themeColor="text1"/>
                <w:szCs w:val="21"/>
                <w:highlight w:val="none"/>
                <w14:textFill>
                  <w14:solidFill>
                    <w14:schemeClr w14:val="tx1"/>
                  </w14:solidFill>
                </w14:textFill>
              </w:rPr>
              <w:t>终端</w:t>
            </w:r>
            <w:r>
              <w:rPr>
                <w:rFonts w:ascii="宋体" w:hAnsi="宋体"/>
                <w:color w:val="000000" w:themeColor="text1"/>
                <w:szCs w:val="21"/>
                <w:highlight w:val="none"/>
                <w14:textFill>
                  <w14:solidFill>
                    <w14:schemeClr w14:val="tx1"/>
                  </w14:solidFill>
                </w14:textFill>
              </w:rPr>
              <w:t>并</w:t>
            </w:r>
            <w:r>
              <w:rPr>
                <w:rFonts w:hint="eastAsia" w:ascii="宋体" w:hAnsi="宋体"/>
                <w:color w:val="000000" w:themeColor="text1"/>
                <w:szCs w:val="21"/>
                <w:highlight w:val="none"/>
                <w14:textFill>
                  <w14:solidFill>
                    <w14:schemeClr w14:val="tx1"/>
                  </w14:solidFill>
                </w14:textFill>
              </w:rPr>
              <w:t>接入区</w:t>
            </w:r>
            <w:r>
              <w:rPr>
                <w:rFonts w:hint="eastAsia" w:ascii="宋体" w:hAnsi="宋体" w:cs="宋体"/>
                <w:color w:val="000000" w:themeColor="text1"/>
                <w:szCs w:val="21"/>
                <w:highlight w:val="none"/>
                <w14:textFill>
                  <w14:solidFill>
                    <w14:schemeClr w14:val="tx1"/>
                  </w14:solidFill>
                </w14:textFill>
              </w:rPr>
              <w:t>城管和综合执法</w:t>
            </w:r>
            <w:r>
              <w:rPr>
                <w:rFonts w:hint="eastAsia" w:ascii="宋体" w:hAnsi="宋体"/>
                <w:color w:val="000000" w:themeColor="text1"/>
                <w:szCs w:val="21"/>
                <w:highlight w:val="none"/>
                <w14:textFill>
                  <w14:solidFill>
                    <w14:schemeClr w14:val="tx1"/>
                  </w14:solidFill>
                </w14:textFill>
              </w:rPr>
              <w:t>局指定的</w:t>
            </w:r>
            <w:r>
              <w:rPr>
                <w:rFonts w:hint="eastAsia" w:ascii="宋体" w:hAnsi="宋体"/>
                <w:color w:val="000000" w:themeColor="text1"/>
                <w:szCs w:val="21"/>
                <w:highlight w:val="none"/>
                <w:lang w:val="en-US" w:eastAsia="zh-CN"/>
                <w14:textFill>
                  <w14:solidFill>
                    <w14:schemeClr w14:val="tx1"/>
                  </w14:solidFill>
                </w14:textFill>
              </w:rPr>
              <w:t>环卫</w:t>
            </w:r>
            <w:r>
              <w:rPr>
                <w:rFonts w:hint="eastAsia" w:ascii="宋体" w:hAnsi="宋体"/>
                <w:color w:val="000000" w:themeColor="text1"/>
                <w:szCs w:val="21"/>
                <w:highlight w:val="none"/>
                <w14:textFill>
                  <w14:solidFill>
                    <w14:schemeClr w14:val="tx1"/>
                  </w14:solidFill>
                </w14:textFill>
              </w:rPr>
              <w:t>信息化监管平台，产生的费用由中标人承担。</w:t>
            </w:r>
          </w:p>
          <w:p>
            <w:pPr>
              <w:pStyle w:val="15"/>
              <w:ind w:left="0" w:leftChars="0" w:firstLine="0" w:firstLineChars="0"/>
              <w:jc w:val="left"/>
              <w:rPr>
                <w:rFonts w:hint="default" w:eastAsia="宋体"/>
                <w:highlight w:val="none"/>
                <w:lang w:val="en-US" w:eastAsia="zh-CN"/>
              </w:rPr>
            </w:pPr>
            <w:r>
              <w:rPr>
                <w:rFonts w:hint="eastAsia" w:ascii="宋体" w:hAnsi="宋体"/>
                <w:color w:val="000000" w:themeColor="text1"/>
                <w:szCs w:val="21"/>
                <w:highlight w:val="none"/>
                <w:lang w:val="en-US" w:eastAsia="zh-CN"/>
                <w14:textFill>
                  <w14:solidFill>
                    <w14:schemeClr w14:val="tx1"/>
                  </w14:solidFill>
                </w14:textFill>
              </w:rPr>
              <w:t>4、其他：扫路机外形尺寸≤3620</w:t>
            </w:r>
            <w:r>
              <w:rPr>
                <w:rFonts w:hint="default" w:ascii="宋体" w:hAnsi="宋体"/>
                <w:color w:val="000000" w:themeColor="text1"/>
                <w:szCs w:val="21"/>
                <w:highlight w:val="none"/>
                <w:lang w:val="en-US" w:eastAsia="zh-CN"/>
                <w14:textFill>
                  <w14:solidFill>
                    <w14:schemeClr w14:val="tx1"/>
                  </w14:solidFill>
                </w14:textFill>
              </w:rPr>
              <w:t>mm</w:t>
            </w:r>
            <w:r>
              <w:rPr>
                <w:rFonts w:hint="eastAsia" w:ascii="宋体" w:hAnsi="宋体"/>
                <w:color w:val="000000" w:themeColor="text1"/>
                <w:szCs w:val="21"/>
                <w:highlight w:val="none"/>
                <w:lang w:val="en-US" w:eastAsia="zh-CN"/>
                <w14:textFill>
                  <w14:solidFill>
                    <w14:schemeClr w14:val="tx1"/>
                  </w14:solidFill>
                </w14:textFill>
              </w:rPr>
              <w:t>×1210</w:t>
            </w:r>
            <w:r>
              <w:rPr>
                <w:rFonts w:hint="default" w:ascii="宋体" w:hAnsi="宋体"/>
                <w:color w:val="000000" w:themeColor="text1"/>
                <w:szCs w:val="21"/>
                <w:highlight w:val="none"/>
                <w:lang w:val="en-US" w:eastAsia="zh-CN"/>
                <w14:textFill>
                  <w14:solidFill>
                    <w14:schemeClr w14:val="tx1"/>
                  </w14:solidFill>
                </w14:textFill>
              </w:rPr>
              <w:t>mm</w:t>
            </w:r>
            <w:r>
              <w:rPr>
                <w:rFonts w:hint="eastAsia" w:ascii="宋体" w:hAnsi="宋体"/>
                <w:color w:val="000000" w:themeColor="text1"/>
                <w:szCs w:val="21"/>
                <w:highlight w:val="none"/>
                <w:lang w:val="en-US" w:eastAsia="zh-CN"/>
                <w14:textFill>
                  <w14:solidFill>
                    <w14:schemeClr w14:val="tx1"/>
                  </w14:solidFill>
                </w14:textFill>
              </w:rPr>
              <w:t>×2100</w:t>
            </w:r>
            <w:r>
              <w:rPr>
                <w:rFonts w:hint="default" w:ascii="宋体" w:hAnsi="宋体"/>
                <w:color w:val="000000" w:themeColor="text1"/>
                <w:szCs w:val="21"/>
                <w:highlight w:val="none"/>
                <w:lang w:val="en-US" w:eastAsia="zh-CN"/>
                <w14:textFill>
                  <w14:solidFill>
                    <w14:schemeClr w14:val="tx1"/>
                  </w14:solidFill>
                </w14:textFill>
              </w:rPr>
              <w:t>mm</w:t>
            </w:r>
            <w:r>
              <w:rPr>
                <w:rFonts w:hint="eastAsia" w:ascii="宋体" w:hAnsi="宋体"/>
                <w:color w:val="000000" w:themeColor="text1"/>
                <w:szCs w:val="21"/>
                <w:highlight w:val="none"/>
                <w:lang w:val="en-US" w:eastAsia="zh-CN"/>
                <w14:textFill>
                  <w14:solidFill>
                    <w14:schemeClr w14:val="tx1"/>
                  </w14:solidFill>
                </w14:textFill>
              </w:rPr>
              <w:t>。</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706"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环卫保洁手推车</w:t>
            </w:r>
          </w:p>
        </w:tc>
        <w:tc>
          <w:tcPr>
            <w:tcW w:w="18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0</w:t>
            </w:r>
          </w:p>
        </w:tc>
        <w:tc>
          <w:tcPr>
            <w:tcW w:w="4378"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环卫保洁手推车需包括垃圾收集桶、水桶、保洁扫把、拾物器、垃圾斗、广告铲和速干抹布等部件。按清扫保洁人员数量配置，一人一套。</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259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纯电动</w:t>
            </w:r>
            <w:r>
              <w:rPr>
                <w:rFonts w:hint="eastAsia" w:ascii="宋体" w:hAnsi="宋体" w:cs="宋体"/>
                <w:color w:val="000000" w:themeColor="text1"/>
                <w:sz w:val="21"/>
                <w:szCs w:val="21"/>
                <w:highlight w:val="none"/>
                <w:lang w:eastAsia="zh-CN"/>
                <w14:textFill>
                  <w14:solidFill>
                    <w14:schemeClr w14:val="tx1"/>
                  </w14:solidFill>
                </w14:textFill>
              </w:rPr>
              <w:t>密闭式</w:t>
            </w:r>
            <w:r>
              <w:rPr>
                <w:rFonts w:hint="eastAsia" w:ascii="宋体" w:hAnsi="宋体" w:eastAsia="宋体" w:cs="宋体"/>
                <w:color w:val="000000" w:themeColor="text1"/>
                <w:sz w:val="21"/>
                <w:szCs w:val="21"/>
                <w:highlight w:val="none"/>
                <w14:textFill>
                  <w14:solidFill>
                    <w14:schemeClr w14:val="tx1"/>
                  </w14:solidFill>
                </w14:textFill>
              </w:rPr>
              <w:t>桶装垃圾车</w:t>
            </w:r>
          </w:p>
          <w:p>
            <w:pPr>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（装载</w:t>
            </w:r>
            <w:r>
              <w:rPr>
                <w:rFonts w:hint="eastAsia" w:ascii="宋体" w:hAnsi="宋体" w:cs="宋体"/>
                <w:color w:val="000000" w:themeColor="text1"/>
                <w:sz w:val="21"/>
                <w:szCs w:val="21"/>
                <w:highlight w:val="none"/>
                <w:lang w:eastAsia="zh-CN"/>
                <w14:textFill>
                  <w14:solidFill>
                    <w14:schemeClr w14:val="tx1"/>
                  </w14:solidFill>
                </w14:textFill>
              </w:rPr>
              <w:t>不超过</w:t>
            </w:r>
            <w:r>
              <w:rPr>
                <w:rFonts w:hint="eastAsia" w:ascii="宋体" w:hAnsi="宋体" w:eastAsia="宋体" w:cs="宋体"/>
                <w:color w:val="000000" w:themeColor="text1"/>
                <w:sz w:val="21"/>
                <w:szCs w:val="21"/>
                <w:highlight w:val="none"/>
                <w:u w:val="single"/>
                <w14:textFill>
                  <w14:solidFill>
                    <w14:schemeClr w14:val="tx1"/>
                  </w14:solidFill>
                </w14:textFill>
              </w:rPr>
              <w:t>8</w:t>
            </w:r>
            <w:r>
              <w:rPr>
                <w:rFonts w:hint="eastAsia" w:ascii="宋体" w:hAnsi="宋体" w:eastAsia="宋体" w:cs="宋体"/>
                <w:color w:val="000000" w:themeColor="text1"/>
                <w:sz w:val="21"/>
                <w:szCs w:val="21"/>
                <w:highlight w:val="none"/>
                <w14:textFill>
                  <w14:solidFill>
                    <w14:schemeClr w14:val="tx1"/>
                  </w14:solidFill>
                </w14:textFill>
              </w:rPr>
              <w:t>个660升垃圾桶）</w:t>
            </w:r>
          </w:p>
        </w:tc>
        <w:tc>
          <w:tcPr>
            <w:tcW w:w="18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p>
        </w:tc>
        <w:tc>
          <w:tcPr>
            <w:tcW w:w="437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1、进场作业前须完成机动车登记，具备深圳合法上路作业条件，同时须满足深圳环卫车辆管理、智慧环卫平台接入要求，可正常在项目区域开展环卫作业；若使用外地号牌车辆，全部由中标人自行向深圳交警申请市政环卫作业电子通行证，保证作业时段、路段合法上路，自行承担办证失败、到期续期、限行处罚等全部风险，否则视为违约。</w:t>
            </w:r>
          </w:p>
          <w:p>
            <w:pPr>
              <w:numPr>
                <w:ilvl w:val="255"/>
                <w:numId w:val="0"/>
              </w:numPr>
              <w:adjustRightInd w:val="0"/>
              <w:snapToGrid w:val="0"/>
              <w:spacing w:line="300" w:lineRule="exact"/>
              <w:rPr>
                <w:rFonts w:ascii="宋体" w:hAnsi="宋体"/>
                <w:color w:val="auto"/>
                <w:szCs w:val="21"/>
                <w:highlight w:val="none"/>
              </w:rPr>
            </w:pPr>
            <w:r>
              <w:rPr>
                <w:rFonts w:hint="eastAsia" w:ascii="宋体" w:hAnsi="宋体"/>
                <w:color w:val="auto"/>
                <w:szCs w:val="21"/>
                <w:highlight w:val="none"/>
                <w:lang w:val="en-US" w:eastAsia="zh-CN"/>
              </w:rPr>
              <w:t>2</w:t>
            </w:r>
            <w:r>
              <w:rPr>
                <w:rFonts w:ascii="宋体" w:hAnsi="宋体"/>
                <w:color w:val="auto"/>
                <w:szCs w:val="21"/>
                <w:highlight w:val="none"/>
              </w:rPr>
              <w:t>、</w:t>
            </w:r>
            <w:r>
              <w:rPr>
                <w:rFonts w:hint="eastAsia" w:ascii="宋体" w:hAnsi="宋体"/>
                <w:color w:val="auto"/>
                <w:szCs w:val="21"/>
                <w:highlight w:val="none"/>
                <w:lang w:eastAsia="zh-CN"/>
              </w:rPr>
              <w:t>需</w:t>
            </w:r>
            <w:r>
              <w:rPr>
                <w:rFonts w:hint="eastAsia" w:ascii="宋体" w:hAnsi="宋体"/>
                <w:color w:val="auto"/>
                <w:szCs w:val="21"/>
                <w:highlight w:val="none"/>
              </w:rPr>
              <w:t>安装 360 度全景景像监控设备、智能辅助安全制动系统、监控盲区报警装置、</w:t>
            </w:r>
            <w:r>
              <w:rPr>
                <w:rFonts w:ascii="宋体" w:hAnsi="宋体"/>
                <w:color w:val="auto"/>
                <w:szCs w:val="21"/>
                <w:highlight w:val="none"/>
              </w:rPr>
              <w:t>定位设备和智能视频监控报警系统</w:t>
            </w:r>
            <w:r>
              <w:rPr>
                <w:rFonts w:hint="eastAsia" w:ascii="宋体" w:hAnsi="宋体"/>
                <w:color w:val="auto"/>
                <w:szCs w:val="21"/>
                <w:highlight w:val="none"/>
              </w:rPr>
              <w:t>终端</w:t>
            </w:r>
            <w:r>
              <w:rPr>
                <w:rFonts w:ascii="宋体" w:hAnsi="宋体"/>
                <w:color w:val="auto"/>
                <w:szCs w:val="21"/>
                <w:highlight w:val="none"/>
              </w:rPr>
              <w:t>并</w:t>
            </w:r>
            <w:r>
              <w:rPr>
                <w:rFonts w:hint="eastAsia" w:ascii="宋体" w:hAnsi="宋体"/>
                <w:color w:val="auto"/>
                <w:szCs w:val="21"/>
                <w:highlight w:val="none"/>
              </w:rPr>
              <w:t>接入区</w:t>
            </w:r>
            <w:r>
              <w:rPr>
                <w:rFonts w:hint="eastAsia" w:ascii="宋体" w:hAnsi="宋体" w:cs="宋体"/>
                <w:color w:val="auto"/>
                <w:szCs w:val="21"/>
                <w:highlight w:val="none"/>
              </w:rPr>
              <w:t>城管和综合执法局</w:t>
            </w:r>
            <w:r>
              <w:rPr>
                <w:rFonts w:hint="eastAsia" w:ascii="宋体" w:hAnsi="宋体"/>
                <w:color w:val="auto"/>
                <w:szCs w:val="21"/>
                <w:highlight w:val="none"/>
              </w:rPr>
              <w:t>指定的信息化监管平台，视频监控设备需实现 AI识别应用，产生的费用由中标人承担。</w:t>
            </w:r>
          </w:p>
          <w:p>
            <w:pPr>
              <w:numPr>
                <w:ilvl w:val="255"/>
                <w:numId w:val="0"/>
              </w:numPr>
              <w:adjustRightInd w:val="0"/>
              <w:snapToGrid w:val="0"/>
              <w:spacing w:line="300" w:lineRule="exact"/>
              <w:rPr>
                <w:rFonts w:hAnsi="宋体"/>
                <w:i w:val="0"/>
                <w:iCs/>
                <w:snapToGrid w:val="0"/>
                <w:color w:val="auto"/>
                <w:kern w:val="0"/>
                <w:szCs w:val="20"/>
                <w:highlight w:val="none"/>
              </w:rPr>
            </w:pPr>
            <w:r>
              <w:rPr>
                <w:rFonts w:hint="eastAsia" w:ascii="宋体" w:hAnsi="宋体"/>
                <w:snapToGrid w:val="0"/>
                <w:color w:val="auto"/>
                <w:kern w:val="0"/>
                <w:szCs w:val="20"/>
                <w:highlight w:val="none"/>
                <w:lang w:val="en-US" w:eastAsia="zh-CN"/>
              </w:rPr>
              <w:t>3、</w:t>
            </w:r>
            <w:r>
              <w:rPr>
                <w:rFonts w:hint="eastAsia" w:ascii="宋体" w:hAnsi="宋体"/>
                <w:snapToGrid w:val="0"/>
                <w:color w:val="auto"/>
                <w:kern w:val="0"/>
                <w:szCs w:val="20"/>
                <w:highlight w:val="none"/>
              </w:rPr>
              <w:t>采用通用标准带后起重尾板的中型运输车，</w:t>
            </w:r>
            <w:r>
              <w:rPr>
                <w:rFonts w:hint="eastAsia" w:ascii="宋体" w:hAnsi="宋体"/>
                <w:snapToGrid w:val="0"/>
                <w:color w:val="auto"/>
                <w:kern w:val="0"/>
                <w:szCs w:val="20"/>
                <w:highlight w:val="none"/>
                <w:lang w:eastAsia="zh-CN"/>
              </w:rPr>
              <w:t>适合装载</w:t>
            </w:r>
            <w:r>
              <w:rPr>
                <w:rFonts w:hint="eastAsia" w:ascii="宋体" w:hAnsi="宋体"/>
                <w:snapToGrid w:val="0"/>
                <w:color w:val="auto"/>
                <w:kern w:val="0"/>
                <w:szCs w:val="20"/>
                <w:highlight w:val="none"/>
                <w:lang w:val="en-US" w:eastAsia="zh-CN"/>
              </w:rPr>
              <w:t>240-660L标准垃圾收集桶。</w:t>
            </w:r>
          </w:p>
          <w:p>
            <w:pPr>
              <w:numPr>
                <w:ilvl w:val="255"/>
                <w:numId w:val="0"/>
              </w:numPr>
              <w:adjustRightInd w:val="0"/>
              <w:snapToGrid w:val="0"/>
              <w:spacing w:line="300" w:lineRule="exact"/>
              <w:rPr>
                <w:rFonts w:hint="eastAsia" w:ascii="宋体" w:hAnsi="宋体" w:eastAsia="宋体" w:cs="宋体"/>
                <w:color w:val="auto"/>
                <w:sz w:val="21"/>
                <w:szCs w:val="21"/>
                <w:highlight w:val="none"/>
              </w:rPr>
            </w:pPr>
            <w:r>
              <w:rPr>
                <w:rFonts w:hint="eastAsia" w:ascii="宋体" w:hAnsi="宋体"/>
                <w:snapToGrid w:val="0"/>
                <w:color w:val="auto"/>
                <w:kern w:val="0"/>
                <w:szCs w:val="20"/>
                <w:highlight w:val="none"/>
                <w:lang w:val="en-US" w:eastAsia="zh-CN"/>
              </w:rPr>
              <w:t>4、其他：总质量</w:t>
            </w:r>
            <w:r>
              <w:rPr>
                <w:rFonts w:hint="eastAsia" w:ascii="宋体" w:hAnsi="宋体"/>
                <w:color w:val="auto"/>
                <w:szCs w:val="21"/>
                <w:highlight w:val="none"/>
                <w:lang w:val="en-US" w:eastAsia="zh-CN"/>
              </w:rPr>
              <w:t>4.5</w:t>
            </w:r>
            <w:r>
              <w:rPr>
                <w:rFonts w:hint="eastAsia" w:ascii="宋体" w:hAnsi="宋体"/>
                <w:color w:val="auto"/>
                <w:szCs w:val="21"/>
                <w:highlight w:val="none"/>
              </w:rPr>
              <w:t>吨</w:t>
            </w:r>
            <w:r>
              <w:rPr>
                <w:rFonts w:hint="eastAsia" w:ascii="微软雅黑" w:hAnsi="微软雅黑" w:eastAsia="微软雅黑" w:cs="微软雅黑"/>
                <w:color w:val="auto"/>
                <w:szCs w:val="21"/>
                <w:highlight w:val="none"/>
                <w:lang w:val="en-US" w:eastAsia="zh-CN"/>
              </w:rPr>
              <w:t>~</w:t>
            </w:r>
            <w:r>
              <w:rPr>
                <w:rFonts w:hint="eastAsia" w:ascii="宋体" w:hAnsi="宋体" w:eastAsia="微软雅黑"/>
                <w:color w:val="auto"/>
                <w:szCs w:val="21"/>
                <w:highlight w:val="none"/>
                <w:lang w:val="en-US" w:eastAsia="zh-CN"/>
              </w:rPr>
              <w:t>8</w:t>
            </w:r>
            <w:r>
              <w:rPr>
                <w:rFonts w:hint="eastAsia" w:ascii="宋体" w:hAnsi="宋体"/>
                <w:color w:val="auto"/>
                <w:szCs w:val="21"/>
                <w:highlight w:val="none"/>
              </w:rPr>
              <w:t>吨</w:t>
            </w:r>
            <w:r>
              <w:rPr>
                <w:rFonts w:hint="eastAsia" w:ascii="宋体" w:hAnsi="宋体"/>
                <w:color w:val="auto"/>
                <w:szCs w:val="21"/>
                <w:highlight w:val="none"/>
                <w:lang w:eastAsia="zh-CN"/>
              </w:rPr>
              <w:t>。</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755"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纯电动</w:t>
            </w:r>
            <w:r>
              <w:rPr>
                <w:rFonts w:hint="eastAsia" w:ascii="宋体" w:hAnsi="宋体" w:cs="宋体"/>
                <w:color w:val="000000" w:themeColor="text1"/>
                <w:sz w:val="21"/>
                <w:szCs w:val="21"/>
                <w:highlight w:val="none"/>
                <w:lang w:eastAsia="zh-CN"/>
                <w14:textFill>
                  <w14:solidFill>
                    <w14:schemeClr w14:val="tx1"/>
                  </w14:solidFill>
                </w14:textFill>
              </w:rPr>
              <w:t>密闭式</w:t>
            </w:r>
            <w:r>
              <w:rPr>
                <w:rFonts w:hint="eastAsia" w:ascii="宋体" w:hAnsi="宋体" w:eastAsia="宋体" w:cs="宋体"/>
                <w:color w:val="auto"/>
                <w:sz w:val="21"/>
                <w:szCs w:val="21"/>
                <w:highlight w:val="none"/>
              </w:rPr>
              <w:t>桶装垃圾车</w:t>
            </w:r>
          </w:p>
          <w:p>
            <w:pPr>
              <w:adjustRightInd w:val="0"/>
              <w:snapToGrid w:val="0"/>
              <w:jc w:val="center"/>
              <w:rPr>
                <w:rFonts w:hint="eastAsia" w:ascii="宋体" w:hAnsi="宋体" w:eastAsia="宋体" w:cs="宋体"/>
                <w:color w:val="000000" w:themeColor="text1"/>
                <w:sz w:val="21"/>
                <w:szCs w:val="21"/>
                <w:highlight w:val="yellow"/>
                <w14:textFill>
                  <w14:solidFill>
                    <w14:schemeClr w14:val="tx1"/>
                  </w14:solidFill>
                </w14:textFill>
              </w:rPr>
            </w:pPr>
            <w:r>
              <w:rPr>
                <w:rFonts w:hint="eastAsia" w:ascii="宋体" w:hAnsi="宋体" w:eastAsia="宋体" w:cs="宋体"/>
                <w:color w:val="auto"/>
                <w:sz w:val="21"/>
                <w:szCs w:val="21"/>
                <w:highlight w:val="none"/>
              </w:rPr>
              <w:t>（装载</w:t>
            </w:r>
            <w:r>
              <w:rPr>
                <w:rFonts w:hint="eastAsia" w:ascii="宋体" w:hAnsi="宋体" w:cs="宋体"/>
                <w:color w:val="auto"/>
                <w:sz w:val="21"/>
                <w:szCs w:val="21"/>
                <w:highlight w:val="none"/>
                <w:lang w:eastAsia="zh-CN"/>
              </w:rPr>
              <w:t>不超过</w:t>
            </w:r>
            <w:r>
              <w:rPr>
                <w:rFonts w:hint="eastAsia" w:ascii="宋体" w:hAnsi="宋体" w:cs="宋体"/>
                <w:color w:val="auto"/>
                <w:sz w:val="21"/>
                <w:szCs w:val="21"/>
                <w:highlight w:val="none"/>
                <w:lang w:val="en-US" w:eastAsia="zh-CN"/>
              </w:rPr>
              <w:t>11</w:t>
            </w:r>
            <w:r>
              <w:rPr>
                <w:rFonts w:hint="eastAsia" w:ascii="宋体" w:hAnsi="宋体" w:eastAsia="宋体" w:cs="宋体"/>
                <w:color w:val="auto"/>
                <w:sz w:val="21"/>
                <w:szCs w:val="21"/>
                <w:highlight w:val="none"/>
              </w:rPr>
              <w:t>个以上660升垃圾桶）</w:t>
            </w:r>
          </w:p>
        </w:tc>
        <w:tc>
          <w:tcPr>
            <w:tcW w:w="18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default" w:ascii="宋体" w:hAnsi="宋体" w:cs="宋体"/>
                <w:color w:val="000000" w:themeColor="text1"/>
                <w:sz w:val="21"/>
                <w:szCs w:val="21"/>
                <w:highlight w:val="yellow"/>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7</w:t>
            </w:r>
          </w:p>
        </w:tc>
        <w:tc>
          <w:tcPr>
            <w:tcW w:w="437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1、进场作业前须完成机动车登记，具备深圳合法上路作业条件，同时须满足深圳环卫车辆管理、智慧环卫平台接入要求，可正常在项目区域开展环卫作业；若使用外地号牌车辆，全部由中标人自行向深圳交警申请市政环卫作业电子通行证，保证作业时段、路段合法上路，自行承担办证失败、到期续期、限行处罚等全部风险，否则视为违约。</w:t>
            </w:r>
          </w:p>
          <w:p>
            <w:pPr>
              <w:numPr>
                <w:ilvl w:val="255"/>
                <w:numId w:val="0"/>
              </w:numPr>
              <w:adjustRightInd w:val="0"/>
              <w:snapToGrid w:val="0"/>
              <w:spacing w:line="300" w:lineRule="exact"/>
              <w:rPr>
                <w:rFonts w:hint="eastAsia" w:ascii="宋体" w:hAnsi="宋体"/>
                <w:snapToGrid w:val="0"/>
                <w:color w:val="auto"/>
                <w:kern w:val="0"/>
                <w:szCs w:val="20"/>
                <w:highlight w:val="none"/>
              </w:rPr>
            </w:pPr>
            <w:r>
              <w:rPr>
                <w:rFonts w:hint="eastAsia" w:ascii="宋体" w:hAnsi="宋体"/>
                <w:color w:val="auto"/>
                <w:szCs w:val="21"/>
                <w:highlight w:val="none"/>
                <w:lang w:val="en-US" w:eastAsia="zh-CN"/>
              </w:rPr>
              <w:t>2</w:t>
            </w:r>
            <w:r>
              <w:rPr>
                <w:rFonts w:ascii="宋体" w:hAnsi="宋体"/>
                <w:color w:val="auto"/>
                <w:szCs w:val="21"/>
                <w:highlight w:val="none"/>
              </w:rPr>
              <w:t>、</w:t>
            </w:r>
            <w:r>
              <w:rPr>
                <w:rFonts w:hint="eastAsia" w:ascii="宋体" w:hAnsi="宋体"/>
                <w:color w:val="auto"/>
                <w:szCs w:val="21"/>
                <w:highlight w:val="none"/>
                <w:lang w:eastAsia="zh-CN"/>
              </w:rPr>
              <w:t>需</w:t>
            </w:r>
            <w:r>
              <w:rPr>
                <w:rFonts w:hint="eastAsia" w:ascii="宋体" w:hAnsi="宋体"/>
                <w:snapToGrid w:val="0"/>
                <w:color w:val="auto"/>
                <w:kern w:val="0"/>
                <w:szCs w:val="20"/>
                <w:highlight w:val="none"/>
              </w:rPr>
              <w:t>安装 360 度全景景像监控设备、智能辅助安全制动系统、监控盲区报警装置、定位设备和智能视频监控报警系统终端并接入区城管和综合执法局指定的信息化监管平台，视频监控设备需实现 AI识别应用，产生的费用由中标人承担。</w:t>
            </w:r>
          </w:p>
          <w:p>
            <w:pPr>
              <w:numPr>
                <w:ilvl w:val="255"/>
                <w:numId w:val="0"/>
              </w:numPr>
              <w:adjustRightInd w:val="0"/>
              <w:snapToGrid w:val="0"/>
              <w:spacing w:line="300" w:lineRule="exact"/>
              <w:rPr>
                <w:rFonts w:hAnsi="宋体"/>
                <w:i w:val="0"/>
                <w:iCs/>
                <w:snapToGrid w:val="0"/>
                <w:color w:val="auto"/>
                <w:kern w:val="0"/>
                <w:szCs w:val="20"/>
                <w:highlight w:val="none"/>
              </w:rPr>
            </w:pPr>
            <w:r>
              <w:rPr>
                <w:rFonts w:hint="eastAsia" w:ascii="宋体" w:hAnsi="宋体"/>
                <w:snapToGrid w:val="0"/>
                <w:color w:val="auto"/>
                <w:kern w:val="0"/>
                <w:szCs w:val="20"/>
                <w:highlight w:val="none"/>
                <w:lang w:val="en-US" w:eastAsia="zh-CN"/>
              </w:rPr>
              <w:t>3、</w:t>
            </w:r>
            <w:r>
              <w:rPr>
                <w:rFonts w:hint="eastAsia" w:ascii="宋体" w:hAnsi="宋体"/>
                <w:snapToGrid w:val="0"/>
                <w:color w:val="auto"/>
                <w:kern w:val="0"/>
                <w:szCs w:val="20"/>
                <w:highlight w:val="none"/>
              </w:rPr>
              <w:t>采用通用标准带后起重尾板的中型运输车，</w:t>
            </w:r>
            <w:r>
              <w:rPr>
                <w:rFonts w:hint="eastAsia" w:ascii="宋体" w:hAnsi="宋体"/>
                <w:snapToGrid w:val="0"/>
                <w:color w:val="auto"/>
                <w:kern w:val="0"/>
                <w:szCs w:val="20"/>
                <w:highlight w:val="none"/>
                <w:lang w:eastAsia="zh-CN"/>
              </w:rPr>
              <w:t>适合装载</w:t>
            </w:r>
            <w:r>
              <w:rPr>
                <w:rFonts w:hint="eastAsia" w:ascii="宋体" w:hAnsi="宋体"/>
                <w:snapToGrid w:val="0"/>
                <w:color w:val="auto"/>
                <w:kern w:val="0"/>
                <w:szCs w:val="20"/>
                <w:highlight w:val="none"/>
                <w:lang w:val="en-US" w:eastAsia="zh-CN"/>
              </w:rPr>
              <w:t>240-660L标准垃圾收集桶。</w:t>
            </w:r>
          </w:p>
          <w:p>
            <w:pPr>
              <w:numPr>
                <w:ilvl w:val="255"/>
                <w:numId w:val="0"/>
              </w:numPr>
              <w:adjustRightInd w:val="0"/>
              <w:snapToGrid w:val="0"/>
              <w:spacing w:line="300" w:lineRule="exact"/>
              <w:ind w:left="0" w:leftChars="0" w:firstLine="0" w:firstLineChars="0"/>
              <w:rPr>
                <w:rFonts w:hint="eastAsia" w:ascii="宋体" w:hAnsi="宋体"/>
                <w:snapToGrid w:val="0"/>
                <w:color w:val="auto"/>
                <w:kern w:val="0"/>
                <w:szCs w:val="20"/>
                <w:highlight w:val="none"/>
              </w:rPr>
            </w:pPr>
            <w:r>
              <w:rPr>
                <w:rFonts w:hint="eastAsia" w:ascii="宋体" w:hAnsi="宋体"/>
                <w:snapToGrid w:val="0"/>
                <w:color w:val="auto"/>
                <w:kern w:val="0"/>
                <w:sz w:val="21"/>
                <w:szCs w:val="20"/>
                <w:highlight w:val="none"/>
                <w:lang w:val="en-US" w:eastAsia="zh-CN"/>
              </w:rPr>
              <w:t>4、其他：总质量≥8吨。</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537"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LNG</w:t>
            </w:r>
            <w:r>
              <w:rPr>
                <w:rFonts w:hint="eastAsia" w:ascii="宋体" w:hAnsi="宋体"/>
                <w:color w:val="000000" w:themeColor="text1"/>
                <w:szCs w:val="21"/>
                <w:highlight w:val="none"/>
                <w14:textFill>
                  <w14:solidFill>
                    <w14:schemeClr w14:val="tx1"/>
                  </w14:solidFill>
                </w14:textFill>
              </w:rPr>
              <w:t>垃圾转运勾臂车</w:t>
            </w:r>
          </w:p>
        </w:tc>
        <w:tc>
          <w:tcPr>
            <w:tcW w:w="18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w:t>
            </w:r>
          </w:p>
        </w:tc>
        <w:tc>
          <w:tcPr>
            <w:tcW w:w="437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rPr>
                <w:rFonts w:hint="eastAsia"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1、进场作业前须完成机动车登记，具备深圳合法上路作业条件，同时须满足深圳环卫车辆管理、智慧环卫平台接入要求，可正常在项目区域开展环卫作业；若使用外地号牌车辆，全部由中标人自行向深圳交警申请市政环卫作业电子通行证，保证作业时段、路段合法上路，自行承担办证失败、到期续期、限行处罚等全部风险，否则视为违约。</w:t>
            </w:r>
          </w:p>
          <w:p>
            <w:pPr>
              <w:numPr>
                <w:ilvl w:val="255"/>
                <w:numId w:val="0"/>
              </w:numPr>
              <w:adjustRightInd w:val="0"/>
              <w:snapToGrid w:val="0"/>
              <w:spacing w:line="24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eastAsia="zh-CN"/>
                <w14:textFill>
                  <w14:solidFill>
                    <w14:schemeClr w14:val="tx1"/>
                  </w14:solidFill>
                </w14:textFill>
              </w:rPr>
              <w:t>需</w:t>
            </w:r>
            <w:r>
              <w:rPr>
                <w:rFonts w:hint="eastAsia" w:ascii="宋体" w:hAnsi="宋体"/>
                <w:color w:val="000000" w:themeColor="text1"/>
                <w:szCs w:val="21"/>
                <w:highlight w:val="none"/>
                <w14:textFill>
                  <w14:solidFill>
                    <w14:schemeClr w14:val="tx1"/>
                  </w14:solidFill>
                </w14:textFill>
              </w:rPr>
              <w:t>安装 360 度全景景像监控设备、智能辅助安全制动系统、监控盲区报警装置、</w:t>
            </w:r>
            <w:r>
              <w:rPr>
                <w:rFonts w:ascii="宋体" w:hAnsi="宋体"/>
                <w:color w:val="000000" w:themeColor="text1"/>
                <w:szCs w:val="21"/>
                <w:highlight w:val="none"/>
                <w14:textFill>
                  <w14:solidFill>
                    <w14:schemeClr w14:val="tx1"/>
                  </w14:solidFill>
                </w14:textFill>
              </w:rPr>
              <w:t>定位设备和智能视频监控报警系统</w:t>
            </w:r>
            <w:r>
              <w:rPr>
                <w:rFonts w:hint="eastAsia" w:ascii="宋体" w:hAnsi="宋体"/>
                <w:color w:val="000000" w:themeColor="text1"/>
                <w:szCs w:val="21"/>
                <w:highlight w:val="none"/>
                <w14:textFill>
                  <w14:solidFill>
                    <w14:schemeClr w14:val="tx1"/>
                  </w14:solidFill>
                </w14:textFill>
              </w:rPr>
              <w:t>终端</w:t>
            </w:r>
            <w:r>
              <w:rPr>
                <w:rFonts w:ascii="宋体" w:hAnsi="宋体"/>
                <w:color w:val="000000" w:themeColor="text1"/>
                <w:szCs w:val="21"/>
                <w:highlight w:val="none"/>
                <w14:textFill>
                  <w14:solidFill>
                    <w14:schemeClr w14:val="tx1"/>
                  </w14:solidFill>
                </w14:textFill>
              </w:rPr>
              <w:t>并</w:t>
            </w:r>
            <w:r>
              <w:rPr>
                <w:rFonts w:hint="eastAsia" w:ascii="宋体" w:hAnsi="宋体"/>
                <w:color w:val="000000" w:themeColor="text1"/>
                <w:szCs w:val="21"/>
                <w:highlight w:val="none"/>
                <w14:textFill>
                  <w14:solidFill>
                    <w14:schemeClr w14:val="tx1"/>
                  </w14:solidFill>
                </w14:textFill>
              </w:rPr>
              <w:t>接入区</w:t>
            </w:r>
            <w:r>
              <w:rPr>
                <w:rFonts w:hint="eastAsia" w:ascii="宋体" w:hAnsi="宋体" w:cs="宋体"/>
                <w:color w:val="000000" w:themeColor="text1"/>
                <w:szCs w:val="21"/>
                <w:highlight w:val="none"/>
                <w14:textFill>
                  <w14:solidFill>
                    <w14:schemeClr w14:val="tx1"/>
                  </w14:solidFill>
                </w14:textFill>
              </w:rPr>
              <w:t>城管和综合执法局</w:t>
            </w:r>
            <w:r>
              <w:rPr>
                <w:rFonts w:hint="eastAsia" w:ascii="宋体" w:hAnsi="宋体"/>
                <w:color w:val="000000" w:themeColor="text1"/>
                <w:szCs w:val="21"/>
                <w:highlight w:val="none"/>
                <w14:textFill>
                  <w14:solidFill>
                    <w14:schemeClr w14:val="tx1"/>
                  </w14:solidFill>
                </w14:textFill>
              </w:rPr>
              <w:t>指定的信息化监管平台，视频监控设备需实现 AI识别应用，产生的费用由中标人承担。</w:t>
            </w:r>
          </w:p>
          <w:p>
            <w:pPr>
              <w:numPr>
                <w:ilvl w:val="255"/>
                <w:numId w:val="0"/>
              </w:numPr>
              <w:adjustRightInd w:val="0"/>
              <w:snapToGrid w:val="0"/>
              <w:ind w:left="0" w:leftChars="0" w:firstLine="0"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3</w:t>
            </w:r>
            <w:r>
              <w:rPr>
                <w:rFonts w:ascii="宋体" w:hAnsi="宋体"/>
                <w:color w:val="000000" w:themeColor="text1"/>
                <w:szCs w:val="21"/>
                <w:highlight w:val="none"/>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总质量≥</w:t>
            </w:r>
            <w:r>
              <w:rPr>
                <w:rFonts w:hint="eastAsia" w:ascii="宋体" w:hAnsi="宋体"/>
                <w:color w:val="000000" w:themeColor="text1"/>
                <w:szCs w:val="21"/>
                <w:highlight w:val="none"/>
                <w:lang w:val="en-US" w:eastAsia="zh-CN"/>
                <w14:textFill>
                  <w14:solidFill>
                    <w14:schemeClr w14:val="tx1"/>
                  </w14:solidFill>
                </w14:textFill>
              </w:rPr>
              <w:t>31</w:t>
            </w:r>
            <w:r>
              <w:rPr>
                <w:rFonts w:hint="eastAsia" w:ascii="宋体" w:hAnsi="宋体"/>
                <w:color w:val="000000" w:themeColor="text1"/>
                <w:szCs w:val="21"/>
                <w:highlight w:val="none"/>
                <w14:textFill>
                  <w14:solidFill>
                    <w14:schemeClr w14:val="tx1"/>
                  </w14:solidFill>
                </w14:textFill>
              </w:rPr>
              <w:t>吨</w:t>
            </w:r>
            <w:r>
              <w:rPr>
                <w:rFonts w:hint="eastAsia" w:ascii="宋体" w:hAnsi="宋体"/>
                <w:color w:val="000000" w:themeColor="text1"/>
                <w:szCs w:val="21"/>
                <w:highlight w:val="none"/>
                <w:lang w:eastAsia="zh-CN"/>
                <w14:textFill>
                  <w14:solidFill>
                    <w14:schemeClr w14:val="tx1"/>
                  </w14:solidFill>
                </w14:textFill>
              </w:rPr>
              <w:t>。</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690"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LNG后装式垃圾压缩车</w:t>
            </w:r>
          </w:p>
        </w:tc>
        <w:tc>
          <w:tcPr>
            <w:tcW w:w="18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p>
        </w:tc>
        <w:tc>
          <w:tcPr>
            <w:tcW w:w="437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rPr>
                <w:rFonts w:hint="eastAsia"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1、进场作业前须完成机动车登记，具备深圳合法上路作业条件，同时须满足深圳环卫车辆管理、智慧环卫平台接入要求，可正常在项目区域开展环卫作业；若使用外地号牌车辆，全部由中标人自行向深圳交警申请市政环卫作业电子通行证，保证作业时段、路段合法上路，自行承担办证失败、到期续期、限行处罚等全部风险，否则视为违约。</w:t>
            </w:r>
          </w:p>
          <w:p>
            <w:pPr>
              <w:numPr>
                <w:ilvl w:val="255"/>
                <w:numId w:val="0"/>
              </w:numPr>
              <w:adjustRightInd w:val="0"/>
              <w:snapToGrid w:val="0"/>
              <w:spacing w:line="24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eastAsia="zh-CN"/>
                <w14:textFill>
                  <w14:solidFill>
                    <w14:schemeClr w14:val="tx1"/>
                  </w14:solidFill>
                </w14:textFill>
              </w:rPr>
              <w:t>需</w:t>
            </w:r>
            <w:r>
              <w:rPr>
                <w:rFonts w:hint="eastAsia" w:ascii="宋体" w:hAnsi="宋体"/>
                <w:color w:val="000000" w:themeColor="text1"/>
                <w:szCs w:val="21"/>
                <w:highlight w:val="none"/>
                <w14:textFill>
                  <w14:solidFill>
                    <w14:schemeClr w14:val="tx1"/>
                  </w14:solidFill>
                </w14:textFill>
              </w:rPr>
              <w:t>安装 360 度全景景像监控设备、智能辅助安全制动系统、监控盲区报警装置、</w:t>
            </w:r>
            <w:r>
              <w:rPr>
                <w:rFonts w:ascii="宋体" w:hAnsi="宋体"/>
                <w:color w:val="000000" w:themeColor="text1"/>
                <w:szCs w:val="21"/>
                <w:highlight w:val="none"/>
                <w14:textFill>
                  <w14:solidFill>
                    <w14:schemeClr w14:val="tx1"/>
                  </w14:solidFill>
                </w14:textFill>
              </w:rPr>
              <w:t>定位设备和智能视频监控报警系统</w:t>
            </w:r>
            <w:r>
              <w:rPr>
                <w:rFonts w:hint="eastAsia" w:ascii="宋体" w:hAnsi="宋体"/>
                <w:color w:val="000000" w:themeColor="text1"/>
                <w:szCs w:val="21"/>
                <w:highlight w:val="none"/>
                <w14:textFill>
                  <w14:solidFill>
                    <w14:schemeClr w14:val="tx1"/>
                  </w14:solidFill>
                </w14:textFill>
              </w:rPr>
              <w:t>终端</w:t>
            </w:r>
            <w:r>
              <w:rPr>
                <w:rFonts w:ascii="宋体" w:hAnsi="宋体"/>
                <w:color w:val="000000" w:themeColor="text1"/>
                <w:szCs w:val="21"/>
                <w:highlight w:val="none"/>
                <w14:textFill>
                  <w14:solidFill>
                    <w14:schemeClr w14:val="tx1"/>
                  </w14:solidFill>
                </w14:textFill>
              </w:rPr>
              <w:t>并</w:t>
            </w:r>
            <w:r>
              <w:rPr>
                <w:rFonts w:hint="eastAsia" w:ascii="宋体" w:hAnsi="宋体"/>
                <w:color w:val="000000" w:themeColor="text1"/>
                <w:szCs w:val="21"/>
                <w:highlight w:val="none"/>
                <w14:textFill>
                  <w14:solidFill>
                    <w14:schemeClr w14:val="tx1"/>
                  </w14:solidFill>
                </w14:textFill>
              </w:rPr>
              <w:t>接入区</w:t>
            </w:r>
            <w:r>
              <w:rPr>
                <w:rFonts w:hint="eastAsia" w:ascii="宋体" w:hAnsi="宋体" w:cs="宋体"/>
                <w:color w:val="000000" w:themeColor="text1"/>
                <w:szCs w:val="21"/>
                <w:highlight w:val="none"/>
                <w14:textFill>
                  <w14:solidFill>
                    <w14:schemeClr w14:val="tx1"/>
                  </w14:solidFill>
                </w14:textFill>
              </w:rPr>
              <w:t>城管和综合执法局</w:t>
            </w:r>
            <w:r>
              <w:rPr>
                <w:rFonts w:hint="eastAsia" w:ascii="宋体" w:hAnsi="宋体"/>
                <w:color w:val="000000" w:themeColor="text1"/>
                <w:szCs w:val="21"/>
                <w:highlight w:val="none"/>
                <w14:textFill>
                  <w14:solidFill>
                    <w14:schemeClr w14:val="tx1"/>
                  </w14:solidFill>
                </w14:textFill>
              </w:rPr>
              <w:t>指定的信息化监管平台，视频监控设备需实现 AI识别应用，产生的费用由中标人承担。</w:t>
            </w:r>
          </w:p>
          <w:p>
            <w:pPr>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3</w:t>
            </w:r>
            <w:r>
              <w:rPr>
                <w:rFonts w:ascii="宋体" w:hAnsi="宋体"/>
                <w:color w:val="000000" w:themeColor="text1"/>
                <w:szCs w:val="21"/>
                <w:highlight w:val="none"/>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总质量≥</w:t>
            </w:r>
            <w:r>
              <w:rPr>
                <w:rFonts w:hint="eastAsia" w:ascii="宋体" w:hAnsi="宋体"/>
                <w:color w:val="000000" w:themeColor="text1"/>
                <w:szCs w:val="21"/>
                <w:highlight w:val="none"/>
                <w:lang w:val="en-US" w:eastAsia="zh-CN"/>
                <w14:textFill>
                  <w14:solidFill>
                    <w14:schemeClr w14:val="tx1"/>
                  </w14:solidFill>
                </w14:textFill>
              </w:rPr>
              <w:t>18</w:t>
            </w:r>
            <w:r>
              <w:rPr>
                <w:rFonts w:hint="eastAsia" w:ascii="宋体" w:hAnsi="宋体"/>
                <w:color w:val="000000" w:themeColor="text1"/>
                <w:szCs w:val="21"/>
                <w:highlight w:val="none"/>
                <w14:textFill>
                  <w14:solidFill>
                    <w14:schemeClr w14:val="tx1"/>
                  </w14:solidFill>
                </w14:textFill>
              </w:rPr>
              <w:t>吨</w:t>
            </w:r>
            <w:r>
              <w:rPr>
                <w:rFonts w:hint="eastAsia" w:ascii="宋体" w:hAnsi="宋体"/>
                <w:color w:val="000000" w:themeColor="text1"/>
                <w:szCs w:val="21"/>
                <w:highlight w:val="none"/>
                <w:lang w:eastAsia="zh-CN"/>
                <w14:textFill>
                  <w14:solidFill>
                    <w14:schemeClr w14:val="tx1"/>
                  </w14:solidFill>
                </w14:textFill>
              </w:rPr>
              <w:t>。</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690"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巡查工作用车</w:t>
            </w:r>
          </w:p>
        </w:tc>
        <w:tc>
          <w:tcPr>
            <w:tcW w:w="18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p>
        </w:tc>
        <w:tc>
          <w:tcPr>
            <w:tcW w:w="4378"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用于日常考核及快速保洁</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259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环保型垃圾标准桶（240L）</w:t>
            </w:r>
          </w:p>
        </w:tc>
        <w:tc>
          <w:tcPr>
            <w:tcW w:w="18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default" w:ascii="宋体" w:hAnsi="宋体" w:eastAsia="宋体" w:cs="宋体"/>
                <w:color w:val="000000" w:themeColor="text1"/>
                <w:sz w:val="21"/>
                <w:szCs w:val="21"/>
                <w:highlight w:val="none"/>
                <w:lang w:val="en-US"/>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100</w:t>
            </w:r>
          </w:p>
        </w:tc>
        <w:tc>
          <w:tcPr>
            <w:tcW w:w="437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1、垃圾桶</w:t>
            </w:r>
            <w:r>
              <w:rPr>
                <w:rFonts w:hint="eastAsia" w:ascii="宋体" w:hAnsi="宋体"/>
                <w:color w:val="000000" w:themeColor="text1"/>
                <w:szCs w:val="21"/>
                <w:highlight w:val="none"/>
                <w:u w:val="single"/>
                <w:lang w:val="en-US" w:eastAsia="zh-CN"/>
                <w14:textFill>
                  <w14:solidFill>
                    <w14:schemeClr w14:val="tx1"/>
                  </w14:solidFill>
                </w14:textFill>
              </w:rPr>
              <w:t>18</w:t>
            </w:r>
            <w:r>
              <w:rPr>
                <w:rFonts w:hint="eastAsia" w:ascii="宋体" w:hAnsi="宋体"/>
                <w:color w:val="000000" w:themeColor="text1"/>
                <w:szCs w:val="21"/>
                <w:highlight w:val="none"/>
                <w14:textFill>
                  <w14:solidFill>
                    <w14:schemeClr w14:val="tx1"/>
                  </w14:solidFill>
                </w14:textFill>
              </w:rPr>
              <w:t>个月必须更新一次，破损随时更新；</w:t>
            </w:r>
          </w:p>
          <w:p>
            <w:pPr>
              <w:adjustRightInd w:val="0"/>
              <w:snapToGrid w:val="0"/>
              <w:spacing w:line="30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桶身及桶盖使用</w:t>
            </w:r>
            <w:r>
              <w:rPr>
                <w:rFonts w:ascii="宋体" w:hAnsi="宋体"/>
                <w:color w:val="000000" w:themeColor="text1"/>
                <w:szCs w:val="21"/>
                <w:highlight w:val="none"/>
                <w14:textFill>
                  <w14:solidFill>
                    <w14:schemeClr w14:val="tx1"/>
                  </w14:solidFill>
                </w14:textFill>
              </w:rPr>
              <w:t>100%</w:t>
            </w:r>
            <w:r>
              <w:rPr>
                <w:rFonts w:hint="eastAsia" w:ascii="宋体" w:hAnsi="宋体"/>
                <w:color w:val="000000" w:themeColor="text1"/>
                <w:szCs w:val="21"/>
                <w:highlight w:val="none"/>
                <w14:textFill>
                  <w14:solidFill>
                    <w14:schemeClr w14:val="tx1"/>
                  </w14:solidFill>
                </w14:textFill>
              </w:rPr>
              <w:t>高密度聚乙烯（</w:t>
            </w:r>
            <w:r>
              <w:rPr>
                <w:rFonts w:ascii="宋体" w:hAnsi="宋体"/>
                <w:color w:val="000000" w:themeColor="text1"/>
                <w:szCs w:val="21"/>
                <w:highlight w:val="none"/>
                <w14:textFill>
                  <w14:solidFill>
                    <w14:schemeClr w14:val="tx1"/>
                  </w14:solidFill>
                </w14:textFill>
              </w:rPr>
              <w:t>HDPE</w:t>
            </w:r>
            <w:r>
              <w:rPr>
                <w:rFonts w:hint="eastAsia" w:ascii="宋体" w:hAnsi="宋体"/>
                <w:color w:val="000000" w:themeColor="text1"/>
                <w:szCs w:val="21"/>
                <w:highlight w:val="none"/>
                <w14:textFill>
                  <w14:solidFill>
                    <w14:schemeClr w14:val="tx1"/>
                  </w14:solidFill>
                </w14:textFill>
              </w:rPr>
              <w:t>）原材料制造，所有原材料符合</w:t>
            </w:r>
            <w:r>
              <w:rPr>
                <w:rFonts w:ascii="宋体" w:hAnsi="宋体"/>
                <w:color w:val="000000" w:themeColor="text1"/>
                <w:szCs w:val="21"/>
                <w:highlight w:val="none"/>
                <w14:textFill>
                  <w14:solidFill>
                    <w14:schemeClr w14:val="tx1"/>
                  </w14:solidFill>
                </w14:textFill>
              </w:rPr>
              <w:t>ROHS</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2011/65/EU</w:t>
            </w:r>
            <w:r>
              <w:rPr>
                <w:rFonts w:hint="eastAsia" w:ascii="宋体" w:hAnsi="宋体"/>
                <w:color w:val="000000" w:themeColor="text1"/>
                <w:szCs w:val="21"/>
                <w:highlight w:val="none"/>
                <w14:textFill>
                  <w14:solidFill>
                    <w14:schemeClr w14:val="tx1"/>
                  </w14:solidFill>
                </w14:textFill>
              </w:rPr>
              <w:t>）一次注模成型，带轮；</w:t>
            </w:r>
          </w:p>
          <w:p>
            <w:pPr>
              <w:adjustRightInd w:val="0"/>
              <w:snapToGrid w:val="0"/>
              <w:spacing w:line="300" w:lineRule="exact"/>
              <w:rPr>
                <w:rFonts w:hint="eastAsia" w:ascii="宋体" w:hAnsi="宋体" w:eastAsia="宋体" w:cs="宋体"/>
                <w:color w:val="000000" w:themeColor="text1"/>
                <w:sz w:val="2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w:t>
            </w:r>
            <w:r>
              <w:rPr>
                <w:rFonts w:hint="eastAsia" w:ascii="宋体" w:hAnsi="宋体"/>
                <w:color w:val="auto"/>
                <w:szCs w:val="21"/>
                <w:highlight w:val="none"/>
              </w:rPr>
              <w:t>桶身性能需符合国家标准；颜色灰色为PANTONG 5477CVC；桶盖厚度≥2.5mm，桶底及桶体壁厚≥4.0mm；桶盖填充严密，桶体日久不会变形，不褪色；抗热、防冻及耐酸、耐碱。</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259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环保型垃圾标准桶（660L）</w:t>
            </w:r>
          </w:p>
        </w:tc>
        <w:tc>
          <w:tcPr>
            <w:tcW w:w="18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default" w:ascii="宋体" w:hAnsi="宋体" w:eastAsia="宋体" w:cs="宋体"/>
                <w:color w:val="000000" w:themeColor="text1"/>
                <w:sz w:val="21"/>
                <w:szCs w:val="21"/>
                <w:highlight w:val="none"/>
                <w:lang w:val="en-US"/>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760</w:t>
            </w:r>
          </w:p>
        </w:tc>
        <w:tc>
          <w:tcPr>
            <w:tcW w:w="437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1、垃圾桶</w:t>
            </w:r>
            <w:r>
              <w:rPr>
                <w:rFonts w:hint="eastAsia" w:ascii="宋体" w:hAnsi="宋体"/>
                <w:color w:val="000000" w:themeColor="text1"/>
                <w:szCs w:val="21"/>
                <w:highlight w:val="none"/>
                <w:lang w:val="en-US" w:eastAsia="zh-CN"/>
                <w14:textFill>
                  <w14:solidFill>
                    <w14:schemeClr w14:val="tx1"/>
                  </w14:solidFill>
                </w14:textFill>
              </w:rPr>
              <w:t>18</w:t>
            </w:r>
            <w:r>
              <w:rPr>
                <w:rFonts w:hint="eastAsia" w:ascii="宋体" w:hAnsi="宋体"/>
                <w:color w:val="000000" w:themeColor="text1"/>
                <w:szCs w:val="21"/>
                <w:highlight w:val="none"/>
                <w14:textFill>
                  <w14:solidFill>
                    <w14:schemeClr w14:val="tx1"/>
                  </w14:solidFill>
                </w14:textFill>
              </w:rPr>
              <w:t>个月必须更新一次，破损随时更新；</w:t>
            </w:r>
          </w:p>
          <w:p>
            <w:pPr>
              <w:adjustRightInd w:val="0"/>
              <w:snapToGrid w:val="0"/>
              <w:spacing w:line="300" w:lineRule="exact"/>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桶身及桶盖使用</w:t>
            </w:r>
            <w:r>
              <w:rPr>
                <w:rFonts w:ascii="宋体" w:hAnsi="宋体"/>
                <w:color w:val="000000" w:themeColor="text1"/>
                <w:szCs w:val="21"/>
                <w:highlight w:val="none"/>
                <w14:textFill>
                  <w14:solidFill>
                    <w14:schemeClr w14:val="tx1"/>
                  </w14:solidFill>
                </w14:textFill>
              </w:rPr>
              <w:t>100%</w:t>
            </w:r>
            <w:r>
              <w:rPr>
                <w:rFonts w:hint="eastAsia" w:ascii="宋体" w:hAnsi="宋体"/>
                <w:color w:val="000000" w:themeColor="text1"/>
                <w:szCs w:val="21"/>
                <w:highlight w:val="none"/>
                <w14:textFill>
                  <w14:solidFill>
                    <w14:schemeClr w14:val="tx1"/>
                  </w14:solidFill>
                </w14:textFill>
              </w:rPr>
              <w:t>高密度聚乙烯（</w:t>
            </w:r>
            <w:r>
              <w:rPr>
                <w:rFonts w:ascii="宋体" w:hAnsi="宋体"/>
                <w:color w:val="000000" w:themeColor="text1"/>
                <w:szCs w:val="21"/>
                <w:highlight w:val="none"/>
                <w14:textFill>
                  <w14:solidFill>
                    <w14:schemeClr w14:val="tx1"/>
                  </w14:solidFill>
                </w14:textFill>
              </w:rPr>
              <w:t>HDPE</w:t>
            </w:r>
            <w:r>
              <w:rPr>
                <w:rFonts w:hint="eastAsia" w:ascii="宋体" w:hAnsi="宋体"/>
                <w:color w:val="000000" w:themeColor="text1"/>
                <w:szCs w:val="21"/>
                <w:highlight w:val="none"/>
                <w14:textFill>
                  <w14:solidFill>
                    <w14:schemeClr w14:val="tx1"/>
                  </w14:solidFill>
                </w14:textFill>
              </w:rPr>
              <w:t>）原材料制造，所有原材料符合</w:t>
            </w:r>
            <w:r>
              <w:rPr>
                <w:rFonts w:ascii="宋体" w:hAnsi="宋体"/>
                <w:color w:val="000000" w:themeColor="text1"/>
                <w:szCs w:val="21"/>
                <w:highlight w:val="none"/>
                <w14:textFill>
                  <w14:solidFill>
                    <w14:schemeClr w14:val="tx1"/>
                  </w14:solidFill>
                </w14:textFill>
              </w:rPr>
              <w:t>ROHS</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2011/65/EU</w:t>
            </w:r>
            <w:r>
              <w:rPr>
                <w:rFonts w:hint="eastAsia" w:ascii="宋体" w:hAnsi="宋体"/>
                <w:color w:val="000000" w:themeColor="text1"/>
                <w:szCs w:val="21"/>
                <w:highlight w:val="none"/>
                <w14:textFill>
                  <w14:solidFill>
                    <w14:schemeClr w14:val="tx1"/>
                  </w14:solidFill>
                </w14:textFill>
              </w:rPr>
              <w:t>）一次注模成型，带轮；</w:t>
            </w:r>
          </w:p>
          <w:p>
            <w:pPr>
              <w:adjustRightInd w:val="0"/>
              <w:snapToGrid w:val="0"/>
              <w:spacing w:line="300" w:lineRule="exact"/>
              <w:rPr>
                <w:rFonts w:hint="eastAsia" w:ascii="宋体" w:hAnsi="宋体" w:eastAsia="宋体" w:cs="宋体"/>
                <w:color w:val="000000" w:themeColor="text1"/>
                <w:sz w:val="2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3、</w:t>
            </w:r>
            <w:r>
              <w:rPr>
                <w:rFonts w:hint="eastAsia" w:ascii="宋体" w:hAnsi="宋体"/>
                <w:color w:val="auto"/>
                <w:szCs w:val="21"/>
                <w:highlight w:val="none"/>
              </w:rPr>
              <w:t>桶身性能需符合国家标准；颜色灰色为PANTONG 5477CVC；桶盖厚度≥4.0mm，桶底及桶体壁厚≥5.0mm；桶盖填充严密，桶体日久不会变形，不褪色；抗热、防冻及耐酸、耐碱。</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823"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240升垃圾袋</w:t>
            </w:r>
          </w:p>
        </w:tc>
        <w:tc>
          <w:tcPr>
            <w:tcW w:w="18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足量</w:t>
            </w:r>
          </w:p>
        </w:tc>
        <w:tc>
          <w:tcPr>
            <w:tcW w:w="4378"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根据使用情况及时补充。</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823" w:hRule="atLeast"/>
          <w:jc w:val="center"/>
        </w:trPr>
        <w:tc>
          <w:tcPr>
            <w:tcW w:w="259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cs="Times New Roman"/>
                <w:color w:val="000000" w:themeColor="text1"/>
                <w:szCs w:val="21"/>
                <w:highlight w:val="none"/>
                <w:lang w:val="en-US" w:eastAsia="zh-CN"/>
                <w14:textFill>
                  <w14:solidFill>
                    <w14:schemeClr w14:val="tx1"/>
                  </w14:solidFill>
                </w14:textFill>
              </w:rPr>
              <w:t>集烟器</w:t>
            </w:r>
          </w:p>
        </w:tc>
        <w:tc>
          <w:tcPr>
            <w:tcW w:w="18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cs="Times New Roman"/>
                <w:color w:val="000000" w:themeColor="text1"/>
                <w:szCs w:val="21"/>
                <w:highlight w:val="none"/>
                <w:lang w:val="en-US" w:eastAsia="zh-CN"/>
                <w14:textFill>
                  <w14:solidFill>
                    <w14:schemeClr w14:val="tx1"/>
                  </w14:solidFill>
                </w14:textFill>
              </w:rPr>
              <w:t>足量</w:t>
            </w:r>
          </w:p>
        </w:tc>
        <w:tc>
          <w:tcPr>
            <w:tcW w:w="43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根据使用情况及时补充。</w:t>
            </w:r>
          </w:p>
        </w:tc>
      </w:tr>
    </w:tbl>
    <w:p>
      <w:pPr>
        <w:numPr>
          <w:ilvl w:val="0"/>
          <w:numId w:val="10"/>
        </w:numPr>
        <w:adjustRightInd w:val="0"/>
        <w:snapToGrid w:val="0"/>
        <w:rPr>
          <w:rFonts w:hint="eastAsia" w:ascii="宋体" w:hAnsi="宋体" w:eastAsia="宋体" w:cs="宋体"/>
          <w:color w:val="auto"/>
          <w:sz w:val="21"/>
          <w:szCs w:val="21"/>
          <w:highlight w:val="none"/>
        </w:rPr>
      </w:pPr>
      <w:r>
        <w:rPr>
          <w:rFonts w:hint="eastAsia" w:ascii="宋体" w:hAnsi="宋体" w:eastAsia="宋体" w:cs="宋体"/>
          <w:b/>
          <w:color w:val="000000" w:themeColor="text1"/>
          <w:sz w:val="21"/>
          <w:szCs w:val="21"/>
          <w:highlight w:val="none"/>
          <w14:textFill>
            <w14:solidFill>
              <w14:schemeClr w14:val="tx1"/>
            </w14:solidFill>
          </w14:textFill>
        </w:rPr>
        <w:t>以上是本项目车辆、设备的基本配置要求，</w:t>
      </w:r>
      <w:r>
        <w:rPr>
          <w:rFonts w:hint="eastAsia" w:ascii="宋体" w:hAnsi="宋体" w:cs="宋体"/>
          <w:b/>
          <w:color w:val="000000" w:themeColor="text1"/>
          <w:sz w:val="21"/>
          <w:szCs w:val="21"/>
          <w:highlight w:val="none"/>
          <w:lang w:val="en-US" w:eastAsia="zh-CN"/>
          <w14:textFill>
            <w14:solidFill>
              <w14:schemeClr w14:val="tx1"/>
            </w14:solidFill>
          </w14:textFill>
        </w:rPr>
        <w:t>采购人</w:t>
      </w:r>
      <w:r>
        <w:rPr>
          <w:rFonts w:hint="eastAsia" w:ascii="宋体" w:hAnsi="宋体" w:eastAsia="宋体" w:cs="宋体"/>
          <w:b/>
          <w:snapToGrid/>
          <w:color w:val="000000" w:themeColor="text1"/>
          <w:kern w:val="2"/>
          <w:sz w:val="21"/>
          <w:szCs w:val="21"/>
          <w:highlight w:val="none"/>
          <w:lang w:eastAsia="zh-CN"/>
          <w14:textFill>
            <w14:solidFill>
              <w14:schemeClr w14:val="tx1"/>
            </w14:solidFill>
          </w14:textFill>
        </w:rPr>
        <w:t>或采购人</w:t>
      </w:r>
      <w:r>
        <w:rPr>
          <w:rFonts w:hint="eastAsia" w:ascii="宋体" w:hAnsi="宋体" w:eastAsia="宋体" w:cs="宋体"/>
          <w:b/>
          <w:snapToGrid/>
          <w:color w:val="000000" w:themeColor="text1"/>
          <w:kern w:val="2"/>
          <w:sz w:val="21"/>
          <w:szCs w:val="21"/>
          <w:highlight w:val="none"/>
          <w14:textFill>
            <w14:solidFill>
              <w14:schemeClr w14:val="tx1"/>
            </w14:solidFill>
          </w14:textFill>
        </w:rPr>
        <w:t>指定的监管单位</w:t>
      </w:r>
      <w:r>
        <w:rPr>
          <w:rFonts w:hint="eastAsia" w:ascii="宋体" w:hAnsi="宋体" w:eastAsia="宋体" w:cs="宋体"/>
          <w:b/>
          <w:color w:val="000000" w:themeColor="text1"/>
          <w:sz w:val="21"/>
          <w:szCs w:val="21"/>
          <w:highlight w:val="none"/>
          <w14:textFill>
            <w14:solidFill>
              <w14:schemeClr w14:val="tx1"/>
            </w14:solidFill>
          </w14:textFill>
        </w:rPr>
        <w:t>可根据作业需要增加车辆、设备的类型和数量，或与人员投入适当替换。</w:t>
      </w:r>
      <w:r>
        <w:rPr>
          <w:rFonts w:hint="eastAsia" w:ascii="宋体" w:hAnsi="宋体" w:cs="宋体"/>
          <w:b w:val="0"/>
          <w:bCs/>
          <w:color w:val="000000" w:themeColor="text1"/>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sz w:val="21"/>
          <w:szCs w:val="21"/>
          <w:highlight w:val="none"/>
          <w14:textFill>
            <w14:solidFill>
              <w14:schemeClr w14:val="tx1"/>
            </w14:solidFill>
          </w14:textFill>
        </w:rPr>
        <w:t>提供车辆行驶证、设备购置发票等（中标后提供给采购</w:t>
      </w:r>
      <w:r>
        <w:rPr>
          <w:rFonts w:hint="eastAsia" w:ascii="宋体" w:hAnsi="宋体" w:cs="宋体"/>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color w:val="000000" w:themeColor="text1"/>
          <w:sz w:val="21"/>
          <w:szCs w:val="21"/>
          <w:highlight w:val="none"/>
          <w14:textFill>
            <w14:solidFill>
              <w14:schemeClr w14:val="tx1"/>
            </w14:solidFill>
          </w14:textFill>
        </w:rPr>
        <w:t>核查）。中标人在中标通知书发放后</w:t>
      </w:r>
      <w:r>
        <w:rPr>
          <w:rFonts w:hint="eastAsia" w:ascii="宋体" w:hAnsi="宋体" w:eastAsia="宋体" w:cs="宋体"/>
          <w:b/>
          <w:color w:val="000000" w:themeColor="text1"/>
          <w:sz w:val="21"/>
          <w:szCs w:val="21"/>
          <w:highlight w:val="none"/>
          <w14:textFill>
            <w14:solidFill>
              <w14:schemeClr w14:val="tx1"/>
            </w14:solidFill>
          </w14:textFill>
        </w:rPr>
        <w:t>30个日历日</w:t>
      </w:r>
      <w:r>
        <w:rPr>
          <w:rFonts w:hint="eastAsia" w:ascii="宋体" w:hAnsi="宋体" w:eastAsia="宋体" w:cs="宋体"/>
          <w:color w:val="000000" w:themeColor="text1"/>
          <w:sz w:val="21"/>
          <w:szCs w:val="21"/>
          <w:highlight w:val="none"/>
          <w14:textFill>
            <w14:solidFill>
              <w14:schemeClr w14:val="tx1"/>
            </w14:solidFill>
          </w14:textFill>
        </w:rPr>
        <w:t>内配置齐，并经采购</w:t>
      </w:r>
      <w:r>
        <w:rPr>
          <w:rFonts w:hint="eastAsia" w:ascii="宋体" w:hAnsi="宋体" w:cs="宋体"/>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color w:val="000000" w:themeColor="text1"/>
          <w:sz w:val="21"/>
          <w:szCs w:val="21"/>
          <w:highlight w:val="none"/>
          <w14:textFill>
            <w14:solidFill>
              <w14:schemeClr w14:val="tx1"/>
            </w14:solidFill>
          </w14:textFill>
        </w:rPr>
        <w:t>验收，逾期者将视为自动放弃中标资格。</w:t>
      </w:r>
    </w:p>
    <w:p>
      <w:pPr>
        <w:numPr>
          <w:ilvl w:val="0"/>
          <w:numId w:val="10"/>
        </w:numPr>
        <w:adjustRightInd w:val="0"/>
        <w:snapToGrid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中标人应在</w:t>
      </w:r>
      <w:r>
        <w:rPr>
          <w:rFonts w:hint="eastAsia" w:ascii="宋体" w:hAnsi="宋体" w:cs="宋体"/>
          <w:color w:val="auto"/>
          <w:sz w:val="21"/>
          <w:szCs w:val="21"/>
          <w:highlight w:val="none"/>
          <w:lang w:eastAsia="zh-CN"/>
        </w:rPr>
        <w:t>本地范围内</w:t>
      </w:r>
      <w:r>
        <w:rPr>
          <w:rFonts w:hint="eastAsia" w:ascii="宋体" w:hAnsi="宋体" w:eastAsia="宋体" w:cs="宋体"/>
          <w:color w:val="auto"/>
          <w:sz w:val="21"/>
          <w:szCs w:val="21"/>
          <w:highlight w:val="none"/>
        </w:rPr>
        <w:t>设立面积≥</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0㎡的项目管理人员办公场所，并在中标通知书发放后15个日历日内设立和运作，办公场所租金、水电费用、办公设备及日常用品等费用由中标人承担。</w:t>
      </w:r>
    </w:p>
    <w:p>
      <w:pPr>
        <w:numPr>
          <w:ilvl w:val="0"/>
          <w:numId w:val="10"/>
        </w:numPr>
        <w:adjustRightInd w:val="0"/>
        <w:snapToGrid w:val="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垃圾转运站和公厕的水、电费由中标人承担，</w:t>
      </w:r>
      <w:r>
        <w:rPr>
          <w:rFonts w:hint="eastAsia" w:ascii="宋体" w:hAnsi="宋体" w:eastAsia="宋体" w:cs="宋体"/>
          <w:color w:val="auto"/>
          <w:sz w:val="21"/>
          <w:szCs w:val="21"/>
          <w:highlight w:val="none"/>
        </w:rPr>
        <w:t>日常维修、维护和管理工作由中标人负责。投标人在预算中应充分考虑垃圾中转站、公厕等设施设备的维修和运行成本，</w:t>
      </w:r>
      <w:r>
        <w:rPr>
          <w:rFonts w:hint="eastAsia" w:ascii="宋体" w:hAnsi="宋体" w:eastAsia="宋体" w:cs="宋体"/>
          <w:snapToGrid w:val="0"/>
          <w:color w:val="auto"/>
          <w:kern w:val="0"/>
          <w:sz w:val="21"/>
          <w:szCs w:val="21"/>
          <w:highlight w:val="none"/>
        </w:rPr>
        <w:t>另外，每个垃圾转运站还需配备高压水枪</w:t>
      </w:r>
      <w:r>
        <w:rPr>
          <w:rFonts w:hint="eastAsia" w:ascii="宋体" w:hAnsi="宋体" w:eastAsia="宋体" w:cs="宋体"/>
          <w:snapToGrid w:val="0"/>
          <w:color w:val="auto"/>
          <w:kern w:val="0"/>
          <w:sz w:val="21"/>
          <w:szCs w:val="21"/>
          <w:highlight w:val="none"/>
          <w:u w:val="single"/>
        </w:rPr>
        <w:t>1</w:t>
      </w:r>
      <w:r>
        <w:rPr>
          <w:rFonts w:hint="eastAsia" w:ascii="宋体" w:hAnsi="宋体" w:eastAsia="宋体" w:cs="宋体"/>
          <w:snapToGrid w:val="0"/>
          <w:color w:val="auto"/>
          <w:kern w:val="0"/>
          <w:sz w:val="21"/>
          <w:szCs w:val="21"/>
          <w:highlight w:val="none"/>
        </w:rPr>
        <w:t>套</w:t>
      </w:r>
      <w:r>
        <w:rPr>
          <w:rFonts w:hint="eastAsia" w:ascii="宋体" w:hAnsi="宋体" w:eastAsia="宋体" w:cs="宋体"/>
          <w:color w:val="auto"/>
          <w:sz w:val="21"/>
          <w:szCs w:val="21"/>
          <w:highlight w:val="none"/>
        </w:rPr>
        <w:t>。</w:t>
      </w:r>
    </w:p>
    <w:p>
      <w:pPr>
        <w:numPr>
          <w:ilvl w:val="0"/>
          <w:numId w:val="10"/>
        </w:numPr>
        <w:adjustRightInd w:val="0"/>
        <w:snapToGrid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合同服务期间所有设备的维修维护费均由中标人支付。</w:t>
      </w:r>
    </w:p>
    <w:p>
      <w:pPr>
        <w:numPr>
          <w:ilvl w:val="0"/>
          <w:numId w:val="10"/>
        </w:numPr>
        <w:adjustRightInd w:val="0"/>
        <w:snapToGrid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为进一步确保清扫清运设备、设施的维修维护和存放，落实后勤保障措施，中标人需要配备车辆维修机动队和环卫后勤生活及车辆维修基地，保证各项环卫作业的正常运作。中标人须在中标通知书发出后</w:t>
      </w:r>
      <w:r>
        <w:rPr>
          <w:rFonts w:hint="eastAsia" w:ascii="宋体" w:hAnsi="宋体" w:eastAsia="宋体" w:cs="宋体"/>
          <w:b/>
          <w:bCs/>
          <w:color w:val="auto"/>
          <w:sz w:val="21"/>
          <w:szCs w:val="21"/>
          <w:highlight w:val="none"/>
          <w:u w:val="single"/>
        </w:rPr>
        <w:t>2</w:t>
      </w:r>
      <w:r>
        <w:rPr>
          <w:rFonts w:hint="eastAsia" w:ascii="宋体" w:hAnsi="宋体" w:eastAsia="宋体" w:cs="宋体"/>
          <w:color w:val="auto"/>
          <w:sz w:val="21"/>
          <w:szCs w:val="21"/>
          <w:highlight w:val="none"/>
        </w:rPr>
        <w:t>个月内在</w:t>
      </w:r>
      <w:r>
        <w:rPr>
          <w:rFonts w:hint="eastAsia" w:ascii="宋体" w:hAnsi="宋体" w:eastAsia="宋体" w:cs="宋体"/>
          <w:color w:val="auto"/>
          <w:sz w:val="21"/>
          <w:szCs w:val="21"/>
          <w:highlight w:val="none"/>
          <w:u w:val="single"/>
        </w:rPr>
        <w:t xml:space="preserve"> 盐田 </w:t>
      </w:r>
      <w:r>
        <w:rPr>
          <w:rFonts w:hint="eastAsia" w:ascii="宋体" w:hAnsi="宋体" w:eastAsia="宋体" w:cs="宋体"/>
          <w:color w:val="auto"/>
          <w:sz w:val="21"/>
          <w:szCs w:val="21"/>
          <w:highlight w:val="none"/>
        </w:rPr>
        <w:t>区范围内有环卫停车场面积S： S≥</w:t>
      </w:r>
      <w:r>
        <w:rPr>
          <w:rFonts w:hint="eastAsia" w:ascii="宋体" w:hAnsi="宋体" w:cs="宋体"/>
          <w:color w:val="auto"/>
          <w:sz w:val="21"/>
          <w:szCs w:val="21"/>
          <w:highlight w:val="none"/>
          <w:u w:val="single"/>
          <w:lang w:val="en-US" w:eastAsia="zh-CN"/>
        </w:rPr>
        <w:t>15</w:t>
      </w:r>
      <w:r>
        <w:rPr>
          <w:rFonts w:hint="eastAsia" w:ascii="宋体" w:hAnsi="宋体" w:eastAsia="宋体" w:cs="宋体"/>
          <w:color w:val="auto"/>
          <w:sz w:val="21"/>
          <w:szCs w:val="21"/>
          <w:highlight w:val="none"/>
          <w:u w:val="single"/>
        </w:rPr>
        <w:t>00</w:t>
      </w:r>
      <w:r>
        <w:rPr>
          <w:rFonts w:hint="eastAsia" w:ascii="宋体" w:hAnsi="宋体" w:eastAsia="宋体" w:cs="宋体"/>
          <w:color w:val="auto"/>
          <w:sz w:val="21"/>
          <w:szCs w:val="21"/>
          <w:highlight w:val="none"/>
        </w:rPr>
        <w:t>㎡。</w:t>
      </w:r>
    </w:p>
    <w:p>
      <w:pPr>
        <w:numPr>
          <w:ilvl w:val="0"/>
          <w:numId w:val="10"/>
        </w:numPr>
        <w:adjustRightInd w:val="0"/>
        <w:snapToGrid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垃圾转运站开放时间不低于</w:t>
      </w:r>
      <w:r>
        <w:rPr>
          <w:rFonts w:hint="eastAsia" w:ascii="宋体" w:hAnsi="宋体" w:eastAsia="宋体" w:cs="宋体"/>
          <w:snapToGrid w:val="0"/>
          <w:color w:val="000000" w:themeColor="text1"/>
          <w:kern w:val="0"/>
          <w:sz w:val="21"/>
          <w:szCs w:val="21"/>
          <w:highlight w:val="none"/>
          <w:u w:val="single"/>
          <w14:textFill>
            <w14:solidFill>
              <w14:schemeClr w14:val="tx1"/>
            </w14:solidFill>
          </w14:textFill>
        </w:rPr>
        <w:t xml:space="preserve"> 16 </w:t>
      </w:r>
      <w:r>
        <w:rPr>
          <w:rFonts w:hint="eastAsia" w:ascii="宋体" w:hAnsi="宋体" w:eastAsia="宋体" w:cs="宋体"/>
          <w:snapToGrid w:val="0"/>
          <w:color w:val="000000" w:themeColor="text1"/>
          <w:kern w:val="0"/>
          <w:sz w:val="21"/>
          <w:szCs w:val="21"/>
          <w:highlight w:val="none"/>
          <w14:textFill>
            <w14:solidFill>
              <w14:schemeClr w14:val="tx1"/>
            </w14:solidFill>
          </w14:textFill>
        </w:rPr>
        <w:t>个小时。</w:t>
      </w:r>
    </w:p>
    <w:p>
      <w:pPr>
        <w:keepNext w:val="0"/>
        <w:keepLines w:val="0"/>
        <w:pageBreakBefore w:val="0"/>
        <w:widowControl w:val="0"/>
        <w:kinsoku/>
        <w:wordWrap/>
        <w:overflowPunct/>
        <w:topLinePunct w:val="0"/>
        <w:autoSpaceDE/>
        <w:autoSpaceDN/>
        <w:bidi w:val="0"/>
        <w:spacing w:line="240" w:lineRule="auto"/>
        <w:ind w:firstLine="421" w:firstLineChars="200"/>
        <w:textAlignment w:val="auto"/>
        <w:outlineLvl w:val="4"/>
        <w:rPr>
          <w:rFonts w:hint="eastAsia" w:ascii="宋体" w:hAnsi="宋体" w:eastAsia="宋体" w:cs="宋体"/>
          <w:b/>
          <w:bCs/>
          <w:snapToGrid w:val="0"/>
          <w:color w:val="000000" w:themeColor="text1"/>
          <w:kern w:val="0"/>
          <w:sz w:val="21"/>
          <w:szCs w:val="21"/>
          <w:highlight w:val="none"/>
          <w14:textFill>
            <w14:solidFill>
              <w14:schemeClr w14:val="tx1"/>
            </w14:solidFill>
          </w14:textFill>
        </w:rPr>
      </w:pPr>
      <w:r>
        <w:rPr>
          <w:rFonts w:hint="eastAsia" w:ascii="宋体" w:hAnsi="宋体" w:cs="宋体"/>
          <w:b/>
          <w:bCs/>
          <w:snapToGrid w:val="0"/>
          <w:color w:val="000000" w:themeColor="text1"/>
          <w:kern w:val="0"/>
          <w:sz w:val="21"/>
          <w:szCs w:val="21"/>
          <w:highlight w:val="none"/>
          <w:lang w:val="en-US" w:eastAsia="zh-CN"/>
          <w14:textFill>
            <w14:solidFill>
              <w14:schemeClr w14:val="tx1"/>
            </w14:solidFill>
          </w14:textFill>
        </w:rPr>
        <w:t>3.</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人员的其他要求</w:t>
      </w:r>
    </w:p>
    <w:p>
      <w:pPr>
        <w:pStyle w:val="72"/>
        <w:keepNext w:val="0"/>
        <w:keepLines w:val="0"/>
        <w:pageBreakBefore w:val="0"/>
        <w:widowControl w:val="0"/>
        <w:kinsoku/>
        <w:wordWrap/>
        <w:overflowPunct/>
        <w:topLinePunct w:val="0"/>
        <w:autoSpaceDE/>
        <w:autoSpaceDN/>
        <w:bidi w:val="0"/>
        <w:adjustRightInd w:val="0"/>
        <w:snapToGrid w:val="0"/>
        <w:spacing w:line="240" w:lineRule="auto"/>
        <w:ind w:left="420" w:firstLine="0" w:firstLineChars="0"/>
        <w:textAlignment w:val="auto"/>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身体健康，热爱城管、环卫工作，责任心强。</w:t>
      </w:r>
    </w:p>
    <w:p>
      <w:pPr>
        <w:ind w:firstLine="421" w:firstLineChars="200"/>
        <w:outlineLvl w:val="4"/>
        <w:rPr>
          <w:rFonts w:hint="eastAsia" w:ascii="宋体" w:hAnsi="宋体" w:cs="宋体"/>
          <w:b/>
          <w:bCs/>
          <w:snapToGrid w:val="0"/>
          <w:color w:val="000000" w:themeColor="text1"/>
          <w:kern w:val="0"/>
          <w:sz w:val="21"/>
          <w:szCs w:val="21"/>
          <w:highlight w:val="none"/>
          <w:lang w:val="en-US" w:eastAsia="zh-CN"/>
          <w14:textFill>
            <w14:solidFill>
              <w14:schemeClr w14:val="tx1"/>
            </w14:solidFill>
          </w14:textFill>
        </w:rPr>
      </w:pPr>
      <w:r>
        <w:rPr>
          <w:rFonts w:hint="eastAsia" w:ascii="宋体" w:hAnsi="宋体" w:cs="宋体"/>
          <w:b/>
          <w:bCs/>
          <w:snapToGrid w:val="0"/>
          <w:color w:val="000000" w:themeColor="text1"/>
          <w:kern w:val="0"/>
          <w:sz w:val="21"/>
          <w:szCs w:val="21"/>
          <w:highlight w:val="none"/>
          <w:lang w:val="en-US" w:eastAsia="zh-CN"/>
          <w14:textFill>
            <w14:solidFill>
              <w14:schemeClr w14:val="tx1"/>
            </w14:solidFill>
          </w14:textFill>
        </w:rPr>
        <w:t>4.设备的其他要求</w:t>
      </w:r>
    </w:p>
    <w:p>
      <w:pPr>
        <w:pStyle w:val="72"/>
        <w:spacing w:before="60" w:beforeLines="25" w:after="60" w:afterLines="25"/>
        <w:ind w:left="420" w:firstLine="0" w:firstLineChars="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（一）总体要求</w:t>
      </w:r>
    </w:p>
    <w:p>
      <w:pPr>
        <w:widowControl/>
        <w:ind w:firstLine="420" w:firstLineChars="20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（1）车辆设备需按照《设备（含车辆）需求一览表》配置，</w:t>
      </w:r>
      <w:r>
        <w:rPr>
          <w:rFonts w:hint="eastAsia" w:ascii="宋体" w:hAnsi="宋体" w:eastAsia="宋体" w:cs="宋体"/>
          <w:color w:val="000000" w:themeColor="text1"/>
          <w:kern w:val="0"/>
          <w:sz w:val="21"/>
          <w:szCs w:val="21"/>
          <w:highlight w:val="none"/>
          <w14:textFill>
            <w14:solidFill>
              <w14:schemeClr w14:val="tx1"/>
            </w14:solidFill>
          </w14:textFill>
        </w:rPr>
        <w:t>中标</w:t>
      </w:r>
      <w:r>
        <w:rPr>
          <w:rFonts w:hint="eastAsia" w:ascii="宋体" w:hAnsi="宋体" w:cs="宋体"/>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提供的环卫作业设备必须是合格设备，能正常上路作业，并由具备资格的人员驾驶使用。</w:t>
      </w:r>
      <w:r>
        <w:rPr>
          <w:rFonts w:hint="eastAsia" w:ascii="宋体" w:hAnsi="宋体" w:eastAsia="宋体" w:cs="宋体"/>
          <w:snapToGrid w:val="0"/>
          <w:color w:val="000000" w:themeColor="text1"/>
          <w:kern w:val="0"/>
          <w:sz w:val="21"/>
          <w:szCs w:val="21"/>
          <w:highlight w:val="none"/>
          <w14:textFill>
            <w14:solidFill>
              <w14:schemeClr w14:val="tx1"/>
            </w14:solidFill>
          </w14:textFill>
        </w:rPr>
        <w:t>投标供应商可根据垃圾清运实际需要，在上述最低标准外，额外增加配置车辆与设备。</w:t>
      </w:r>
    </w:p>
    <w:p>
      <w:pPr>
        <w:widowControl/>
        <w:ind w:firstLine="420" w:firstLineChars="20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（2）配置的纯电动环卫车须为纳入工业和信息化部《新能源汽车推广应用推荐车型目录》的纯电动环卫车。</w:t>
      </w:r>
    </w:p>
    <w:p>
      <w:pPr>
        <w:widowControl/>
        <w:ind w:firstLine="420" w:firstLineChars="20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snapToGrid w:val="0"/>
          <w:color w:val="000000" w:themeColor="text1"/>
          <w:kern w:val="0"/>
          <w:sz w:val="21"/>
          <w:szCs w:val="21"/>
          <w:highlight w:val="none"/>
          <w14:textFill>
            <w14:solidFill>
              <w14:schemeClr w14:val="tx1"/>
            </w14:solidFill>
          </w14:textFill>
        </w:rPr>
        <w:t>须按</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采购人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snapToGrid w:val="0"/>
          <w:color w:val="000000" w:themeColor="text1"/>
          <w:kern w:val="0"/>
          <w:sz w:val="21"/>
          <w:szCs w:val="21"/>
          <w:highlight w:val="none"/>
          <w14:textFill>
            <w14:solidFill>
              <w14:schemeClr w14:val="tx1"/>
            </w14:solidFill>
          </w14:textFill>
        </w:rPr>
        <w:t>要求提供足够数量</w:t>
      </w:r>
      <w:r>
        <w:rPr>
          <w:rFonts w:hint="eastAsia" w:ascii="宋体" w:hAnsi="宋体" w:cs="宋体"/>
          <w:snapToGrid w:val="0"/>
          <w:color w:val="000000" w:themeColor="text1"/>
          <w:kern w:val="0"/>
          <w:sz w:val="21"/>
          <w:szCs w:val="21"/>
          <w:highlight w:val="none"/>
          <w:lang w:eastAsia="zh-CN"/>
          <w14:textFill>
            <w14:solidFill>
              <w14:schemeClr w14:val="tx1"/>
            </w14:solidFill>
          </w14:textFill>
        </w:rPr>
        <w:t>的</w:t>
      </w:r>
      <w:r>
        <w:rPr>
          <w:rFonts w:hint="eastAsia" w:ascii="宋体" w:hAnsi="宋体" w:eastAsia="宋体" w:cs="宋体"/>
          <w:snapToGrid w:val="0"/>
          <w:color w:val="000000" w:themeColor="text1"/>
          <w:kern w:val="0"/>
          <w:sz w:val="21"/>
          <w:szCs w:val="21"/>
          <w:highlight w:val="none"/>
          <w14:textFill>
            <w14:solidFill>
              <w14:schemeClr w14:val="tx1"/>
            </w14:solidFill>
          </w14:textFill>
        </w:rPr>
        <w:t>垃圾桶，并按要求摆放到位。</w:t>
      </w:r>
    </w:p>
    <w:p>
      <w:pPr>
        <w:widowControl/>
        <w:ind w:firstLine="420" w:firstLineChars="20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（4）投标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snapToGrid w:val="0"/>
          <w:color w:val="000000" w:themeColor="text1"/>
          <w:kern w:val="0"/>
          <w:sz w:val="21"/>
          <w:szCs w:val="21"/>
          <w:highlight w:val="none"/>
          <w14:textFill>
            <w14:solidFill>
              <w14:schemeClr w14:val="tx1"/>
            </w14:solidFill>
          </w14:textFill>
        </w:rPr>
        <w:t>不具有或不完全具有前述规定的车辆与设备，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签订合同后</w:t>
      </w:r>
      <w:r>
        <w:rPr>
          <w:rFonts w:hint="eastAsia" w:ascii="宋体" w:hAnsi="宋体" w:eastAsia="宋体" w:cs="宋体"/>
          <w:snapToGrid w:val="0"/>
          <w:color w:val="000000" w:themeColor="text1"/>
          <w:kern w:val="0"/>
          <w:sz w:val="21"/>
          <w:szCs w:val="21"/>
          <w:highlight w:val="none"/>
          <w14:textFill>
            <w14:solidFill>
              <w14:schemeClr w14:val="tx1"/>
            </w14:solidFill>
          </w14:textFill>
        </w:rPr>
        <w:t>则必须提交由银行出具的不可撤销、不可变更的《环卫车辆与设备购置保函》，本包设备购置保函金额为本项目</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中标合同金额</w:t>
      </w:r>
      <w:r>
        <w:rPr>
          <w:rFonts w:hint="eastAsia" w:ascii="宋体" w:hAnsi="宋体" w:eastAsia="宋体" w:cs="宋体"/>
          <w:snapToGrid w:val="0"/>
          <w:color w:val="000000" w:themeColor="text1"/>
          <w:kern w:val="0"/>
          <w:sz w:val="21"/>
          <w:szCs w:val="21"/>
          <w:highlight w:val="none"/>
          <w14:textFill>
            <w14:solidFill>
              <w14:schemeClr w14:val="tx1"/>
            </w14:solidFill>
          </w14:textFill>
        </w:rPr>
        <w:t>的1%，担保期不得少于1年。</w:t>
      </w:r>
    </w:p>
    <w:p>
      <w:pPr>
        <w:widowControl/>
        <w:ind w:firstLine="420" w:firstLineChars="20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（5）中标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snapToGrid w:val="0"/>
          <w:color w:val="000000" w:themeColor="text1"/>
          <w:kern w:val="0"/>
          <w:sz w:val="21"/>
          <w:szCs w:val="21"/>
          <w:highlight w:val="none"/>
          <w14:textFill>
            <w14:solidFill>
              <w14:schemeClr w14:val="tx1"/>
            </w14:solidFill>
          </w14:textFill>
        </w:rPr>
        <w:t>应在收到《中标通知书》后</w:t>
      </w:r>
      <w:r>
        <w:rPr>
          <w:rFonts w:hint="eastAsia" w:ascii="宋体" w:hAnsi="宋体" w:eastAsia="宋体" w:cs="宋体"/>
          <w:snapToGrid w:val="0"/>
          <w:color w:val="000000" w:themeColor="text1"/>
          <w:kern w:val="0"/>
          <w:sz w:val="21"/>
          <w:szCs w:val="21"/>
          <w:highlight w:val="none"/>
          <w:u w:val="single"/>
          <w14:textFill>
            <w14:solidFill>
              <w14:schemeClr w14:val="tx1"/>
            </w14:solidFill>
          </w14:textFill>
        </w:rPr>
        <w:t xml:space="preserve"> 30</w:t>
      </w:r>
      <w:r>
        <w:rPr>
          <w:rFonts w:hint="eastAsia" w:ascii="宋体" w:hAnsi="宋体" w:eastAsia="宋体" w:cs="宋体"/>
          <w:snapToGrid w:val="0"/>
          <w:color w:val="000000" w:themeColor="text1"/>
          <w:kern w:val="0"/>
          <w:sz w:val="21"/>
          <w:szCs w:val="21"/>
          <w:highlight w:val="none"/>
          <w14:textFill>
            <w14:solidFill>
              <w14:schemeClr w14:val="tx1"/>
            </w14:solidFill>
          </w14:textFill>
        </w:rPr>
        <w:t>日内完内完成车辆与设备不足部分的购置工作，并向采购</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snapToGrid w:val="0"/>
          <w:color w:val="000000" w:themeColor="text1"/>
          <w:kern w:val="0"/>
          <w:sz w:val="21"/>
          <w:szCs w:val="21"/>
          <w:highlight w:val="none"/>
          <w14:textFill>
            <w14:solidFill>
              <w14:schemeClr w14:val="tx1"/>
            </w14:solidFill>
          </w14:textFill>
        </w:rPr>
        <w:t>提供全部购置发票、车辆行驶证（含副本）、专业检测机构出具的车辆与设备检验合格证明等材料，达到前述规定的全部要求；如中标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snapToGrid w:val="0"/>
          <w:color w:val="000000" w:themeColor="text1"/>
          <w:kern w:val="0"/>
          <w:sz w:val="21"/>
          <w:szCs w:val="21"/>
          <w:highlight w:val="none"/>
          <w14:textFill>
            <w14:solidFill>
              <w14:schemeClr w14:val="tx1"/>
            </w14:solidFill>
          </w14:textFill>
        </w:rPr>
        <w:t>在规定的期限内未完成购置工作的，采购</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snapToGrid w:val="0"/>
          <w:color w:val="000000" w:themeColor="text1"/>
          <w:kern w:val="0"/>
          <w:sz w:val="21"/>
          <w:szCs w:val="21"/>
          <w:highlight w:val="none"/>
          <w14:textFill>
            <w14:solidFill>
              <w14:schemeClr w14:val="tx1"/>
            </w14:solidFill>
          </w14:textFill>
        </w:rPr>
        <w:t>可直接要求担保银行按《设备购置保函》约定划转款项，由采购</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snapToGrid w:val="0"/>
          <w:color w:val="000000" w:themeColor="text1"/>
          <w:kern w:val="0"/>
          <w:sz w:val="21"/>
          <w:szCs w:val="21"/>
          <w:highlight w:val="none"/>
          <w14:textFill>
            <w14:solidFill>
              <w14:schemeClr w14:val="tx1"/>
            </w14:solidFill>
          </w14:textFill>
        </w:rPr>
        <w:t>径行代为购置，中标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snapToGrid w:val="0"/>
          <w:color w:val="000000" w:themeColor="text1"/>
          <w:kern w:val="0"/>
          <w:sz w:val="21"/>
          <w:szCs w:val="21"/>
          <w:highlight w:val="none"/>
          <w14:textFill>
            <w14:solidFill>
              <w14:schemeClr w14:val="tx1"/>
            </w14:solidFill>
          </w14:textFill>
        </w:rPr>
        <w:t>配合办理必要的手续（款项不足部分从应付给中标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snapToGrid w:val="0"/>
          <w:color w:val="000000" w:themeColor="text1"/>
          <w:kern w:val="0"/>
          <w:sz w:val="21"/>
          <w:szCs w:val="21"/>
          <w:highlight w:val="none"/>
          <w14:textFill>
            <w14:solidFill>
              <w14:schemeClr w14:val="tx1"/>
            </w14:solidFill>
          </w14:textFill>
        </w:rPr>
        <w:t>的垃圾清运服务费中逐月扣取，每月扣取的款额不超过当月应付垃圾清运服务费的</w:t>
      </w:r>
      <w:r>
        <w:rPr>
          <w:rFonts w:hint="eastAsia" w:ascii="宋体" w:hAnsi="宋体" w:eastAsia="宋体" w:cs="宋体"/>
          <w:snapToGrid w:val="0"/>
          <w:color w:val="000000" w:themeColor="text1"/>
          <w:kern w:val="0"/>
          <w:sz w:val="21"/>
          <w:szCs w:val="21"/>
          <w:highlight w:val="none"/>
          <w:u w:val="single"/>
          <w14:textFill>
            <w14:solidFill>
              <w14:schemeClr w14:val="tx1"/>
            </w14:solidFill>
          </w14:textFill>
        </w:rPr>
        <w:t xml:space="preserve"> 5 </w:t>
      </w:r>
      <w:r>
        <w:rPr>
          <w:rFonts w:hint="eastAsia" w:ascii="宋体" w:hAnsi="宋体" w:eastAsia="宋体" w:cs="宋体"/>
          <w:snapToGrid w:val="0"/>
          <w:color w:val="000000" w:themeColor="text1"/>
          <w:kern w:val="0"/>
          <w:sz w:val="21"/>
          <w:szCs w:val="21"/>
          <w:highlight w:val="none"/>
          <w14:textFill>
            <w14:solidFill>
              <w14:schemeClr w14:val="tx1"/>
            </w14:solidFill>
          </w14:textFill>
        </w:rPr>
        <w:t>%）。如中标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snapToGrid w:val="0"/>
          <w:color w:val="000000" w:themeColor="text1"/>
          <w:kern w:val="0"/>
          <w:sz w:val="21"/>
          <w:szCs w:val="21"/>
          <w:highlight w:val="none"/>
          <w14:textFill>
            <w14:solidFill>
              <w14:schemeClr w14:val="tx1"/>
            </w14:solidFill>
          </w14:textFill>
        </w:rPr>
        <w:t>拒绝配合办理必要的手续，视为中标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snapToGrid w:val="0"/>
          <w:color w:val="000000" w:themeColor="text1"/>
          <w:kern w:val="0"/>
          <w:sz w:val="21"/>
          <w:szCs w:val="21"/>
          <w:highlight w:val="none"/>
          <w14:textFill>
            <w14:solidFill>
              <w14:schemeClr w14:val="tx1"/>
            </w14:solidFill>
          </w14:textFill>
        </w:rPr>
        <w:t>拒绝履行本合同，采购</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snapToGrid w:val="0"/>
          <w:color w:val="000000" w:themeColor="text1"/>
          <w:kern w:val="0"/>
          <w:sz w:val="21"/>
          <w:szCs w:val="21"/>
          <w:highlight w:val="none"/>
          <w14:textFill>
            <w14:solidFill>
              <w14:schemeClr w14:val="tx1"/>
            </w14:solidFill>
          </w14:textFill>
        </w:rPr>
        <w:t>有权解除合同，履约保证金不予退还。</w:t>
      </w:r>
    </w:p>
    <w:p>
      <w:pPr>
        <w:widowControl/>
        <w:ind w:firstLine="420" w:firstLineChars="20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（6）垃圾收集桶最长使用</w:t>
      </w:r>
      <w:r>
        <w:rPr>
          <w:rFonts w:hint="eastAsia" w:ascii="宋体" w:hAnsi="宋体" w:eastAsia="宋体" w:cs="宋体"/>
          <w:snapToGrid w:val="0"/>
          <w:color w:val="000000" w:themeColor="text1"/>
          <w:kern w:val="0"/>
          <w:sz w:val="21"/>
          <w:szCs w:val="21"/>
          <w:highlight w:val="none"/>
          <w:u w:val="single"/>
          <w14:textFill>
            <w14:solidFill>
              <w14:schemeClr w14:val="tx1"/>
            </w14:solidFill>
          </w14:textFill>
        </w:rPr>
        <w:t xml:space="preserve"> 18 </w:t>
      </w:r>
      <w:r>
        <w:rPr>
          <w:rFonts w:hint="eastAsia" w:ascii="宋体" w:hAnsi="宋体" w:eastAsia="宋体" w:cs="宋体"/>
          <w:snapToGrid w:val="0"/>
          <w:color w:val="000000" w:themeColor="text1"/>
          <w:kern w:val="0"/>
          <w:sz w:val="21"/>
          <w:szCs w:val="21"/>
          <w:highlight w:val="none"/>
          <w14:textFill>
            <w14:solidFill>
              <w14:schemeClr w14:val="tx1"/>
            </w14:solidFill>
          </w14:textFill>
        </w:rPr>
        <w:t>个月，达到</w:t>
      </w:r>
      <w:r>
        <w:rPr>
          <w:rFonts w:hint="eastAsia" w:ascii="宋体" w:hAnsi="宋体" w:eastAsia="宋体" w:cs="宋体"/>
          <w:snapToGrid w:val="0"/>
          <w:color w:val="000000" w:themeColor="text1"/>
          <w:kern w:val="0"/>
          <w:sz w:val="21"/>
          <w:szCs w:val="21"/>
          <w:highlight w:val="none"/>
          <w:u w:val="single"/>
          <w14:textFill>
            <w14:solidFill>
              <w14:schemeClr w14:val="tx1"/>
            </w14:solidFill>
          </w14:textFill>
        </w:rPr>
        <w:t xml:space="preserve"> 18 </w:t>
      </w:r>
      <w:r>
        <w:rPr>
          <w:rFonts w:hint="eastAsia" w:ascii="宋体" w:hAnsi="宋体" w:eastAsia="宋体" w:cs="宋体"/>
          <w:snapToGrid w:val="0"/>
          <w:color w:val="000000" w:themeColor="text1"/>
          <w:kern w:val="0"/>
          <w:sz w:val="21"/>
          <w:szCs w:val="21"/>
          <w:highlight w:val="none"/>
          <w14:textFill>
            <w14:solidFill>
              <w14:schemeClr w14:val="tx1"/>
            </w14:solidFill>
          </w14:textFill>
        </w:rPr>
        <w:t>个月则必须更换新桶，此外，在使用期间，采购</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snapToGrid w:val="0"/>
          <w:color w:val="000000" w:themeColor="text1"/>
          <w:kern w:val="0"/>
          <w:sz w:val="21"/>
          <w:szCs w:val="21"/>
          <w:highlight w:val="none"/>
          <w14:textFill>
            <w14:solidFill>
              <w14:schemeClr w14:val="tx1"/>
            </w14:solidFill>
          </w14:textFill>
        </w:rPr>
        <w:t>及采购</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snapToGrid w:val="0"/>
          <w:color w:val="000000" w:themeColor="text1"/>
          <w:kern w:val="0"/>
          <w:sz w:val="21"/>
          <w:szCs w:val="21"/>
          <w:highlight w:val="none"/>
          <w14:textFill>
            <w14:solidFill>
              <w14:schemeClr w14:val="tx1"/>
            </w14:solidFill>
          </w14:textFill>
        </w:rPr>
        <w:t>指定的监管单位认定为残缺破损的垃圾收集桶必须立即更换，并根据桶身磨损情况及时翻新。</w:t>
      </w:r>
    </w:p>
    <w:p>
      <w:pPr>
        <w:widowControl/>
        <w:ind w:firstLine="420" w:firstLineChars="20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（7）中标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snapToGrid w:val="0"/>
          <w:color w:val="000000" w:themeColor="text1"/>
          <w:kern w:val="0"/>
          <w:sz w:val="21"/>
          <w:szCs w:val="21"/>
          <w:highlight w:val="none"/>
          <w14:textFill>
            <w14:solidFill>
              <w14:schemeClr w14:val="tx1"/>
            </w14:solidFill>
          </w14:textFill>
        </w:rPr>
        <w:t>完成全部车辆与设备购置及安装调试工作并经采购</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snapToGrid w:val="0"/>
          <w:color w:val="000000" w:themeColor="text1"/>
          <w:kern w:val="0"/>
          <w:sz w:val="21"/>
          <w:szCs w:val="21"/>
          <w:highlight w:val="none"/>
          <w14:textFill>
            <w14:solidFill>
              <w14:schemeClr w14:val="tx1"/>
            </w14:solidFill>
          </w14:textFill>
        </w:rPr>
        <w:t>验收后，采购</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snapToGrid w:val="0"/>
          <w:color w:val="000000" w:themeColor="text1"/>
          <w:kern w:val="0"/>
          <w:sz w:val="21"/>
          <w:szCs w:val="21"/>
          <w:highlight w:val="none"/>
          <w14:textFill>
            <w14:solidFill>
              <w14:schemeClr w14:val="tx1"/>
            </w14:solidFill>
          </w14:textFill>
        </w:rPr>
        <w:t>将《设备购置保函》退还给中标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snapToGrid w:val="0"/>
          <w:color w:val="000000" w:themeColor="text1"/>
          <w:kern w:val="0"/>
          <w:sz w:val="21"/>
          <w:szCs w:val="21"/>
          <w:highlight w:val="none"/>
          <w14:textFill>
            <w14:solidFill>
              <w14:schemeClr w14:val="tx1"/>
            </w14:solidFill>
          </w14:textFill>
        </w:rPr>
        <w:t>。</w:t>
      </w:r>
    </w:p>
    <w:p>
      <w:pPr>
        <w:widowControl/>
        <w:ind w:firstLine="420" w:firstLineChars="20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（8）在合同履行期间，如因本包服务范围内新建垃圾转运站或因垃圾收运实际需要，采购</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snapToGrid w:val="0"/>
          <w:color w:val="000000" w:themeColor="text1"/>
          <w:kern w:val="0"/>
          <w:sz w:val="21"/>
          <w:szCs w:val="21"/>
          <w:highlight w:val="none"/>
          <w14:textFill>
            <w14:solidFill>
              <w14:schemeClr w14:val="tx1"/>
            </w14:solidFill>
          </w14:textFill>
        </w:rPr>
        <w:t>要求中标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snapToGrid w:val="0"/>
          <w:color w:val="000000" w:themeColor="text1"/>
          <w:kern w:val="0"/>
          <w:sz w:val="21"/>
          <w:szCs w:val="21"/>
          <w:highlight w:val="none"/>
          <w14:textFill>
            <w14:solidFill>
              <w14:schemeClr w14:val="tx1"/>
            </w14:solidFill>
          </w14:textFill>
        </w:rPr>
        <w:t>增加管理人员和配置垃圾收集桶的，中标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snapToGrid w:val="0"/>
          <w:color w:val="000000" w:themeColor="text1"/>
          <w:kern w:val="0"/>
          <w:sz w:val="21"/>
          <w:szCs w:val="21"/>
          <w:highlight w:val="none"/>
          <w14:textFill>
            <w14:solidFill>
              <w14:schemeClr w14:val="tx1"/>
            </w14:solidFill>
          </w14:textFill>
        </w:rPr>
        <w:t>必须无条件按照采购</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snapToGrid w:val="0"/>
          <w:color w:val="000000" w:themeColor="text1"/>
          <w:kern w:val="0"/>
          <w:sz w:val="21"/>
          <w:szCs w:val="21"/>
          <w:highlight w:val="none"/>
          <w14:textFill>
            <w14:solidFill>
              <w14:schemeClr w14:val="tx1"/>
            </w14:solidFill>
          </w14:textFill>
        </w:rPr>
        <w:t>的要求增加管理人员和配置垃圾收集桶并摆放到位。采购</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snapToGrid w:val="0"/>
          <w:color w:val="000000" w:themeColor="text1"/>
          <w:kern w:val="0"/>
          <w:sz w:val="21"/>
          <w:szCs w:val="21"/>
          <w:highlight w:val="none"/>
          <w14:textFill>
            <w14:solidFill>
              <w14:schemeClr w14:val="tx1"/>
            </w14:solidFill>
          </w14:textFill>
        </w:rPr>
        <w:t>不再支付费用。</w:t>
      </w:r>
    </w:p>
    <w:p>
      <w:pPr>
        <w:widowControl/>
        <w:ind w:firstLine="420" w:firstLineChars="200"/>
        <w:jc w:val="lef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（9）</w:t>
      </w:r>
      <w:r>
        <w:rPr>
          <w:rFonts w:hint="eastAsia" w:ascii="宋体" w:hAnsi="宋体" w:eastAsia="宋体" w:cs="宋体"/>
          <w:bCs/>
          <w:color w:val="000000" w:themeColor="text1"/>
          <w:sz w:val="21"/>
          <w:szCs w:val="21"/>
          <w:highlight w:val="none"/>
          <w14:textFill>
            <w14:solidFill>
              <w14:schemeClr w14:val="tx1"/>
            </w14:solidFill>
          </w14:textFill>
        </w:rPr>
        <w:t>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bCs/>
          <w:color w:val="000000" w:themeColor="text1"/>
          <w:sz w:val="21"/>
          <w:szCs w:val="21"/>
          <w:highlight w:val="none"/>
          <w14:textFill>
            <w14:solidFill>
              <w14:schemeClr w14:val="tx1"/>
            </w14:solidFill>
          </w14:textFill>
        </w:rPr>
        <w:t>未经书面同意不得在标段服务范围以外使用本标段的配套设施设备。</w:t>
      </w:r>
    </w:p>
    <w:p>
      <w:pPr>
        <w:widowControl/>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（二）其他要求</w:t>
      </w:r>
    </w:p>
    <w:p>
      <w:pPr>
        <w:widowControl/>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应在合同签订后</w:t>
      </w:r>
      <w:r>
        <w:rPr>
          <w:rFonts w:hint="eastAsia" w:ascii="宋体" w:hAnsi="宋体" w:eastAsia="宋体" w:cs="宋体"/>
          <w:color w:val="000000" w:themeColor="text1"/>
          <w:kern w:val="0"/>
          <w:sz w:val="21"/>
          <w:szCs w:val="21"/>
          <w:highlight w:val="none"/>
          <w:u w:val="single"/>
          <w14:textFill>
            <w14:solidFill>
              <w14:schemeClr w14:val="tx1"/>
            </w14:solidFill>
          </w14:textFill>
        </w:rPr>
        <w:t xml:space="preserve"> 2 </w:t>
      </w:r>
      <w:r>
        <w:rPr>
          <w:rFonts w:hint="eastAsia" w:ascii="宋体" w:hAnsi="宋体" w:eastAsia="宋体" w:cs="宋体"/>
          <w:color w:val="000000" w:themeColor="text1"/>
          <w:kern w:val="0"/>
          <w:sz w:val="21"/>
          <w:szCs w:val="21"/>
          <w:highlight w:val="none"/>
          <w14:textFill>
            <w14:solidFill>
              <w14:schemeClr w14:val="tx1"/>
            </w14:solidFill>
          </w14:textFill>
        </w:rPr>
        <w:t>个月内，将与履行本招标项目规定的中标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义务有关的全部车辆设备完成</w:t>
      </w:r>
      <w:r>
        <w:rPr>
          <w:rFonts w:hint="eastAsia" w:ascii="宋体" w:hAnsi="宋体"/>
          <w:color w:val="000000" w:themeColor="text1"/>
          <w:szCs w:val="21"/>
          <w:highlight w:val="none"/>
          <w14:textFill>
            <w14:solidFill>
              <w14:schemeClr w14:val="tx1"/>
            </w14:solidFill>
          </w14:textFill>
        </w:rPr>
        <w:t xml:space="preserve"> 360 度全景景像监控设备、智能辅助安全制动系统、监控盲区报警装置、定位设备和智能视频监控报警系统终端</w:t>
      </w:r>
      <w:r>
        <w:rPr>
          <w:rFonts w:hint="eastAsia" w:ascii="宋体" w:hAnsi="宋体" w:eastAsia="宋体" w:cs="宋体"/>
          <w:color w:val="000000" w:themeColor="text1"/>
          <w:kern w:val="0"/>
          <w:sz w:val="21"/>
          <w:szCs w:val="21"/>
          <w:highlight w:val="none"/>
          <w14:textFill>
            <w14:solidFill>
              <w14:schemeClr w14:val="tx1"/>
            </w14:solidFill>
          </w14:textFill>
        </w:rPr>
        <w:t>安装；合同履行期间新增、更换的车辆设备应在投入使用时即时完成</w:t>
      </w:r>
      <w:r>
        <w:rPr>
          <w:rFonts w:hint="eastAsia" w:ascii="宋体" w:hAnsi="宋体"/>
          <w:color w:val="000000" w:themeColor="text1"/>
          <w:szCs w:val="21"/>
          <w:highlight w:val="none"/>
          <w14:textFill>
            <w14:solidFill>
              <w14:schemeClr w14:val="tx1"/>
            </w14:solidFill>
          </w14:textFill>
        </w:rPr>
        <w:t xml:space="preserve"> 360 度全景景像监控设备、智能辅助安全制动系统、监控盲区报警装置、定位设备和智能视频监控报警系统终端</w:t>
      </w:r>
      <w:r>
        <w:rPr>
          <w:rFonts w:hint="eastAsia" w:ascii="宋体" w:hAnsi="宋体" w:eastAsia="宋体" w:cs="宋体"/>
          <w:color w:val="000000" w:themeColor="text1"/>
          <w:kern w:val="0"/>
          <w:sz w:val="21"/>
          <w:szCs w:val="21"/>
          <w:highlight w:val="none"/>
          <w14:textFill>
            <w14:solidFill>
              <w14:schemeClr w14:val="tx1"/>
            </w14:solidFill>
          </w14:textFill>
        </w:rPr>
        <w:t>的安装。中标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安装的</w:t>
      </w:r>
      <w:r>
        <w:rPr>
          <w:rFonts w:hint="eastAsia" w:ascii="宋体" w:hAnsi="宋体"/>
          <w:color w:val="000000" w:themeColor="text1"/>
          <w:szCs w:val="21"/>
          <w:highlight w:val="none"/>
          <w14:textFill>
            <w14:solidFill>
              <w14:schemeClr w14:val="tx1"/>
            </w14:solidFill>
          </w14:textFill>
        </w:rPr>
        <w:t xml:space="preserve"> 360 度全景景像监控设备、智能辅助安全制动系统、监控盲区报警装置、定位设备和智能视频监控报警系统终端</w:t>
      </w:r>
      <w:r>
        <w:rPr>
          <w:rFonts w:hint="eastAsia" w:ascii="宋体" w:hAnsi="宋体" w:eastAsia="宋体" w:cs="宋体"/>
          <w:color w:val="000000" w:themeColor="text1"/>
          <w:kern w:val="0"/>
          <w:sz w:val="21"/>
          <w:szCs w:val="21"/>
          <w:highlight w:val="none"/>
          <w14:textFill>
            <w14:solidFill>
              <w14:schemeClr w14:val="tx1"/>
            </w14:solidFill>
          </w14:textFill>
        </w:rPr>
        <w:t>应全部接入采购</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color w:val="000000" w:themeColor="text1"/>
          <w:kern w:val="0"/>
          <w:sz w:val="21"/>
          <w:szCs w:val="21"/>
          <w:highlight w:val="none"/>
          <w14:textFill>
            <w14:solidFill>
              <w14:schemeClr w14:val="tx1"/>
            </w14:solidFill>
          </w14:textFill>
        </w:rPr>
        <w:t>的管理平台，并确保在合同履行期间运行正常。</w:t>
      </w:r>
      <w:r>
        <w:rPr>
          <w:rFonts w:hint="eastAsia" w:ascii="宋体" w:hAnsi="宋体"/>
          <w:color w:val="000000" w:themeColor="text1"/>
          <w:szCs w:val="21"/>
          <w:highlight w:val="none"/>
          <w14:textFill>
            <w14:solidFill>
              <w14:schemeClr w14:val="tx1"/>
            </w14:solidFill>
          </w14:textFill>
        </w:rPr>
        <w:t xml:space="preserve"> 360 度全景景像监控设备、智能辅助安全制动系统、监控盲区报警装置、定位设备和智能视频监控报警系统终端</w:t>
      </w:r>
      <w:r>
        <w:rPr>
          <w:rFonts w:hint="eastAsia" w:ascii="宋体" w:hAnsi="宋体" w:eastAsia="宋体" w:cs="宋体"/>
          <w:color w:val="000000" w:themeColor="text1"/>
          <w:kern w:val="0"/>
          <w:sz w:val="21"/>
          <w:szCs w:val="21"/>
          <w:highlight w:val="none"/>
          <w14:textFill>
            <w14:solidFill>
              <w14:schemeClr w14:val="tx1"/>
            </w14:solidFill>
          </w14:textFill>
        </w:rPr>
        <w:t>安装及服务费用由中标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自行承担。</w:t>
      </w:r>
    </w:p>
    <w:p>
      <w:pPr>
        <w:widowControl/>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应在合同签订后</w:t>
      </w:r>
      <w:r>
        <w:rPr>
          <w:rFonts w:hint="eastAsia" w:ascii="宋体" w:hAnsi="宋体" w:eastAsia="宋体" w:cs="宋体"/>
          <w:color w:val="000000" w:themeColor="text1"/>
          <w:kern w:val="0"/>
          <w:sz w:val="21"/>
          <w:szCs w:val="21"/>
          <w:highlight w:val="none"/>
          <w:u w:val="single"/>
          <w14:textFill>
            <w14:solidFill>
              <w14:schemeClr w14:val="tx1"/>
            </w14:solidFill>
          </w14:textFill>
        </w:rPr>
        <w:t xml:space="preserve"> 2 </w:t>
      </w:r>
      <w:r>
        <w:rPr>
          <w:rFonts w:hint="eastAsia" w:ascii="宋体" w:hAnsi="宋体" w:eastAsia="宋体" w:cs="宋体"/>
          <w:color w:val="000000" w:themeColor="text1"/>
          <w:kern w:val="0"/>
          <w:sz w:val="21"/>
          <w:szCs w:val="21"/>
          <w:highlight w:val="none"/>
          <w14:textFill>
            <w14:solidFill>
              <w14:schemeClr w14:val="tx1"/>
            </w14:solidFill>
          </w14:textFill>
        </w:rPr>
        <w:t>个月内，将与履行本招标项目规定的中标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义务有关的全部车辆按</w:t>
      </w:r>
      <w:r>
        <w:rPr>
          <w:rFonts w:hint="eastAsia" w:ascii="宋体" w:hAnsi="宋体" w:cs="宋体"/>
          <w:color w:val="000000" w:themeColor="text1"/>
          <w:kern w:val="0"/>
          <w:sz w:val="21"/>
          <w:szCs w:val="21"/>
          <w:highlight w:val="none"/>
          <w:lang w:eastAsia="zh-CN"/>
          <w14:textFill>
            <w14:solidFill>
              <w14:schemeClr w14:val="tx1"/>
            </w14:solidFill>
          </w14:textFill>
        </w:rPr>
        <w:t>采购人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color w:val="000000" w:themeColor="text1"/>
          <w:kern w:val="0"/>
          <w:sz w:val="21"/>
          <w:szCs w:val="21"/>
          <w:highlight w:val="none"/>
          <w14:textFill>
            <w14:solidFill>
              <w14:schemeClr w14:val="tx1"/>
            </w14:solidFill>
          </w14:textFill>
        </w:rPr>
        <w:t>的要求统一喷绘环卫车辆标识；合同履行期间新增、更换的车辆应在投入使用时即时完成标识的喷绘。喷绘费用由中标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自行承担。</w:t>
      </w:r>
    </w:p>
    <w:p>
      <w:pPr>
        <w:widowControl/>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（3）未经采购</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color w:val="000000" w:themeColor="text1"/>
          <w:kern w:val="0"/>
          <w:sz w:val="21"/>
          <w:szCs w:val="21"/>
          <w:highlight w:val="none"/>
          <w14:textFill>
            <w14:solidFill>
              <w14:schemeClr w14:val="tx1"/>
            </w14:solidFill>
          </w14:textFill>
        </w:rPr>
        <w:t>书面同意，前述所有车辆与设备不得超出</w:t>
      </w:r>
      <w:r>
        <w:rPr>
          <w:rFonts w:hint="eastAsia" w:ascii="宋体" w:hAnsi="宋体" w:eastAsia="宋体" w:cs="宋体"/>
          <w:color w:val="000000" w:themeColor="text1"/>
          <w:kern w:val="0"/>
          <w:sz w:val="21"/>
          <w:szCs w:val="21"/>
          <w:highlight w:val="none"/>
          <w:u w:val="single"/>
          <w14:textFill>
            <w14:solidFill>
              <w14:schemeClr w14:val="tx1"/>
            </w14:solidFill>
          </w14:textFill>
        </w:rPr>
        <w:t>盐田</w:t>
      </w:r>
      <w:r>
        <w:rPr>
          <w:rFonts w:hint="eastAsia" w:ascii="宋体" w:hAnsi="宋体" w:eastAsia="宋体" w:cs="宋体"/>
          <w:color w:val="000000" w:themeColor="text1"/>
          <w:kern w:val="0"/>
          <w:sz w:val="21"/>
          <w:szCs w:val="21"/>
          <w:highlight w:val="none"/>
          <w14:textFill>
            <w14:solidFill>
              <w14:schemeClr w14:val="tx1"/>
            </w14:solidFill>
          </w14:textFill>
        </w:rPr>
        <w:t>区范围作业。</w:t>
      </w:r>
    </w:p>
    <w:p>
      <w:pPr>
        <w:widowControl/>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（4）未经采购</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color w:val="000000" w:themeColor="text1"/>
          <w:kern w:val="0"/>
          <w:sz w:val="21"/>
          <w:szCs w:val="21"/>
          <w:highlight w:val="none"/>
          <w14:textFill>
            <w14:solidFill>
              <w14:schemeClr w14:val="tx1"/>
            </w14:solidFill>
          </w14:textFill>
        </w:rPr>
        <w:t>书面同意，中标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不得在前述所有车辆与设备上喷绘、张贴广告或其他宣传品。</w:t>
      </w:r>
    </w:p>
    <w:p>
      <w:pPr>
        <w:widowControl/>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 xml:space="preserve">配备的清扫清运设备应满足实际需要，并能够自由调配，并预留应急车辆和环卫设备，以保障本项目环卫冲洗作业、垃圾清运以及应急作业需要。 </w:t>
      </w:r>
    </w:p>
    <w:p>
      <w:pPr>
        <w:widowControl/>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 xml:space="preserve">需配备本项目要求最低数量以上的同种车辆和设备以及认为需要投入的其它车辆和设备。若因应急、 迎检、公共活动、突发事故、设备维修、车辆报废、政策（标准）变化和其它不可抗力等原因导致原有设备不足以保质保量的完成作业任务时，应按实际需求、无条件的自行调配增加性能良好的作业设备。 </w:t>
      </w:r>
    </w:p>
    <w:p>
      <w:pPr>
        <w:widowControl/>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w:t>
      </w:r>
      <w:r>
        <w:rPr>
          <w:rFonts w:hint="eastAsia" w:ascii="宋体" w:hAnsi="宋体" w:eastAsia="宋体" w:cs="宋体"/>
          <w:color w:val="000000" w:themeColor="text1"/>
          <w:kern w:val="0"/>
          <w:sz w:val="21"/>
          <w:szCs w:val="21"/>
          <w:highlight w:val="none"/>
          <w:lang w:eastAsia="zh-CN"/>
          <w14:textFill>
            <w14:solidFill>
              <w14:schemeClr w14:val="tx1"/>
            </w14:solidFill>
          </w14:textFill>
        </w:rPr>
        <w:t>中标人可以通过购买或租赁形式配置</w:t>
      </w:r>
      <w:r>
        <w:rPr>
          <w:rFonts w:hint="eastAsia" w:ascii="宋体" w:hAnsi="宋体" w:eastAsia="宋体" w:cs="宋体"/>
          <w:color w:val="000000" w:themeColor="text1"/>
          <w:kern w:val="0"/>
          <w:sz w:val="21"/>
          <w:szCs w:val="21"/>
          <w:highlight w:val="none"/>
          <w14:textFill>
            <w14:solidFill>
              <w14:schemeClr w14:val="tx1"/>
            </w14:solidFill>
          </w14:textFill>
        </w:rPr>
        <w:t>环卫机器人</w:t>
      </w:r>
      <w:r>
        <w:rPr>
          <w:rFonts w:hint="eastAsia" w:ascii="宋体" w:hAnsi="宋体" w:eastAsia="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若市、区</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主管</w:t>
      </w:r>
      <w:r>
        <w:rPr>
          <w:rFonts w:hint="eastAsia" w:ascii="宋体" w:hAnsi="宋体" w:eastAsia="宋体" w:cs="宋体"/>
          <w:color w:val="000000" w:themeColor="text1"/>
          <w:kern w:val="0"/>
          <w:sz w:val="21"/>
          <w:szCs w:val="21"/>
          <w:highlight w:val="none"/>
          <w14:textFill>
            <w14:solidFill>
              <w14:schemeClr w14:val="tx1"/>
            </w14:solidFill>
          </w14:textFill>
        </w:rPr>
        <w:t>部门下达人工智能环卫机械设备任务要求，中标人需按采购人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color w:val="000000" w:themeColor="text1"/>
          <w:kern w:val="0"/>
          <w:sz w:val="21"/>
          <w:szCs w:val="21"/>
          <w:highlight w:val="none"/>
          <w14:textFill>
            <w14:solidFill>
              <w14:schemeClr w14:val="tx1"/>
            </w14:solidFill>
          </w14:textFill>
        </w:rPr>
        <w:t>要求调整配置，相关机械设备购置费用由中标人承担，</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投标人</w:t>
      </w:r>
      <w:r>
        <w:rPr>
          <w:rFonts w:hint="eastAsia" w:ascii="宋体" w:hAnsi="宋体" w:eastAsia="宋体" w:cs="宋体"/>
          <w:color w:val="000000" w:themeColor="text1"/>
          <w:kern w:val="0"/>
          <w:sz w:val="21"/>
          <w:szCs w:val="21"/>
          <w:highlight w:val="none"/>
          <w14:textFill>
            <w14:solidFill>
              <w14:schemeClr w14:val="tx1"/>
            </w14:solidFill>
          </w14:textFill>
        </w:rPr>
        <w:t>在投标报价时应当知晓并适当考虑。</w:t>
      </w:r>
    </w:p>
    <w:p>
      <w:pPr>
        <w:adjustRightInd w:val="0"/>
        <w:snapToGrid w:val="0"/>
        <w:spacing w:line="360" w:lineRule="exact"/>
        <w:ind w:firstLine="420" w:firstLineChars="200"/>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cs="宋体"/>
          <w:color w:val="000000" w:themeColor="text1"/>
          <w:kern w:val="0"/>
          <w:sz w:val="21"/>
          <w:szCs w:val="21"/>
          <w:highlight w:val="none"/>
          <w:lang w:val="en-US" w:eastAsia="zh-CN"/>
          <w14:textFill>
            <w14:solidFill>
              <w14:schemeClr w14:val="tx1"/>
            </w14:solidFill>
          </w14:textFill>
        </w:rPr>
        <w:t>8</w:t>
      </w: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合同期内，</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中标人需</w:t>
      </w:r>
      <w:r>
        <w:rPr>
          <w:rFonts w:hint="eastAsia" w:ascii="宋体" w:hAnsi="宋体" w:eastAsia="宋体" w:cs="宋体"/>
          <w:color w:val="000000" w:themeColor="text1"/>
          <w:kern w:val="0"/>
          <w:sz w:val="21"/>
          <w:szCs w:val="21"/>
          <w:highlight w:val="none"/>
          <w14:textFill>
            <w14:solidFill>
              <w14:schemeClr w14:val="tx1"/>
            </w14:solidFill>
          </w14:textFill>
        </w:rPr>
        <w:t>根据</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上级管理部门或采购人</w:t>
      </w:r>
      <w:r>
        <w:rPr>
          <w:rFonts w:hint="eastAsia" w:ascii="宋体" w:hAnsi="宋体" w:eastAsia="宋体" w:cs="宋体"/>
          <w:color w:val="000000" w:themeColor="text1"/>
          <w:kern w:val="0"/>
          <w:sz w:val="21"/>
          <w:szCs w:val="21"/>
          <w:highlight w:val="none"/>
          <w:lang w:eastAsia="zh-CN"/>
          <w14:textFill>
            <w14:solidFill>
              <w14:schemeClr w14:val="tx1"/>
            </w14:solidFill>
          </w14:textFill>
        </w:rPr>
        <w:t>或采购人</w:t>
      </w:r>
      <w:r>
        <w:rPr>
          <w:rFonts w:hint="eastAsia" w:ascii="宋体" w:hAnsi="宋体" w:eastAsia="宋体" w:cs="宋体"/>
          <w:color w:val="000000" w:themeColor="text1"/>
          <w:kern w:val="0"/>
          <w:sz w:val="21"/>
          <w:szCs w:val="21"/>
          <w:highlight w:val="none"/>
          <w14:textFill>
            <w14:solidFill>
              <w14:schemeClr w14:val="tx1"/>
            </w14:solidFill>
          </w14:textFill>
        </w:rPr>
        <w:t>指定的监管单位要求安装其他设施设备，产生的费用由</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kern w:val="0"/>
          <w:sz w:val="21"/>
          <w:szCs w:val="21"/>
          <w:highlight w:val="none"/>
          <w14:textFill>
            <w14:solidFill>
              <w14:schemeClr w14:val="tx1"/>
            </w14:solidFill>
          </w14:textFill>
        </w:rPr>
        <w:t>承担</w:t>
      </w:r>
      <w:r>
        <w:rPr>
          <w:rFonts w:hint="eastAsia" w:ascii="宋体" w:hAnsi="宋体" w:eastAsia="宋体" w:cs="宋体"/>
          <w:color w:val="000000" w:themeColor="text1"/>
          <w:kern w:val="0"/>
          <w:sz w:val="21"/>
          <w:szCs w:val="21"/>
          <w:highlight w:val="none"/>
          <w:lang w:eastAsia="zh-CN"/>
          <w14:textFill>
            <w14:solidFill>
              <w14:schemeClr w14:val="tx1"/>
            </w14:solidFill>
          </w14:textFill>
        </w:rPr>
        <w:t>，包括但不限于在旅游旺季期间，在人流量密集区域增设投放</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大容量的双分类收集容器（果皮箱），内设单桶容积≥120L垃圾桶，外部带铁皮或不锈钢罩。</w:t>
      </w:r>
    </w:p>
    <w:p>
      <w:pPr>
        <w:pStyle w:val="5"/>
        <w:spacing w:before="120" w:beforeLines="50" w:after="120" w:afterLines="50"/>
        <w:jc w:val="center"/>
        <w:rPr>
          <w:rFonts w:hint="eastAsia" w:cs="Times New Roman"/>
          <w:color w:val="000000" w:themeColor="text1"/>
          <w:szCs w:val="24"/>
          <w:highlight w:val="none"/>
          <w14:textFill>
            <w14:solidFill>
              <w14:schemeClr w14:val="tx1"/>
            </w14:solidFill>
          </w14:textFill>
        </w:rPr>
      </w:pPr>
      <w:r>
        <w:rPr>
          <w:rFonts w:hint="eastAsia" w:cs="Times New Roman"/>
          <w:color w:val="000000" w:themeColor="text1"/>
          <w:szCs w:val="24"/>
          <w:highlight w:val="none"/>
          <w:lang w:val="en-US" w:eastAsia="zh-CN"/>
          <w14:textFill>
            <w14:solidFill>
              <w14:schemeClr w14:val="tx1"/>
            </w14:solidFill>
          </w14:textFill>
        </w:rPr>
        <w:t>六</w:t>
      </w:r>
      <w:r>
        <w:rPr>
          <w:rFonts w:hint="eastAsia" w:cs="Times New Roman"/>
          <w:color w:val="000000" w:themeColor="text1"/>
          <w:szCs w:val="24"/>
          <w:highlight w:val="none"/>
          <w14:textFill>
            <w14:solidFill>
              <w14:schemeClr w14:val="tx1"/>
            </w14:solidFill>
          </w14:textFill>
        </w:rPr>
        <w:t>、项目服务和质量要求</w:t>
      </w:r>
    </w:p>
    <w:p>
      <w:pPr>
        <w:rPr>
          <w:rFonts w:hint="eastAsia" w:ascii="宋体" w:hAnsi="宋体" w:eastAsia="宋体" w:cs="宋体"/>
          <w:b/>
          <w:color w:val="000000" w:themeColor="text1"/>
          <w:sz w:val="21"/>
          <w:szCs w:val="21"/>
          <w:highlight w:val="none"/>
          <w14:textFill>
            <w14:solidFill>
              <w14:schemeClr w14:val="tx1"/>
            </w14:solidFill>
          </w14:textFill>
        </w:rPr>
      </w:pP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（一）清扫保洁服务和质量要求</w:t>
      </w:r>
    </w:p>
    <w:p>
      <w:pPr>
        <w:adjustRightInd w:val="0"/>
        <w:snapToGrid w:val="0"/>
        <w:ind w:firstLine="413" w:firstLineChars="196"/>
        <w:outlineLvl w:val="4"/>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1.城市道路清扫保洁作业规范和定额</w:t>
      </w:r>
    </w:p>
    <w:p>
      <w:pPr>
        <w:pStyle w:val="197"/>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城市道路清扫保洁作业方式为普扫与保洁相结合，每日普扫1次，其余时段进行保洁，定期对路面进行冲洗，具体要求应符合表1规定。</w:t>
      </w:r>
    </w:p>
    <w:p>
      <w:pPr>
        <w:pStyle w:val="198"/>
        <w:numPr>
          <w:ilvl w:val="0"/>
          <w:numId w:val="0"/>
        </w:numPr>
        <w:spacing w:beforeLines="0" w:afterLine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表1城市道路保洁分类管理指标和定额标准表</w:t>
      </w:r>
    </w:p>
    <w:tbl>
      <w:tblPr>
        <w:tblStyle w:val="44"/>
        <w:tblW w:w="94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2503"/>
        <w:gridCol w:w="1462"/>
        <w:gridCol w:w="1488"/>
        <w:gridCol w:w="3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925" w:type="dxa"/>
            <w:shd w:val="clear" w:color="auto" w:fill="D9D9D9"/>
            <w:noWrap w:val="0"/>
            <w:vAlign w:val="center"/>
          </w:tcPr>
          <w:p>
            <w:pPr>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清扫保洁等级</w:t>
            </w:r>
          </w:p>
        </w:tc>
        <w:tc>
          <w:tcPr>
            <w:tcW w:w="2503" w:type="dxa"/>
            <w:shd w:val="clear" w:color="auto" w:fill="D9D9D9"/>
            <w:noWrap w:val="0"/>
            <w:vAlign w:val="center"/>
          </w:tcPr>
          <w:p>
            <w:pPr>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清扫保洁时间</w:t>
            </w:r>
          </w:p>
          <w:p>
            <w:pPr>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（每日）</w:t>
            </w:r>
          </w:p>
        </w:tc>
        <w:tc>
          <w:tcPr>
            <w:tcW w:w="1462" w:type="dxa"/>
            <w:shd w:val="clear" w:color="auto" w:fill="D9D9D9"/>
            <w:noWrap w:val="0"/>
            <w:vAlign w:val="center"/>
          </w:tcPr>
          <w:p>
            <w:pPr>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人均保洁面积</w:t>
            </w:r>
          </w:p>
          <w:p>
            <w:pPr>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（平方米）</w:t>
            </w:r>
          </w:p>
        </w:tc>
        <w:tc>
          <w:tcPr>
            <w:tcW w:w="1488" w:type="dxa"/>
            <w:shd w:val="clear" w:color="auto" w:fill="D9D9D9"/>
            <w:noWrap w:val="0"/>
            <w:vAlign w:val="center"/>
          </w:tcPr>
          <w:p>
            <w:pPr>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机械保洁频次</w:t>
            </w:r>
          </w:p>
          <w:p>
            <w:pPr>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（次</w:t>
            </w:r>
            <w:r>
              <w:rPr>
                <w:rFonts w:ascii="宋体" w:hAnsi="宋体"/>
                <w:b/>
                <w:bCs/>
                <w:color w:val="000000" w:themeColor="text1"/>
                <w:szCs w:val="21"/>
                <w:highlight w:val="none"/>
                <w14:textFill>
                  <w14:solidFill>
                    <w14:schemeClr w14:val="tx1"/>
                  </w14:solidFill>
                </w14:textFill>
              </w:rPr>
              <w:t>/日）</w:t>
            </w:r>
          </w:p>
        </w:tc>
        <w:tc>
          <w:tcPr>
            <w:tcW w:w="3060" w:type="dxa"/>
            <w:shd w:val="clear" w:color="auto" w:fill="D9D9D9"/>
            <w:noWrap w:val="0"/>
            <w:vAlign w:val="center"/>
          </w:tcPr>
          <w:p>
            <w:pPr>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冲洗频次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925" w:type="dxa"/>
            <w:noWrap w:val="0"/>
            <w:vAlign w:val="center"/>
          </w:tcPr>
          <w:p>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特级</w:t>
            </w:r>
          </w:p>
        </w:tc>
        <w:tc>
          <w:tcPr>
            <w:tcW w:w="2503" w:type="dxa"/>
            <w:noWrap w:val="0"/>
            <w:vAlign w:val="center"/>
          </w:tcPr>
          <w:p>
            <w:pPr>
              <w:spacing w:line="300" w:lineRule="exact"/>
              <w:jc w:val="center"/>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 xml:space="preserve">24 </w:t>
            </w:r>
            <w:r>
              <w:rPr>
                <w:rFonts w:hint="eastAsia" w:ascii="宋体" w:hAnsi="宋体" w:cs="宋体"/>
                <w:color w:val="000000" w:themeColor="text1"/>
                <w:szCs w:val="21"/>
                <w:highlight w:val="none"/>
                <w14:textFill>
                  <w14:solidFill>
                    <w14:schemeClr w14:val="tx1"/>
                  </w14:solidFill>
                </w14:textFill>
              </w:rPr>
              <w:t>小时</w:t>
            </w:r>
          </w:p>
          <w:p>
            <w:pPr>
              <w:spacing w:line="30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普扫时间见表注</w:t>
            </w:r>
          </w:p>
          <w:p>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除普扫外其余为保洁时间</w:t>
            </w:r>
          </w:p>
        </w:tc>
        <w:tc>
          <w:tcPr>
            <w:tcW w:w="1462" w:type="dxa"/>
            <w:noWrap w:val="0"/>
            <w:vAlign w:val="center"/>
          </w:tcPr>
          <w:p>
            <w:pPr>
              <w:keepNext w:val="0"/>
              <w:keepLines w:val="0"/>
              <w:widowControl/>
              <w:suppressLineNumbers w:val="0"/>
              <w:spacing w:line="300" w:lineRule="exact"/>
              <w:jc w:val="center"/>
              <w:textAlignment w:val="auto"/>
              <w:rPr>
                <w:rFonts w:ascii="宋体" w:hAnsi="宋体" w:eastAsia="宋体" w:cs="宋体"/>
                <w:color w:val="000000" w:themeColor="text1"/>
                <w:szCs w:val="21"/>
                <w:highlight w:val="none"/>
                <w14:textFill>
                  <w14:solidFill>
                    <w14:schemeClr w14:val="tx1"/>
                  </w14:solidFill>
                </w14:textFill>
              </w:rPr>
            </w:pP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t>≤3300</w:t>
            </w:r>
          </w:p>
        </w:tc>
        <w:tc>
          <w:tcPr>
            <w:tcW w:w="1488" w:type="dxa"/>
            <w:noWrap w:val="0"/>
            <w:vAlign w:val="center"/>
          </w:tcPr>
          <w:p>
            <w:pPr>
              <w:keepNext w:val="0"/>
              <w:keepLines w:val="0"/>
              <w:widowControl/>
              <w:suppressLineNumbers w:val="0"/>
              <w:spacing w:line="300" w:lineRule="exact"/>
              <w:jc w:val="center"/>
              <w:textAlignment w:val="auto"/>
              <w:rPr>
                <w:rFonts w:ascii="宋体" w:hAnsi="宋体" w:eastAsia="宋体" w:cs="宋体"/>
                <w:color w:val="000000" w:themeColor="text1"/>
                <w:szCs w:val="21"/>
                <w:highlight w:val="none"/>
                <w14:textFill>
                  <w14:solidFill>
                    <w14:schemeClr w14:val="tx1"/>
                  </w14:solidFill>
                </w14:textFill>
              </w:rPr>
            </w:pP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t>3</w:t>
            </w:r>
          </w:p>
        </w:tc>
        <w:tc>
          <w:tcPr>
            <w:tcW w:w="3060" w:type="dxa"/>
            <w:noWrap w:val="0"/>
            <w:vAlign w:val="center"/>
          </w:tcPr>
          <w:p>
            <w:pPr>
              <w:keepNext w:val="0"/>
              <w:keepLines w:val="0"/>
              <w:widowControl/>
              <w:suppressLineNumbers w:val="0"/>
              <w:spacing w:line="300" w:lineRule="exact"/>
              <w:jc w:val="center"/>
              <w:textAlignment w:val="auto"/>
              <w:rPr>
                <w:rFonts w:ascii="宋体" w:hAnsi="宋体" w:eastAsia="宋体" w:cs="宋体"/>
                <w:color w:val="000000" w:themeColor="text1"/>
                <w:szCs w:val="21"/>
                <w:highlight w:val="none"/>
                <w14:textFill>
                  <w14:solidFill>
                    <w14:schemeClr w14:val="tx1"/>
                  </w14:solidFill>
                </w14:textFill>
              </w:rPr>
            </w:pP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t>机动车道每日冲洗不低于2次</w:t>
            </w: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br w:type="textWrapping"/>
            </w: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t>人行道每周冲洗不低于3次</w:t>
            </w: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br w:type="textWrapping"/>
            </w: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t>步行街地面每日冲洗不低于1次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925" w:type="dxa"/>
            <w:noWrap w:val="0"/>
            <w:vAlign w:val="center"/>
          </w:tcPr>
          <w:p>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一级</w:t>
            </w:r>
          </w:p>
        </w:tc>
        <w:tc>
          <w:tcPr>
            <w:tcW w:w="2503" w:type="dxa"/>
            <w:noWrap w:val="0"/>
            <w:vAlign w:val="center"/>
          </w:tcPr>
          <w:p>
            <w:pPr>
              <w:spacing w:line="30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 xml:space="preserve">20 </w:t>
            </w:r>
            <w:r>
              <w:rPr>
                <w:rFonts w:hint="eastAsia" w:ascii="宋体" w:hAnsi="宋体"/>
                <w:color w:val="000000" w:themeColor="text1"/>
                <w:szCs w:val="21"/>
                <w:highlight w:val="none"/>
                <w14:textFill>
                  <w14:solidFill>
                    <w14:schemeClr w14:val="tx1"/>
                  </w14:solidFill>
                </w14:textFill>
              </w:rPr>
              <w:t>小时</w:t>
            </w:r>
          </w:p>
          <w:p>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普扫时间见表注</w:t>
            </w:r>
          </w:p>
          <w:p>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保洁：</w:t>
            </w:r>
            <w:r>
              <w:rPr>
                <w:rFonts w:ascii="宋体" w:hAnsi="宋体"/>
                <w:color w:val="000000" w:themeColor="text1"/>
                <w:szCs w:val="21"/>
                <w:highlight w:val="none"/>
                <w14:textFill>
                  <w14:solidFill>
                    <w14:schemeClr w14:val="tx1"/>
                  </w14:solidFill>
                </w14:textFill>
              </w:rPr>
              <w:t>7:00至24：00</w:t>
            </w:r>
          </w:p>
        </w:tc>
        <w:tc>
          <w:tcPr>
            <w:tcW w:w="1462" w:type="dxa"/>
            <w:noWrap w:val="0"/>
            <w:vAlign w:val="center"/>
          </w:tcPr>
          <w:p>
            <w:pPr>
              <w:keepNext w:val="0"/>
              <w:keepLines w:val="0"/>
              <w:widowControl/>
              <w:suppressLineNumbers w:val="0"/>
              <w:spacing w:line="300" w:lineRule="exact"/>
              <w:jc w:val="center"/>
              <w:textAlignment w:val="auto"/>
              <w:rPr>
                <w:rFonts w:ascii="宋体" w:hAnsi="宋体" w:eastAsia="宋体" w:cs="宋体"/>
                <w:color w:val="000000" w:themeColor="text1"/>
                <w:szCs w:val="21"/>
                <w:highlight w:val="none"/>
                <w14:textFill>
                  <w14:solidFill>
                    <w14:schemeClr w14:val="tx1"/>
                  </w14:solidFill>
                </w14:textFill>
              </w:rPr>
            </w:pP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t>≤4950</w:t>
            </w:r>
          </w:p>
        </w:tc>
        <w:tc>
          <w:tcPr>
            <w:tcW w:w="1488" w:type="dxa"/>
            <w:noWrap w:val="0"/>
            <w:vAlign w:val="center"/>
          </w:tcPr>
          <w:p>
            <w:pPr>
              <w:keepNext w:val="0"/>
              <w:keepLines w:val="0"/>
              <w:widowControl/>
              <w:suppressLineNumbers w:val="0"/>
              <w:spacing w:line="300" w:lineRule="exact"/>
              <w:jc w:val="center"/>
              <w:textAlignment w:val="auto"/>
              <w:rPr>
                <w:rFonts w:ascii="宋体" w:hAnsi="宋体" w:eastAsia="宋体" w:cs="宋体"/>
                <w:color w:val="000000" w:themeColor="text1"/>
                <w:szCs w:val="21"/>
                <w:highlight w:val="none"/>
                <w14:textFill>
                  <w14:solidFill>
                    <w14:schemeClr w14:val="tx1"/>
                  </w14:solidFill>
                </w14:textFill>
              </w:rPr>
            </w:pP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t>2</w:t>
            </w:r>
          </w:p>
        </w:tc>
        <w:tc>
          <w:tcPr>
            <w:tcW w:w="3060" w:type="dxa"/>
            <w:noWrap w:val="0"/>
            <w:vAlign w:val="center"/>
          </w:tcPr>
          <w:p>
            <w:pPr>
              <w:keepNext w:val="0"/>
              <w:keepLines w:val="0"/>
              <w:widowControl/>
              <w:suppressLineNumbers w:val="0"/>
              <w:spacing w:line="300" w:lineRule="exact"/>
              <w:jc w:val="center"/>
              <w:textAlignment w:val="auto"/>
              <w:rPr>
                <w:rFonts w:ascii="宋体" w:hAnsi="宋体" w:eastAsia="宋体" w:cs="宋体"/>
                <w:color w:val="000000" w:themeColor="text1"/>
                <w:szCs w:val="21"/>
                <w:highlight w:val="none"/>
                <w14:textFill>
                  <w14:solidFill>
                    <w14:schemeClr w14:val="tx1"/>
                  </w14:solidFill>
                </w14:textFill>
              </w:rPr>
            </w:pP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t>机动车道每日冲洗不低于1次</w:t>
            </w: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br w:type="textWrapping"/>
            </w: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t>人行道每周冲洗不低于2次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925" w:type="dxa"/>
            <w:noWrap w:val="0"/>
            <w:vAlign w:val="center"/>
          </w:tcPr>
          <w:p>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二级</w:t>
            </w:r>
          </w:p>
        </w:tc>
        <w:tc>
          <w:tcPr>
            <w:tcW w:w="2503" w:type="dxa"/>
            <w:noWrap w:val="0"/>
            <w:vAlign w:val="center"/>
          </w:tcPr>
          <w:p>
            <w:pPr>
              <w:spacing w:line="30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18小时</w:t>
            </w:r>
          </w:p>
          <w:p>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普扫时间见表注</w:t>
            </w:r>
          </w:p>
          <w:p>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保洁：</w:t>
            </w:r>
            <w:r>
              <w:rPr>
                <w:rFonts w:ascii="宋体" w:hAnsi="宋体"/>
                <w:color w:val="000000" w:themeColor="text1"/>
                <w:szCs w:val="21"/>
                <w:highlight w:val="none"/>
                <w14:textFill>
                  <w14:solidFill>
                    <w14:schemeClr w14:val="tx1"/>
                  </w14:solidFill>
                </w14:textFill>
              </w:rPr>
              <w:t>7:00至22：00</w:t>
            </w:r>
          </w:p>
        </w:tc>
        <w:tc>
          <w:tcPr>
            <w:tcW w:w="1462" w:type="dxa"/>
            <w:noWrap w:val="0"/>
            <w:vAlign w:val="center"/>
          </w:tcPr>
          <w:p>
            <w:pPr>
              <w:keepNext w:val="0"/>
              <w:keepLines w:val="0"/>
              <w:widowControl/>
              <w:suppressLineNumbers w:val="0"/>
              <w:spacing w:line="300" w:lineRule="exact"/>
              <w:jc w:val="center"/>
              <w:textAlignment w:val="auto"/>
              <w:rPr>
                <w:rFonts w:ascii="宋体" w:hAnsi="宋体" w:eastAsia="宋体" w:cs="宋体"/>
                <w:color w:val="000000" w:themeColor="text1"/>
                <w:szCs w:val="21"/>
                <w:highlight w:val="none"/>
                <w14:textFill>
                  <w14:solidFill>
                    <w14:schemeClr w14:val="tx1"/>
                  </w14:solidFill>
                </w14:textFill>
              </w:rPr>
            </w:pP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t>≤7000</w:t>
            </w:r>
          </w:p>
        </w:tc>
        <w:tc>
          <w:tcPr>
            <w:tcW w:w="1488" w:type="dxa"/>
            <w:noWrap w:val="0"/>
            <w:vAlign w:val="center"/>
          </w:tcPr>
          <w:p>
            <w:pPr>
              <w:keepNext w:val="0"/>
              <w:keepLines w:val="0"/>
              <w:widowControl/>
              <w:suppressLineNumbers w:val="0"/>
              <w:spacing w:line="300" w:lineRule="exact"/>
              <w:jc w:val="center"/>
              <w:textAlignment w:val="auto"/>
              <w:rPr>
                <w:rFonts w:ascii="宋体" w:hAnsi="宋体" w:eastAsia="宋体" w:cs="宋体"/>
                <w:color w:val="000000" w:themeColor="text1"/>
                <w:szCs w:val="21"/>
                <w:highlight w:val="none"/>
                <w14:textFill>
                  <w14:solidFill>
                    <w14:schemeClr w14:val="tx1"/>
                  </w14:solidFill>
                </w14:textFill>
              </w:rPr>
            </w:pP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t>2</w:t>
            </w:r>
          </w:p>
        </w:tc>
        <w:tc>
          <w:tcPr>
            <w:tcW w:w="3060" w:type="dxa"/>
            <w:noWrap w:val="0"/>
            <w:vAlign w:val="center"/>
          </w:tcPr>
          <w:p>
            <w:pPr>
              <w:keepNext w:val="0"/>
              <w:keepLines w:val="0"/>
              <w:widowControl/>
              <w:suppressLineNumbers w:val="0"/>
              <w:spacing w:line="300" w:lineRule="exact"/>
              <w:jc w:val="center"/>
              <w:textAlignment w:val="auto"/>
              <w:rPr>
                <w:rFonts w:ascii="宋体" w:hAnsi="宋体" w:eastAsia="宋体" w:cs="宋体"/>
                <w:color w:val="000000" w:themeColor="text1"/>
                <w:szCs w:val="21"/>
                <w:highlight w:val="none"/>
                <w14:textFill>
                  <w14:solidFill>
                    <w14:schemeClr w14:val="tx1"/>
                  </w14:solidFill>
                </w14:textFill>
              </w:rPr>
            </w:pP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t>机动车道每日冲洗不低于1次</w:t>
            </w: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br w:type="textWrapping"/>
            </w: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t>人行道每周冲洗不低于1次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925" w:type="dxa"/>
            <w:noWrap w:val="0"/>
            <w:vAlign w:val="center"/>
          </w:tcPr>
          <w:p>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三级</w:t>
            </w:r>
          </w:p>
        </w:tc>
        <w:tc>
          <w:tcPr>
            <w:tcW w:w="2503" w:type="dxa"/>
            <w:noWrap w:val="0"/>
            <w:vAlign w:val="center"/>
          </w:tcPr>
          <w:p>
            <w:pPr>
              <w:spacing w:line="300" w:lineRule="exact"/>
              <w:jc w:val="center"/>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16小时</w:t>
            </w:r>
          </w:p>
          <w:p>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普扫时间见表注</w:t>
            </w:r>
          </w:p>
          <w:p>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保洁：</w:t>
            </w:r>
            <w:r>
              <w:rPr>
                <w:rFonts w:ascii="宋体" w:hAnsi="宋体"/>
                <w:color w:val="000000" w:themeColor="text1"/>
                <w:szCs w:val="21"/>
                <w:highlight w:val="none"/>
                <w14:textFill>
                  <w14:solidFill>
                    <w14:schemeClr w14:val="tx1"/>
                  </w14:solidFill>
                </w14:textFill>
              </w:rPr>
              <w:t>7:00至20：00</w:t>
            </w:r>
          </w:p>
        </w:tc>
        <w:tc>
          <w:tcPr>
            <w:tcW w:w="1462" w:type="dxa"/>
            <w:noWrap w:val="0"/>
            <w:vAlign w:val="center"/>
          </w:tcPr>
          <w:p>
            <w:pPr>
              <w:keepNext w:val="0"/>
              <w:keepLines w:val="0"/>
              <w:widowControl/>
              <w:suppressLineNumbers w:val="0"/>
              <w:spacing w:line="300" w:lineRule="exact"/>
              <w:jc w:val="center"/>
              <w:textAlignment w:val="auto"/>
              <w:rPr>
                <w:rFonts w:ascii="宋体" w:hAnsi="宋体" w:eastAsia="宋体" w:cs="宋体"/>
                <w:color w:val="000000" w:themeColor="text1"/>
                <w:szCs w:val="21"/>
                <w:highlight w:val="none"/>
                <w14:textFill>
                  <w14:solidFill>
                    <w14:schemeClr w14:val="tx1"/>
                  </w14:solidFill>
                </w14:textFill>
              </w:rPr>
            </w:pP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t>≤9250</w:t>
            </w:r>
          </w:p>
        </w:tc>
        <w:tc>
          <w:tcPr>
            <w:tcW w:w="1488" w:type="dxa"/>
            <w:noWrap w:val="0"/>
            <w:vAlign w:val="center"/>
          </w:tcPr>
          <w:p>
            <w:pPr>
              <w:keepNext w:val="0"/>
              <w:keepLines w:val="0"/>
              <w:widowControl/>
              <w:suppressLineNumbers w:val="0"/>
              <w:spacing w:line="300" w:lineRule="exact"/>
              <w:jc w:val="center"/>
              <w:textAlignment w:val="auto"/>
              <w:rPr>
                <w:rFonts w:ascii="宋体" w:hAnsi="宋体" w:eastAsia="宋体" w:cs="宋体"/>
                <w:color w:val="000000" w:themeColor="text1"/>
                <w:szCs w:val="21"/>
                <w:highlight w:val="none"/>
                <w14:textFill>
                  <w14:solidFill>
                    <w14:schemeClr w14:val="tx1"/>
                  </w14:solidFill>
                </w14:textFill>
              </w:rPr>
            </w:pP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t>1</w:t>
            </w:r>
          </w:p>
        </w:tc>
        <w:tc>
          <w:tcPr>
            <w:tcW w:w="3060" w:type="dxa"/>
            <w:noWrap w:val="0"/>
            <w:vAlign w:val="center"/>
          </w:tcPr>
          <w:p>
            <w:pPr>
              <w:keepNext w:val="0"/>
              <w:keepLines w:val="0"/>
              <w:widowControl/>
              <w:suppressLineNumbers w:val="0"/>
              <w:spacing w:line="300" w:lineRule="exact"/>
              <w:jc w:val="center"/>
              <w:textAlignment w:val="auto"/>
              <w:rPr>
                <w:rFonts w:ascii="宋体" w:hAnsi="宋体" w:eastAsia="宋体" w:cs="宋体"/>
                <w:color w:val="000000" w:themeColor="text1"/>
                <w:szCs w:val="21"/>
                <w:highlight w:val="none"/>
                <w14:textFill>
                  <w14:solidFill>
                    <w14:schemeClr w14:val="tx1"/>
                  </w14:solidFill>
                </w14:textFill>
              </w:rPr>
            </w:pP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t>机动车道每2天冲洗不低于1次</w:t>
            </w: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br w:type="textWrapping"/>
            </w:r>
            <w: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t>人行道每两周冲洗不低于1次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925" w:type="dxa"/>
            <w:noWrap w:val="0"/>
            <w:vAlign w:val="center"/>
          </w:tcPr>
          <w:p>
            <w:pPr>
              <w:autoSpaceDE w:val="0"/>
              <w:autoSpaceDN w:val="0"/>
              <w:adjustRightInd w:val="0"/>
              <w:jc w:val="center"/>
              <w:rPr>
                <w:rFonts w:ascii="宋体" w:cs="宋体"/>
                <w:szCs w:val="21"/>
                <w:highlight w:val="none"/>
              </w:rPr>
            </w:pPr>
            <w:r>
              <w:rPr>
                <w:rFonts w:hint="eastAsia" w:ascii="宋体" w:cs="宋体"/>
                <w:szCs w:val="21"/>
                <w:highlight w:val="none"/>
              </w:rPr>
              <w:t>一级</w:t>
            </w:r>
          </w:p>
          <w:p>
            <w:pPr>
              <w:autoSpaceDE w:val="0"/>
              <w:autoSpaceDN w:val="0"/>
              <w:adjustRightInd w:val="0"/>
              <w:jc w:val="center"/>
              <w:rPr>
                <w:rFonts w:hint="eastAsia" w:ascii="宋体" w:hAnsi="宋体"/>
                <w:color w:val="000000" w:themeColor="text1"/>
                <w:szCs w:val="21"/>
                <w:highlight w:val="none"/>
                <w14:textFill>
                  <w14:solidFill>
                    <w14:schemeClr w14:val="tx1"/>
                  </w14:solidFill>
                </w14:textFill>
              </w:rPr>
            </w:pPr>
            <w:r>
              <w:rPr>
                <w:rFonts w:hint="eastAsia" w:ascii="宋体" w:cs="宋体"/>
                <w:szCs w:val="21"/>
                <w:highlight w:val="none"/>
              </w:rPr>
              <w:t>（一类城中村）</w:t>
            </w:r>
          </w:p>
        </w:tc>
        <w:tc>
          <w:tcPr>
            <w:tcW w:w="2503" w:type="dxa"/>
            <w:noWrap w:val="0"/>
            <w:vAlign w:val="center"/>
          </w:tcPr>
          <w:p>
            <w:pPr>
              <w:jc w:val="center"/>
              <w:rPr>
                <w:rFonts w:ascii="宋体" w:hAnsi="宋体"/>
                <w:spacing w:val="-5"/>
                <w:szCs w:val="21"/>
                <w:highlight w:val="none"/>
              </w:rPr>
            </w:pPr>
            <w:r>
              <w:rPr>
                <w:rFonts w:ascii="宋体" w:hAnsi="宋体"/>
                <w:spacing w:val="-5"/>
                <w:szCs w:val="21"/>
                <w:highlight w:val="none"/>
              </w:rPr>
              <w:t>2</w:t>
            </w:r>
            <w:r>
              <w:rPr>
                <w:rFonts w:hint="eastAsia" w:ascii="宋体" w:hAnsi="宋体"/>
                <w:spacing w:val="-5"/>
                <w:szCs w:val="21"/>
                <w:highlight w:val="none"/>
              </w:rPr>
              <w:t>0小时</w:t>
            </w:r>
          </w:p>
          <w:p>
            <w:pPr>
              <w:jc w:val="center"/>
              <w:rPr>
                <w:rFonts w:ascii="宋体" w:hAnsi="宋体"/>
                <w:spacing w:val="-5"/>
                <w:szCs w:val="21"/>
                <w:highlight w:val="none"/>
              </w:rPr>
            </w:pPr>
            <w:r>
              <w:rPr>
                <w:rFonts w:hint="eastAsia" w:ascii="宋体" w:hAnsi="宋体"/>
                <w:spacing w:val="-5"/>
                <w:szCs w:val="21"/>
                <w:highlight w:val="none"/>
              </w:rPr>
              <w:t>（</w:t>
            </w:r>
            <w:r>
              <w:rPr>
                <w:rFonts w:hint="eastAsia" w:ascii="宋体" w:hAnsi="宋体"/>
                <w:spacing w:val="-2"/>
                <w:szCs w:val="21"/>
                <w:highlight w:val="none"/>
              </w:rPr>
              <w:t>普扫时间见表注，</w:t>
            </w:r>
            <w:r>
              <w:rPr>
                <w:rFonts w:hint="eastAsia" w:ascii="宋体" w:hAnsi="宋体"/>
                <w:spacing w:val="-5"/>
                <w:szCs w:val="21"/>
                <w:highlight w:val="none"/>
              </w:rPr>
              <w:t>保洁</w:t>
            </w:r>
          </w:p>
          <w:p>
            <w:pPr>
              <w:ind w:firstLine="396" w:firstLineChars="200"/>
              <w:jc w:val="center"/>
              <w:rPr>
                <w:rFonts w:hint="eastAsia" w:ascii="宋体" w:hAnsi="宋体"/>
                <w:color w:val="000000" w:themeColor="text1"/>
                <w:szCs w:val="21"/>
                <w:highlight w:val="none"/>
                <w14:textFill>
                  <w14:solidFill>
                    <w14:schemeClr w14:val="tx1"/>
                  </w14:solidFill>
                </w14:textFill>
              </w:rPr>
            </w:pPr>
            <w:r>
              <w:rPr>
                <w:rFonts w:ascii="宋体" w:hAnsi="宋体"/>
                <w:spacing w:val="-6"/>
                <w:szCs w:val="21"/>
                <w:highlight w:val="none"/>
              </w:rPr>
              <w:t>7</w:t>
            </w:r>
            <w:r>
              <w:rPr>
                <w:rFonts w:hint="eastAsia"/>
                <w:szCs w:val="21"/>
                <w:highlight w:val="none"/>
              </w:rPr>
              <w:t>:</w:t>
            </w:r>
            <w:r>
              <w:rPr>
                <w:rFonts w:ascii="宋体" w:hAnsi="宋体"/>
                <w:spacing w:val="-6"/>
                <w:szCs w:val="21"/>
                <w:highlight w:val="none"/>
              </w:rPr>
              <w:t xml:space="preserve">00 </w:t>
            </w:r>
            <w:r>
              <w:rPr>
                <w:rFonts w:hint="eastAsia" w:ascii="宋体" w:hAnsi="宋体"/>
                <w:spacing w:val="-6"/>
                <w:szCs w:val="21"/>
                <w:highlight w:val="none"/>
              </w:rPr>
              <w:t>至24</w:t>
            </w:r>
            <w:r>
              <w:rPr>
                <w:rFonts w:hint="eastAsia"/>
                <w:szCs w:val="21"/>
                <w:highlight w:val="none"/>
              </w:rPr>
              <w:t>:</w:t>
            </w:r>
            <w:r>
              <w:rPr>
                <w:rFonts w:ascii="宋体" w:hAnsi="宋体"/>
                <w:spacing w:val="-6"/>
                <w:szCs w:val="21"/>
                <w:highlight w:val="none"/>
              </w:rPr>
              <w:t>00</w:t>
            </w:r>
            <w:r>
              <w:rPr>
                <w:rFonts w:hint="eastAsia" w:ascii="宋体" w:hAnsi="宋体"/>
                <w:spacing w:val="-6"/>
                <w:szCs w:val="21"/>
                <w:highlight w:val="none"/>
              </w:rPr>
              <w:t>）</w:t>
            </w:r>
          </w:p>
        </w:tc>
        <w:tc>
          <w:tcPr>
            <w:tcW w:w="1462" w:type="dxa"/>
            <w:noWrap w:val="0"/>
            <w:vAlign w:val="center"/>
          </w:tcPr>
          <w:p>
            <w:pPr>
              <w:jc w:val="cente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pPr>
            <w:r>
              <w:rPr>
                <w:rFonts w:hint="eastAsia" w:ascii="宋体" w:hAnsi="宋体"/>
                <w:spacing w:val="-2"/>
                <w:szCs w:val="21"/>
                <w:highlight w:val="none"/>
              </w:rPr>
              <w:t>≤4950</w:t>
            </w:r>
          </w:p>
        </w:tc>
        <w:tc>
          <w:tcPr>
            <w:tcW w:w="1488" w:type="dxa"/>
            <w:noWrap w:val="0"/>
            <w:vAlign w:val="center"/>
          </w:tcPr>
          <w:p>
            <w:pPr>
              <w:jc w:val="cente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pPr>
            <w:r>
              <w:rPr>
                <w:rFonts w:hint="eastAsia" w:ascii="宋体" w:hAnsi="宋体"/>
                <w:spacing w:val="-2"/>
                <w:szCs w:val="21"/>
                <w:highlight w:val="none"/>
              </w:rPr>
              <w:t>2</w:t>
            </w:r>
          </w:p>
        </w:tc>
        <w:tc>
          <w:tcPr>
            <w:tcW w:w="3060" w:type="dxa"/>
            <w:noWrap w:val="0"/>
            <w:vAlign w:val="center"/>
          </w:tcPr>
          <w:p>
            <w:pPr>
              <w:jc w:val="center"/>
              <w:rPr>
                <w:rFonts w:ascii="宋体" w:hAnsi="宋体"/>
                <w:spacing w:val="-2"/>
                <w:szCs w:val="21"/>
                <w:highlight w:val="none"/>
              </w:rPr>
            </w:pPr>
            <w:r>
              <w:rPr>
                <w:rFonts w:hint="eastAsia" w:ascii="宋体" w:hAnsi="宋体"/>
                <w:spacing w:val="-2"/>
                <w:szCs w:val="21"/>
                <w:highlight w:val="none"/>
              </w:rPr>
              <w:t>机动车道每日冲洗不低于1次</w:t>
            </w:r>
          </w:p>
          <w:p>
            <w:pPr>
              <w:jc w:val="center"/>
              <w:rPr>
                <w:rFonts w:hint="default" w:ascii="宋体" w:hAnsi="宋体" w:eastAsia="宋体" w:cs="宋体"/>
                <w:i w:val="0"/>
                <w:iCs w:val="0"/>
                <w:color w:val="000000" w:themeColor="text1"/>
                <w:kern w:val="2"/>
                <w:sz w:val="21"/>
                <w:szCs w:val="21"/>
                <w:highlight w:val="none"/>
                <w:u w:val="none"/>
                <w:lang w:val="en-US" w:eastAsia="zh-CN"/>
                <w14:textFill>
                  <w14:solidFill>
                    <w14:schemeClr w14:val="tx1"/>
                  </w14:solidFill>
                </w14:textFill>
              </w:rPr>
            </w:pPr>
            <w:r>
              <w:rPr>
                <w:rFonts w:hint="eastAsia" w:ascii="宋体" w:hAnsi="宋体"/>
                <w:spacing w:val="-2"/>
                <w:szCs w:val="21"/>
                <w:highlight w:val="none"/>
              </w:rPr>
              <w:t>人行道每周冲洗不低于2次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jc w:val="center"/>
        </w:trPr>
        <w:tc>
          <w:tcPr>
            <w:tcW w:w="9438" w:type="dxa"/>
            <w:gridSpan w:val="5"/>
            <w:noWrap w:val="0"/>
            <w:vAlign w:val="center"/>
          </w:tcPr>
          <w:p>
            <w:pPr>
              <w:spacing w:line="360" w:lineRule="exact"/>
              <w:ind w:firstLine="0" w:firstLineChars="0"/>
              <w:jc w:val="both"/>
              <w:rPr>
                <w:rFonts w:hint="eastAsia" w:ascii="宋体" w:hAnsi="宋体" w:eastAsia="宋体" w:cs="Times New Roman"/>
                <w:color w:val="000000" w:themeColor="text1"/>
                <w:szCs w:val="21"/>
                <w:highlight w:val="none"/>
                <w:lang w:eastAsia="zh-CN"/>
                <w14:textFill>
                  <w14:solidFill>
                    <w14:schemeClr w14:val="tx1"/>
                  </w14:solidFill>
                </w14:textFill>
              </w:rPr>
            </w:pPr>
            <w:r>
              <w:rPr>
                <w:rFonts w:hint="eastAsia" w:ascii="宋体" w:hAnsi="宋体" w:eastAsia="宋体" w:cs="Times New Roman"/>
                <w:color w:val="000000" w:themeColor="text1"/>
                <w:szCs w:val="21"/>
                <w:highlight w:val="none"/>
                <w:lang w:eastAsia="zh-CN"/>
                <w14:textFill>
                  <w14:solidFill>
                    <w14:schemeClr w14:val="tx1"/>
                  </w14:solidFill>
                </w14:textFill>
              </w:rPr>
              <w:t>注1：普扫人工清扫分为两个时间制：11月1日至第二年4月30日为早上4:30-7:00；5月1日至10月31日为早上4:00-7:00。</w:t>
            </w:r>
          </w:p>
          <w:p>
            <w:pPr>
              <w:spacing w:line="360" w:lineRule="exact"/>
              <w:ind w:firstLine="0" w:firstLineChars="0"/>
              <w:jc w:val="both"/>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eastAsia="宋体" w:cs="Times New Roman"/>
                <w:color w:val="000000" w:themeColor="text1"/>
                <w:szCs w:val="21"/>
                <w:highlight w:val="none"/>
                <w:lang w:eastAsia="zh-CN"/>
                <w14:textFill>
                  <w14:solidFill>
                    <w14:schemeClr w14:val="tx1"/>
                  </w14:solidFill>
                </w14:textFill>
              </w:rPr>
              <w:t>注2：若采用可有效提高环卫作业效能的新型环卫作业设备或增加环卫作业设备数量，人均保洁面积可适当扩大。</w:t>
            </w:r>
          </w:p>
        </w:tc>
      </w:tr>
    </w:tbl>
    <w:p>
      <w:pPr>
        <w:adjustRightInd w:val="0"/>
        <w:snapToGrid w:val="0"/>
        <w:ind w:firstLine="413" w:firstLineChars="196"/>
        <w:outlineLvl w:val="4"/>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2.一般要求</w:t>
      </w:r>
    </w:p>
    <w:p>
      <w:pPr>
        <w:adjustRightInd w:val="0"/>
        <w:snapToGrid w:val="0"/>
        <w:ind w:firstLine="411" w:firstLineChars="196"/>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城市道路清扫保洁应根据本地区道路、交通、作业设备、道路卫生清洁等情况，合理设置环卫作业工艺，对道路环境突发事件如重大活动、恶劣天气等情况制定应急预案，并选用适当的环卫作业设备以提高清扫保洁效果。</w:t>
      </w:r>
    </w:p>
    <w:p>
      <w:pPr>
        <w:adjustRightInd w:val="0"/>
        <w:snapToGrid w:val="0"/>
        <w:ind w:firstLine="411" w:firstLineChars="196"/>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环卫工人在清扫和保洁作业时，不得将垃圾扫入雨污水井、雨水口、绿化带、河道、海域等位置，应到指定地点倾倒垃圾。垃圾倾倒后应将垃圾收集容器、清扫保洁工具复位、摆放整齐，将冲洗产生的污水处理干净，不对行人、周边环境和市民生活造成影响。</w:t>
      </w:r>
    </w:p>
    <w:p>
      <w:pPr>
        <w:adjustRightInd w:val="0"/>
        <w:snapToGrid w:val="0"/>
        <w:ind w:firstLine="411" w:firstLineChars="196"/>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2.3环卫作业过程中遇到乱吐、乱扔、乱倒等不文明行为，应用文明、礼貌用语提醒劝阻。</w:t>
      </w:r>
    </w:p>
    <w:p>
      <w:pPr>
        <w:adjustRightInd w:val="0"/>
        <w:snapToGrid w:val="0"/>
        <w:ind w:firstLine="411" w:firstLineChars="196"/>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2.4普扫时，机械清洁作业应采用先冲洗后清扫的方式；人工清洁作业时环卫工人应着重对路面、人行道、路牙、雨水篦子表面、树眼等处进行清扫。雨后应及时进行路面积水清除作业。</w:t>
      </w:r>
    </w:p>
    <w:p>
      <w:pPr>
        <w:adjustRightInd w:val="0"/>
        <w:snapToGrid w:val="0"/>
        <w:ind w:firstLine="411" w:firstLineChars="196"/>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2.5保洁时应具有持续性，环卫工人应巡回走动，清理路面的纸屑、饮料瓶等垃圾，做到勤走、勤看、勤扫，确保路面整洁。</w:t>
      </w:r>
    </w:p>
    <w:p>
      <w:pPr>
        <w:adjustRightInd w:val="0"/>
        <w:snapToGrid w:val="0"/>
        <w:ind w:firstLine="411" w:firstLineChars="196"/>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2.6城市道路大面积污染需要集中清理时，应严格按照占道作业规范进行作业，在需清理处的来车方向设置醒目的路障和警示牌，并做好防护措施。</w:t>
      </w:r>
    </w:p>
    <w:p>
      <w:pPr>
        <w:adjustRightInd w:val="0"/>
        <w:snapToGrid w:val="0"/>
        <w:ind w:firstLine="411" w:firstLineChars="196"/>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2.7路面冲洗的要求如下：</w:t>
      </w:r>
    </w:p>
    <w:p>
      <w:pPr>
        <w:pStyle w:val="199"/>
        <w:numPr>
          <w:ilvl w:val="0"/>
          <w:numId w:val="11"/>
        </w:numP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路面冲洗时，应有环卫工人配合，及时清除路面积水，冲洗后路面应干净、见本色，无油污、痰迹、口香糖渣等污垢，雨水篦子表面无垃圾堆积、堵塞；</w:t>
      </w:r>
    </w:p>
    <w:p>
      <w:pPr>
        <w:pStyle w:val="199"/>
        <w:numPr>
          <w:ilvl w:val="0"/>
          <w:numId w:val="11"/>
        </w:numP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必要时可使用符合国家或地方产品质量标准的洗涤剂，不应对地面造成损害；</w:t>
      </w:r>
    </w:p>
    <w:p>
      <w:pPr>
        <w:pStyle w:val="199"/>
        <w:numPr>
          <w:ilvl w:val="0"/>
          <w:numId w:val="11"/>
        </w:numP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路面日间冲洗、洒水作业时应鸣报信号或放置警示牌；</w:t>
      </w:r>
    </w:p>
    <w:p>
      <w:pPr>
        <w:pStyle w:val="199"/>
        <w:numPr>
          <w:ilvl w:val="0"/>
          <w:numId w:val="11"/>
        </w:numP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一般情况下，普扫的道路冲洗应在7:00前结束，应尽量避开人流和车流高峰期；</w:t>
      </w:r>
    </w:p>
    <w:p>
      <w:pPr>
        <w:pStyle w:val="199"/>
        <w:numPr>
          <w:ilvl w:val="0"/>
          <w:numId w:val="11"/>
        </w:numP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遇到台风暴雨等不适宜冲洗的气候条件下，应停止冲洗作业；</w:t>
      </w:r>
    </w:p>
    <w:p>
      <w:pPr>
        <w:pStyle w:val="199"/>
        <w:numPr>
          <w:ilvl w:val="0"/>
          <w:numId w:val="11"/>
        </w:numP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应优先采用再生水，再生水应符合国家颁布的再生水的水质标准。</w:t>
      </w:r>
    </w:p>
    <w:p>
      <w:pPr>
        <w:pStyle w:val="200"/>
        <w:numPr>
          <w:ilvl w:val="3"/>
          <w:numId w:val="0"/>
        </w:numPr>
        <w:spacing w:before="0" w:after="0"/>
        <w:ind w:firstLine="420" w:firstLineChars="20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2.8餐饮饭店、集贸市场和建筑工地等周边易受污染道路及泥头车运输路线应适当增加清扫保洁各项作业频次。建筑工地等周边易扬尘道路，应开展机械洒水和喷雾作业，抑制道路扬尘。</w:t>
      </w:r>
    </w:p>
    <w:p>
      <w:pPr>
        <w:pStyle w:val="200"/>
        <w:numPr>
          <w:ilvl w:val="3"/>
          <w:numId w:val="0"/>
        </w:numPr>
        <w:spacing w:before="0" w:after="0"/>
        <w:ind w:firstLine="420" w:firstLineChars="20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2.9道路清扫保洁机械作业应提高垃圾扫净率并喷水降尘，机械冲洗喷水设备水压应不小于300kPa。</w:t>
      </w:r>
    </w:p>
    <w:p>
      <w:pPr>
        <w:pStyle w:val="200"/>
        <w:numPr>
          <w:ilvl w:val="3"/>
          <w:numId w:val="0"/>
        </w:numPr>
        <w:spacing w:before="0" w:after="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3.0环卫作业车应符合以下要求：</w:t>
      </w:r>
    </w:p>
    <w:p>
      <w:pPr>
        <w:pStyle w:val="199"/>
        <w:numPr>
          <w:ilvl w:val="0"/>
          <w:numId w:val="12"/>
        </w:numPr>
        <w:tabs>
          <w:tab w:val="clear" w:pos="840"/>
        </w:tabs>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出车前应进行车辆检查，及时排除故障，确保车况良好，作业完毕后，应对车辆进行清洗和维护；</w:t>
      </w:r>
    </w:p>
    <w:p>
      <w:pPr>
        <w:pStyle w:val="199"/>
        <w:numPr>
          <w:ilvl w:val="0"/>
          <w:numId w:val="12"/>
        </w:numPr>
        <w:tabs>
          <w:tab w:val="clear" w:pos="840"/>
        </w:tabs>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非工作需要不得随意使用环卫作业车辆；</w:t>
      </w:r>
    </w:p>
    <w:p>
      <w:pPr>
        <w:pStyle w:val="199"/>
        <w:numPr>
          <w:ilvl w:val="0"/>
          <w:numId w:val="12"/>
        </w:numPr>
        <w:tabs>
          <w:tab w:val="clear" w:pos="840"/>
        </w:tabs>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环卫作业车作业时尽量避开交通高峰时段，礼让行车，注意行人的安全；</w:t>
      </w:r>
    </w:p>
    <w:p>
      <w:pPr>
        <w:pStyle w:val="199"/>
        <w:numPr>
          <w:ilvl w:val="0"/>
          <w:numId w:val="12"/>
        </w:numPr>
        <w:tabs>
          <w:tab w:val="clear" w:pos="840"/>
        </w:tabs>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环卫作业车清扫时的行驶速度应为每小时6—8（km），保洁时的行驶速度应为每小时8—10（km）；</w:t>
      </w:r>
    </w:p>
    <w:p>
      <w:pPr>
        <w:pStyle w:val="199"/>
        <w:numPr>
          <w:ilvl w:val="0"/>
          <w:numId w:val="12"/>
        </w:numPr>
        <w:tabs>
          <w:tab w:val="clear" w:pos="840"/>
        </w:tabs>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机扫车、洒水车、高压冲洗车等环卫作业车辆作业时必须亮警示灯、鸣警示信号提醒路边行人，控制适当的水压和行驶速度，避免污水飞溅过往行人；</w:t>
      </w:r>
    </w:p>
    <w:p>
      <w:pPr>
        <w:pStyle w:val="199"/>
        <w:numPr>
          <w:ilvl w:val="0"/>
          <w:numId w:val="12"/>
        </w:numPr>
        <w:tabs>
          <w:tab w:val="clear" w:pos="840"/>
        </w:tabs>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夜间作业时须开启示宽灯，降低或关闭提示音乐；</w:t>
      </w:r>
    </w:p>
    <w:p>
      <w:pPr>
        <w:pStyle w:val="199"/>
        <w:numPr>
          <w:ilvl w:val="0"/>
          <w:numId w:val="12"/>
        </w:numPr>
        <w:tabs>
          <w:tab w:val="clear" w:pos="840"/>
        </w:tabs>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洒水车必须在规定取水点取水；</w:t>
      </w:r>
    </w:p>
    <w:p>
      <w:pPr>
        <w:pStyle w:val="199"/>
        <w:numPr>
          <w:ilvl w:val="0"/>
          <w:numId w:val="12"/>
        </w:numPr>
        <w:tabs>
          <w:tab w:val="clear" w:pos="840"/>
        </w:tabs>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环卫作业车辆收集的垃圾及回收的污水应按规定在指定点倾倒排放，严禁扫入或倾倒雨水口、雨水井；</w:t>
      </w:r>
    </w:p>
    <w:p>
      <w:pPr>
        <w:pStyle w:val="199"/>
        <w:numPr>
          <w:ilvl w:val="0"/>
          <w:numId w:val="12"/>
        </w:numPr>
        <w:tabs>
          <w:tab w:val="clear" w:pos="840"/>
        </w:tabs>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环卫作业车辆不得违章停放，禁止停放在消防通道、公交车站、盲道等影响车辆和行人通行的公共通道；</w:t>
      </w:r>
    </w:p>
    <w:p>
      <w:pPr>
        <w:pStyle w:val="199"/>
        <w:numPr>
          <w:ilvl w:val="0"/>
          <w:numId w:val="12"/>
        </w:numPr>
        <w:tabs>
          <w:tab w:val="clear" w:pos="840"/>
        </w:tabs>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环卫作业车辆清扫作业时候应确保安全，发现地面废弃物需进行清扫保洁时应根据实际情况减速或靠边停车；</w:t>
      </w:r>
    </w:p>
    <w:p>
      <w:pPr>
        <w:pStyle w:val="199"/>
        <w:numPr>
          <w:ilvl w:val="0"/>
          <w:numId w:val="12"/>
        </w:numPr>
        <w:tabs>
          <w:tab w:val="clear" w:pos="840"/>
        </w:tabs>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环卫作业车辆外表应保持洁净，无吊挂垃圾或明显污渍；</w:t>
      </w:r>
    </w:p>
    <w:p>
      <w:pPr>
        <w:pStyle w:val="199"/>
        <w:numPr>
          <w:ilvl w:val="0"/>
          <w:numId w:val="12"/>
        </w:numPr>
        <w:tabs>
          <w:tab w:val="clear" w:pos="840"/>
        </w:tabs>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环卫作业车辆排放及噪音要求应符合国家、省、市的机动车尾气污染控制排放标准和国家机动车噪音标准。</w:t>
      </w:r>
    </w:p>
    <w:p>
      <w:pPr>
        <w:adjustRightInd w:val="0"/>
        <w:snapToGrid w:val="0"/>
        <w:ind w:firstLine="413" w:firstLineChars="196"/>
        <w:outlineLvl w:val="4"/>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3.城市道路清扫保洁的质量要求</w:t>
      </w:r>
    </w:p>
    <w:p>
      <w:pPr>
        <w:pStyle w:val="202"/>
        <w:numPr>
          <w:ilvl w:val="2"/>
          <w:numId w:val="0"/>
        </w:numPr>
        <w:spacing w:beforeLines="0" w:afterLines="0"/>
        <w:ind w:firstLine="420" w:firstLineChars="200"/>
        <w:jc w:val="both"/>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3.1日间，特级及一至三级清扫保洁区域的路面废弃物总数应符合表2规定。</w:t>
      </w:r>
    </w:p>
    <w:p>
      <w:pPr>
        <w:pStyle w:val="198"/>
        <w:numPr>
          <w:ilvl w:val="0"/>
          <w:numId w:val="0"/>
        </w:numPr>
        <w:spacing w:beforeLines="0" w:afterLines="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表2城市道路路面废弃物控制指标</w:t>
      </w:r>
    </w:p>
    <w:tbl>
      <w:tblPr>
        <w:tblStyle w:val="44"/>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129"/>
        <w:gridCol w:w="1990"/>
        <w:gridCol w:w="1985"/>
        <w:gridCol w:w="2409"/>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jc w:val="center"/>
        </w:trPr>
        <w:tc>
          <w:tcPr>
            <w:tcW w:w="1129" w:type="dxa"/>
            <w:shd w:val="clear" w:color="auto" w:fill="D9D9D9"/>
            <w:noWrap w:val="0"/>
            <w:vAlign w:val="center"/>
          </w:tcPr>
          <w:p>
            <w:pPr>
              <w:jc w:val="center"/>
              <w:outlineLvl w:val="9"/>
              <w:rPr>
                <w:rFonts w:ascii="宋体" w:hAnsi="宋体"/>
                <w:b/>
                <w:bCs/>
                <w:color w:val="000000" w:themeColor="text1"/>
                <w:spacing w:val="-2"/>
                <w:szCs w:val="20"/>
                <w:highlight w:val="none"/>
                <w14:textFill>
                  <w14:solidFill>
                    <w14:schemeClr w14:val="tx1"/>
                  </w14:solidFill>
                </w14:textFill>
              </w:rPr>
            </w:pPr>
            <w:r>
              <w:rPr>
                <w:rFonts w:hint="eastAsia" w:ascii="宋体" w:hAnsi="宋体"/>
                <w:b/>
                <w:bCs/>
                <w:color w:val="000000" w:themeColor="text1"/>
                <w:spacing w:val="-2"/>
                <w:szCs w:val="20"/>
                <w:highlight w:val="none"/>
                <w14:textFill>
                  <w14:solidFill>
                    <w14:schemeClr w14:val="tx1"/>
                  </w14:solidFill>
                </w14:textFill>
              </w:rPr>
              <w:t>保洁等级</w:t>
            </w:r>
          </w:p>
        </w:tc>
        <w:tc>
          <w:tcPr>
            <w:tcW w:w="1990" w:type="dxa"/>
            <w:shd w:val="clear" w:color="auto" w:fill="D9D9D9"/>
            <w:noWrap w:val="0"/>
            <w:vAlign w:val="center"/>
          </w:tcPr>
          <w:p>
            <w:pPr>
              <w:jc w:val="center"/>
              <w:outlineLvl w:val="9"/>
              <w:rPr>
                <w:rFonts w:ascii="宋体" w:hAnsi="宋体"/>
                <w:b/>
                <w:bCs/>
                <w:color w:val="000000" w:themeColor="text1"/>
                <w:spacing w:val="-2"/>
                <w:szCs w:val="20"/>
                <w:highlight w:val="none"/>
                <w14:textFill>
                  <w14:solidFill>
                    <w14:schemeClr w14:val="tx1"/>
                  </w14:solidFill>
                </w14:textFill>
              </w:rPr>
            </w:pPr>
            <w:r>
              <w:rPr>
                <w:rFonts w:hint="eastAsia" w:ascii="宋体" w:hAnsi="宋体"/>
                <w:b/>
                <w:bCs/>
                <w:color w:val="000000" w:themeColor="text1"/>
                <w:spacing w:val="-2"/>
                <w:szCs w:val="20"/>
                <w:highlight w:val="none"/>
                <w14:textFill>
                  <w14:solidFill>
                    <w14:schemeClr w14:val="tx1"/>
                  </w14:solidFill>
                </w14:textFill>
              </w:rPr>
              <w:t>果皮、纸屑、塑膜及其他杂物</w:t>
            </w:r>
          </w:p>
          <w:p>
            <w:pPr>
              <w:jc w:val="center"/>
              <w:outlineLvl w:val="9"/>
              <w:rPr>
                <w:rFonts w:ascii="宋体" w:hAnsi="宋体"/>
                <w:b/>
                <w:bCs/>
                <w:color w:val="000000" w:themeColor="text1"/>
                <w:spacing w:val="-2"/>
                <w:szCs w:val="20"/>
                <w:highlight w:val="none"/>
                <w14:textFill>
                  <w14:solidFill>
                    <w14:schemeClr w14:val="tx1"/>
                  </w14:solidFill>
                </w14:textFill>
              </w:rPr>
            </w:pPr>
            <w:r>
              <w:rPr>
                <w:rFonts w:hint="eastAsia" w:ascii="宋体" w:hAnsi="宋体"/>
                <w:b/>
                <w:bCs/>
                <w:color w:val="000000" w:themeColor="text1"/>
                <w:spacing w:val="-2"/>
                <w:szCs w:val="20"/>
                <w:highlight w:val="none"/>
                <w14:textFill>
                  <w14:solidFill>
                    <w14:schemeClr w14:val="tx1"/>
                  </w14:solidFill>
                </w14:textFill>
              </w:rPr>
              <w:t>（件</w:t>
            </w:r>
            <w:r>
              <w:rPr>
                <w:rFonts w:ascii="宋体" w:hAnsi="宋体"/>
                <w:b/>
                <w:bCs/>
                <w:color w:val="000000" w:themeColor="text1"/>
                <w:spacing w:val="-2"/>
                <w:szCs w:val="20"/>
                <w:highlight w:val="none"/>
                <w14:textFill>
                  <w14:solidFill>
                    <w14:schemeClr w14:val="tx1"/>
                  </w14:solidFill>
                </w14:textFill>
              </w:rPr>
              <w:t>/500平方米）</w:t>
            </w:r>
          </w:p>
        </w:tc>
        <w:tc>
          <w:tcPr>
            <w:tcW w:w="1985" w:type="dxa"/>
            <w:shd w:val="clear" w:color="auto" w:fill="D9D9D9"/>
            <w:noWrap w:val="0"/>
            <w:vAlign w:val="center"/>
          </w:tcPr>
          <w:p>
            <w:pPr>
              <w:jc w:val="center"/>
              <w:outlineLvl w:val="9"/>
              <w:rPr>
                <w:rFonts w:ascii="宋体" w:hAnsi="宋体"/>
                <w:b/>
                <w:bCs/>
                <w:color w:val="000000" w:themeColor="text1"/>
                <w:spacing w:val="-2"/>
                <w:szCs w:val="20"/>
                <w:highlight w:val="none"/>
                <w14:textFill>
                  <w14:solidFill>
                    <w14:schemeClr w14:val="tx1"/>
                  </w14:solidFill>
                </w14:textFill>
              </w:rPr>
            </w:pPr>
            <w:r>
              <w:rPr>
                <w:rFonts w:hint="eastAsia" w:ascii="宋体" w:hAnsi="宋体"/>
                <w:b/>
                <w:bCs/>
                <w:color w:val="000000" w:themeColor="text1"/>
                <w:spacing w:val="-2"/>
                <w:szCs w:val="20"/>
                <w:highlight w:val="none"/>
                <w14:textFill>
                  <w14:solidFill>
                    <w14:schemeClr w14:val="tx1"/>
                  </w14:solidFill>
                </w14:textFill>
              </w:rPr>
              <w:t>烟蒂</w:t>
            </w:r>
          </w:p>
          <w:p>
            <w:pPr>
              <w:jc w:val="center"/>
              <w:outlineLvl w:val="9"/>
              <w:rPr>
                <w:rFonts w:ascii="宋体" w:hAnsi="宋体"/>
                <w:b/>
                <w:bCs/>
                <w:color w:val="000000" w:themeColor="text1"/>
                <w:spacing w:val="-2"/>
                <w:szCs w:val="20"/>
                <w:highlight w:val="none"/>
                <w14:textFill>
                  <w14:solidFill>
                    <w14:schemeClr w14:val="tx1"/>
                  </w14:solidFill>
                </w14:textFill>
              </w:rPr>
            </w:pPr>
            <w:r>
              <w:rPr>
                <w:rFonts w:hint="eastAsia" w:ascii="宋体" w:hAnsi="宋体"/>
                <w:b/>
                <w:bCs/>
                <w:color w:val="000000" w:themeColor="text1"/>
                <w:spacing w:val="-2"/>
                <w:szCs w:val="20"/>
                <w:highlight w:val="none"/>
                <w14:textFill>
                  <w14:solidFill>
                    <w14:schemeClr w14:val="tx1"/>
                  </w14:solidFill>
                </w14:textFill>
              </w:rPr>
              <w:t>（个</w:t>
            </w:r>
            <w:r>
              <w:rPr>
                <w:rFonts w:ascii="宋体" w:hAnsi="宋体"/>
                <w:b/>
                <w:bCs/>
                <w:color w:val="000000" w:themeColor="text1"/>
                <w:spacing w:val="-2"/>
                <w:szCs w:val="20"/>
                <w:highlight w:val="none"/>
                <w14:textFill>
                  <w14:solidFill>
                    <w14:schemeClr w14:val="tx1"/>
                  </w14:solidFill>
                </w14:textFill>
              </w:rPr>
              <w:t>/500平方米）</w:t>
            </w:r>
          </w:p>
        </w:tc>
        <w:tc>
          <w:tcPr>
            <w:tcW w:w="2409" w:type="dxa"/>
            <w:shd w:val="clear" w:color="auto" w:fill="D9D9D9"/>
            <w:noWrap w:val="0"/>
            <w:vAlign w:val="center"/>
          </w:tcPr>
          <w:p>
            <w:pPr>
              <w:jc w:val="center"/>
              <w:outlineLvl w:val="9"/>
              <w:rPr>
                <w:rFonts w:ascii="宋体" w:hAnsi="宋体"/>
                <w:b/>
                <w:bCs/>
                <w:color w:val="000000" w:themeColor="text1"/>
                <w:spacing w:val="-2"/>
                <w:szCs w:val="20"/>
                <w:highlight w:val="none"/>
                <w14:textFill>
                  <w14:solidFill>
                    <w14:schemeClr w14:val="tx1"/>
                  </w14:solidFill>
                </w14:textFill>
              </w:rPr>
            </w:pPr>
            <w:r>
              <w:rPr>
                <w:rFonts w:hint="eastAsia" w:ascii="宋体" w:hAnsi="宋体"/>
                <w:b/>
                <w:bCs/>
                <w:color w:val="000000" w:themeColor="text1"/>
                <w:szCs w:val="20"/>
                <w:highlight w:val="none"/>
                <w14:textFill>
                  <w14:solidFill>
                    <w14:schemeClr w14:val="tx1"/>
                  </w14:solidFill>
                </w14:textFill>
              </w:rPr>
              <w:t>污水、污渍</w:t>
            </w:r>
          </w:p>
          <w:p>
            <w:pPr>
              <w:jc w:val="center"/>
              <w:outlineLvl w:val="9"/>
              <w:rPr>
                <w:rFonts w:ascii="宋体" w:hAnsi="宋体"/>
                <w:b/>
                <w:bCs/>
                <w:color w:val="000000" w:themeColor="text1"/>
                <w:spacing w:val="-2"/>
                <w:szCs w:val="20"/>
                <w:highlight w:val="none"/>
                <w14:textFill>
                  <w14:solidFill>
                    <w14:schemeClr w14:val="tx1"/>
                  </w14:solidFill>
                </w14:textFill>
              </w:rPr>
            </w:pPr>
            <w:r>
              <w:rPr>
                <w:rFonts w:hint="eastAsia" w:ascii="宋体" w:hAnsi="宋体"/>
                <w:b/>
                <w:bCs/>
                <w:color w:val="000000" w:themeColor="text1"/>
                <w:spacing w:val="-2"/>
                <w:szCs w:val="20"/>
                <w:highlight w:val="none"/>
                <w14:textFill>
                  <w14:solidFill>
                    <w14:schemeClr w14:val="tx1"/>
                  </w14:solidFill>
                </w14:textFill>
              </w:rPr>
              <w:t>（平方米</w:t>
            </w:r>
            <w:r>
              <w:rPr>
                <w:rFonts w:ascii="宋体" w:hAnsi="宋体"/>
                <w:b/>
                <w:bCs/>
                <w:color w:val="000000" w:themeColor="text1"/>
                <w:spacing w:val="-2"/>
                <w:szCs w:val="20"/>
                <w:highlight w:val="none"/>
                <w14:textFill>
                  <w14:solidFill>
                    <w14:schemeClr w14:val="tx1"/>
                  </w14:solidFill>
                </w14:textFill>
              </w:rPr>
              <w:t>/500平方米）</w:t>
            </w:r>
          </w:p>
        </w:tc>
        <w:tc>
          <w:tcPr>
            <w:tcW w:w="1560" w:type="dxa"/>
            <w:shd w:val="clear" w:color="auto" w:fill="D9D9D9"/>
            <w:noWrap w:val="0"/>
            <w:vAlign w:val="center"/>
          </w:tcPr>
          <w:p>
            <w:pPr>
              <w:jc w:val="center"/>
              <w:outlineLvl w:val="9"/>
              <w:rPr>
                <w:rFonts w:ascii="宋体" w:hAnsi="宋体"/>
                <w:b/>
                <w:bCs/>
                <w:color w:val="000000" w:themeColor="text1"/>
                <w:spacing w:val="-2"/>
                <w:szCs w:val="20"/>
                <w:highlight w:val="none"/>
                <w14:textFill>
                  <w14:solidFill>
                    <w14:schemeClr w14:val="tx1"/>
                  </w14:solidFill>
                </w14:textFill>
              </w:rPr>
            </w:pPr>
            <w:r>
              <w:rPr>
                <w:rFonts w:hint="eastAsia" w:ascii="宋体" w:hAnsi="宋体"/>
                <w:b/>
                <w:bCs/>
                <w:color w:val="000000" w:themeColor="text1"/>
                <w:spacing w:val="-2"/>
                <w:szCs w:val="20"/>
                <w:highlight w:val="none"/>
                <w14:textFill>
                  <w14:solidFill>
                    <w14:schemeClr w14:val="tx1"/>
                  </w14:solidFill>
                </w14:textFill>
              </w:rPr>
              <w:t>尘土量</w:t>
            </w:r>
          </w:p>
          <w:p>
            <w:pPr>
              <w:jc w:val="center"/>
              <w:outlineLvl w:val="9"/>
              <w:rPr>
                <w:rFonts w:ascii="宋体" w:hAnsi="宋体"/>
                <w:b/>
                <w:bCs/>
                <w:color w:val="000000" w:themeColor="text1"/>
                <w:spacing w:val="-2"/>
                <w:szCs w:val="20"/>
                <w:highlight w:val="none"/>
                <w14:textFill>
                  <w14:solidFill>
                    <w14:schemeClr w14:val="tx1"/>
                  </w14:solidFill>
                </w14:textFill>
              </w:rPr>
            </w:pPr>
            <w:r>
              <w:rPr>
                <w:rFonts w:hint="eastAsia" w:ascii="宋体" w:hAnsi="宋体"/>
                <w:b/>
                <w:bCs/>
                <w:color w:val="000000" w:themeColor="text1"/>
                <w:spacing w:val="-2"/>
                <w:szCs w:val="20"/>
                <w:highlight w:val="none"/>
                <w14:textFill>
                  <w14:solidFill>
                    <w14:schemeClr w14:val="tx1"/>
                  </w14:solidFill>
                </w14:textFill>
              </w:rPr>
              <w:t>（克</w:t>
            </w:r>
            <w:r>
              <w:rPr>
                <w:rFonts w:ascii="宋体" w:hAnsi="宋体"/>
                <w:b/>
                <w:bCs/>
                <w:color w:val="000000" w:themeColor="text1"/>
                <w:spacing w:val="-2"/>
                <w:szCs w:val="20"/>
                <w:highlight w:val="none"/>
                <w14:textFill>
                  <w14:solidFill>
                    <w14:schemeClr w14:val="tx1"/>
                  </w14:solidFill>
                </w14:textFill>
              </w:rPr>
              <w:t>/平方米）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18" w:hRule="atLeast"/>
          <w:jc w:val="center"/>
        </w:trPr>
        <w:tc>
          <w:tcPr>
            <w:tcW w:w="1129"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hint="eastAsia" w:ascii="宋体" w:hAnsi="宋体"/>
                <w:color w:val="000000" w:themeColor="text1"/>
                <w:spacing w:val="-2"/>
                <w:szCs w:val="20"/>
                <w:highlight w:val="none"/>
                <w14:textFill>
                  <w14:solidFill>
                    <w14:schemeClr w14:val="tx1"/>
                  </w14:solidFill>
                </w14:textFill>
              </w:rPr>
              <w:t>特级</w:t>
            </w:r>
          </w:p>
        </w:tc>
        <w:tc>
          <w:tcPr>
            <w:tcW w:w="1990"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hint="eastAsia" w:ascii="宋体" w:hAnsi="宋体"/>
                <w:color w:val="000000" w:themeColor="text1"/>
                <w:spacing w:val="-2"/>
                <w:szCs w:val="20"/>
                <w:highlight w:val="none"/>
                <w14:textFill>
                  <w14:solidFill>
                    <w14:schemeClr w14:val="tx1"/>
                  </w14:solidFill>
                </w14:textFill>
              </w:rPr>
              <w:t>≤</w:t>
            </w:r>
            <w:r>
              <w:rPr>
                <w:rFonts w:ascii="宋体" w:hAnsi="宋体"/>
                <w:color w:val="000000" w:themeColor="text1"/>
                <w:spacing w:val="-2"/>
                <w:szCs w:val="20"/>
                <w:highlight w:val="none"/>
                <w14:textFill>
                  <w14:solidFill>
                    <w14:schemeClr w14:val="tx1"/>
                  </w14:solidFill>
                </w14:textFill>
              </w:rPr>
              <w:t>2</w:t>
            </w:r>
          </w:p>
        </w:tc>
        <w:tc>
          <w:tcPr>
            <w:tcW w:w="1985"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hint="eastAsia" w:ascii="宋体" w:hAnsi="宋体"/>
                <w:color w:val="000000" w:themeColor="text1"/>
                <w:spacing w:val="-2"/>
                <w:szCs w:val="20"/>
                <w:highlight w:val="none"/>
                <w14:textFill>
                  <w14:solidFill>
                    <w14:schemeClr w14:val="tx1"/>
                  </w14:solidFill>
                </w14:textFill>
              </w:rPr>
              <w:t>≤</w:t>
            </w:r>
            <w:r>
              <w:rPr>
                <w:rFonts w:ascii="宋体" w:hAnsi="宋体"/>
                <w:color w:val="000000" w:themeColor="text1"/>
                <w:spacing w:val="-2"/>
                <w:szCs w:val="20"/>
                <w:highlight w:val="none"/>
                <w14:textFill>
                  <w14:solidFill>
                    <w14:schemeClr w14:val="tx1"/>
                  </w14:solidFill>
                </w14:textFill>
              </w:rPr>
              <w:t>1</w:t>
            </w:r>
          </w:p>
        </w:tc>
        <w:tc>
          <w:tcPr>
            <w:tcW w:w="2409"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hint="eastAsia" w:ascii="宋体" w:hAnsi="宋体"/>
                <w:color w:val="000000" w:themeColor="text1"/>
                <w:spacing w:val="-2"/>
                <w:szCs w:val="20"/>
                <w:highlight w:val="none"/>
                <w14:textFill>
                  <w14:solidFill>
                    <w14:schemeClr w14:val="tx1"/>
                  </w14:solidFill>
                </w14:textFill>
              </w:rPr>
              <w:t>无</w:t>
            </w:r>
          </w:p>
        </w:tc>
        <w:tc>
          <w:tcPr>
            <w:tcW w:w="1560"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hint="eastAsia" w:ascii="宋体" w:hAnsi="宋体"/>
                <w:color w:val="000000" w:themeColor="text1"/>
                <w:spacing w:val="-2"/>
                <w:szCs w:val="20"/>
                <w:highlight w:val="none"/>
                <w14:textFill>
                  <w14:solidFill>
                    <w14:schemeClr w14:val="tx1"/>
                  </w14:solidFill>
                </w14:textFill>
              </w:rPr>
              <w:t>≤</w:t>
            </w:r>
            <w:r>
              <w:rPr>
                <w:rFonts w:ascii="宋体" w:hAnsi="宋体"/>
                <w:color w:val="000000" w:themeColor="text1"/>
                <w:spacing w:val="-2"/>
                <w:szCs w:val="20"/>
                <w:highlight w:val="none"/>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18" w:hRule="atLeast"/>
          <w:jc w:val="center"/>
        </w:trPr>
        <w:tc>
          <w:tcPr>
            <w:tcW w:w="1129"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hint="eastAsia" w:ascii="宋体" w:hAnsi="宋体"/>
                <w:color w:val="000000" w:themeColor="text1"/>
                <w:spacing w:val="-2"/>
                <w:szCs w:val="20"/>
                <w:highlight w:val="none"/>
                <w14:textFill>
                  <w14:solidFill>
                    <w14:schemeClr w14:val="tx1"/>
                  </w14:solidFill>
                </w14:textFill>
              </w:rPr>
              <w:t>一级</w:t>
            </w:r>
          </w:p>
        </w:tc>
        <w:tc>
          <w:tcPr>
            <w:tcW w:w="1990"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hint="eastAsia" w:ascii="宋体" w:hAnsi="宋体"/>
                <w:color w:val="000000" w:themeColor="text1"/>
                <w:spacing w:val="-2"/>
                <w:szCs w:val="20"/>
                <w:highlight w:val="none"/>
                <w14:textFill>
                  <w14:solidFill>
                    <w14:schemeClr w14:val="tx1"/>
                  </w14:solidFill>
                </w14:textFill>
              </w:rPr>
              <w:t>≤</w:t>
            </w:r>
            <w:r>
              <w:rPr>
                <w:rFonts w:ascii="宋体" w:hAnsi="宋体"/>
                <w:color w:val="000000" w:themeColor="text1"/>
                <w:spacing w:val="-2"/>
                <w:szCs w:val="20"/>
                <w:highlight w:val="none"/>
                <w14:textFill>
                  <w14:solidFill>
                    <w14:schemeClr w14:val="tx1"/>
                  </w14:solidFill>
                </w14:textFill>
              </w:rPr>
              <w:t>2</w:t>
            </w:r>
          </w:p>
        </w:tc>
        <w:tc>
          <w:tcPr>
            <w:tcW w:w="1985"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hint="eastAsia" w:ascii="宋体" w:hAnsi="宋体"/>
                <w:color w:val="000000" w:themeColor="text1"/>
                <w:spacing w:val="-2"/>
                <w:szCs w:val="20"/>
                <w:highlight w:val="none"/>
                <w14:textFill>
                  <w14:solidFill>
                    <w14:schemeClr w14:val="tx1"/>
                  </w14:solidFill>
                </w14:textFill>
              </w:rPr>
              <w:t>≤</w:t>
            </w:r>
            <w:r>
              <w:rPr>
                <w:rFonts w:ascii="宋体" w:hAnsi="宋体"/>
                <w:color w:val="000000" w:themeColor="text1"/>
                <w:spacing w:val="-2"/>
                <w:szCs w:val="20"/>
                <w:highlight w:val="none"/>
                <w14:textFill>
                  <w14:solidFill>
                    <w14:schemeClr w14:val="tx1"/>
                  </w14:solidFill>
                </w14:textFill>
              </w:rPr>
              <w:t>2</w:t>
            </w:r>
          </w:p>
        </w:tc>
        <w:tc>
          <w:tcPr>
            <w:tcW w:w="2409"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hint="eastAsia" w:ascii="宋体" w:hAnsi="宋体"/>
                <w:color w:val="000000" w:themeColor="text1"/>
                <w:spacing w:val="-2"/>
                <w:szCs w:val="20"/>
                <w:highlight w:val="none"/>
                <w14:textFill>
                  <w14:solidFill>
                    <w14:schemeClr w14:val="tx1"/>
                  </w14:solidFill>
                </w14:textFill>
              </w:rPr>
              <w:t>无</w:t>
            </w:r>
          </w:p>
        </w:tc>
        <w:tc>
          <w:tcPr>
            <w:tcW w:w="1560"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hint="eastAsia" w:ascii="宋体" w:hAnsi="宋体"/>
                <w:color w:val="000000" w:themeColor="text1"/>
                <w:spacing w:val="-2"/>
                <w:szCs w:val="20"/>
                <w:highlight w:val="none"/>
                <w14:textFill>
                  <w14:solidFill>
                    <w14:schemeClr w14:val="tx1"/>
                  </w14:solidFill>
                </w14:textFill>
              </w:rPr>
              <w:t>≤</w:t>
            </w:r>
            <w:r>
              <w:rPr>
                <w:rFonts w:ascii="宋体" w:hAnsi="宋体"/>
                <w:color w:val="000000" w:themeColor="text1"/>
                <w:spacing w:val="-2"/>
                <w:szCs w:val="20"/>
                <w:highlight w:val="none"/>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18" w:hRule="atLeast"/>
          <w:jc w:val="center"/>
        </w:trPr>
        <w:tc>
          <w:tcPr>
            <w:tcW w:w="1129"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hint="eastAsia" w:ascii="宋体" w:hAnsi="宋体"/>
                <w:color w:val="000000" w:themeColor="text1"/>
                <w:spacing w:val="-2"/>
                <w:szCs w:val="20"/>
                <w:highlight w:val="none"/>
                <w14:textFill>
                  <w14:solidFill>
                    <w14:schemeClr w14:val="tx1"/>
                  </w14:solidFill>
                </w14:textFill>
              </w:rPr>
              <w:t>二级</w:t>
            </w:r>
          </w:p>
        </w:tc>
        <w:tc>
          <w:tcPr>
            <w:tcW w:w="1990"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hint="eastAsia" w:ascii="宋体" w:hAnsi="宋体"/>
                <w:color w:val="000000" w:themeColor="text1"/>
                <w:spacing w:val="-2"/>
                <w:szCs w:val="20"/>
                <w:highlight w:val="none"/>
                <w14:textFill>
                  <w14:solidFill>
                    <w14:schemeClr w14:val="tx1"/>
                  </w14:solidFill>
                </w14:textFill>
              </w:rPr>
              <w:t>≤</w:t>
            </w:r>
            <w:r>
              <w:rPr>
                <w:rFonts w:ascii="宋体" w:hAnsi="宋体"/>
                <w:color w:val="000000" w:themeColor="text1"/>
                <w:spacing w:val="-2"/>
                <w:szCs w:val="20"/>
                <w:highlight w:val="none"/>
                <w14:textFill>
                  <w14:solidFill>
                    <w14:schemeClr w14:val="tx1"/>
                  </w14:solidFill>
                </w14:textFill>
              </w:rPr>
              <w:t>4</w:t>
            </w:r>
          </w:p>
        </w:tc>
        <w:tc>
          <w:tcPr>
            <w:tcW w:w="1985"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hint="eastAsia" w:ascii="宋体" w:hAnsi="宋体"/>
                <w:color w:val="000000" w:themeColor="text1"/>
                <w:spacing w:val="-2"/>
                <w:szCs w:val="20"/>
                <w:highlight w:val="none"/>
                <w14:textFill>
                  <w14:solidFill>
                    <w14:schemeClr w14:val="tx1"/>
                  </w14:solidFill>
                </w14:textFill>
              </w:rPr>
              <w:t>≤</w:t>
            </w:r>
            <w:r>
              <w:rPr>
                <w:rFonts w:ascii="宋体" w:hAnsi="宋体"/>
                <w:color w:val="000000" w:themeColor="text1"/>
                <w:spacing w:val="-2"/>
                <w:szCs w:val="20"/>
                <w:highlight w:val="none"/>
                <w14:textFill>
                  <w14:solidFill>
                    <w14:schemeClr w14:val="tx1"/>
                  </w14:solidFill>
                </w14:textFill>
              </w:rPr>
              <w:t>4</w:t>
            </w:r>
          </w:p>
        </w:tc>
        <w:tc>
          <w:tcPr>
            <w:tcW w:w="2409"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hint="eastAsia" w:ascii="宋体" w:hAnsi="宋体"/>
                <w:color w:val="000000" w:themeColor="text1"/>
                <w:spacing w:val="-2"/>
                <w:szCs w:val="20"/>
                <w:highlight w:val="none"/>
                <w14:textFill>
                  <w14:solidFill>
                    <w14:schemeClr w14:val="tx1"/>
                  </w14:solidFill>
                </w14:textFill>
              </w:rPr>
              <w:t>无</w:t>
            </w:r>
          </w:p>
        </w:tc>
        <w:tc>
          <w:tcPr>
            <w:tcW w:w="1560"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hint="eastAsia" w:ascii="宋体" w:hAnsi="宋体"/>
                <w:color w:val="000000" w:themeColor="text1"/>
                <w:spacing w:val="-2"/>
                <w:szCs w:val="20"/>
                <w:highlight w:val="none"/>
                <w14:textFill>
                  <w14:solidFill>
                    <w14:schemeClr w14:val="tx1"/>
                  </w14:solidFill>
                </w14:textFill>
              </w:rPr>
              <w:t>≤</w:t>
            </w:r>
            <w:r>
              <w:rPr>
                <w:rFonts w:ascii="宋体" w:hAnsi="宋体"/>
                <w:color w:val="000000" w:themeColor="text1"/>
                <w:spacing w:val="-2"/>
                <w:szCs w:val="20"/>
                <w:highlight w:val="none"/>
                <w14:textFill>
                  <w14:solidFill>
                    <w14:schemeClr w14:val="tx1"/>
                  </w14:solidFill>
                </w14:textFill>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18" w:hRule="atLeast"/>
          <w:jc w:val="center"/>
        </w:trPr>
        <w:tc>
          <w:tcPr>
            <w:tcW w:w="1129"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hint="eastAsia" w:ascii="宋体" w:hAnsi="宋体"/>
                <w:color w:val="000000" w:themeColor="text1"/>
                <w:spacing w:val="-2"/>
                <w:szCs w:val="20"/>
                <w:highlight w:val="none"/>
                <w14:textFill>
                  <w14:solidFill>
                    <w14:schemeClr w14:val="tx1"/>
                  </w14:solidFill>
                </w14:textFill>
              </w:rPr>
              <w:t>三级</w:t>
            </w:r>
          </w:p>
        </w:tc>
        <w:tc>
          <w:tcPr>
            <w:tcW w:w="1990"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hint="eastAsia" w:ascii="宋体" w:hAnsi="宋体"/>
                <w:color w:val="000000" w:themeColor="text1"/>
                <w:spacing w:val="-2"/>
                <w:szCs w:val="20"/>
                <w:highlight w:val="none"/>
                <w14:textFill>
                  <w14:solidFill>
                    <w14:schemeClr w14:val="tx1"/>
                  </w14:solidFill>
                </w14:textFill>
              </w:rPr>
              <w:t>≤</w:t>
            </w:r>
            <w:r>
              <w:rPr>
                <w:rFonts w:ascii="宋体" w:hAnsi="宋体"/>
                <w:color w:val="000000" w:themeColor="text1"/>
                <w:spacing w:val="-2"/>
                <w:szCs w:val="20"/>
                <w:highlight w:val="none"/>
                <w14:textFill>
                  <w14:solidFill>
                    <w14:schemeClr w14:val="tx1"/>
                  </w14:solidFill>
                </w14:textFill>
              </w:rPr>
              <w:t>6</w:t>
            </w:r>
          </w:p>
        </w:tc>
        <w:tc>
          <w:tcPr>
            <w:tcW w:w="1985"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hint="eastAsia" w:ascii="宋体" w:hAnsi="宋体"/>
                <w:color w:val="000000" w:themeColor="text1"/>
                <w:spacing w:val="-2"/>
                <w:szCs w:val="20"/>
                <w:highlight w:val="none"/>
                <w14:textFill>
                  <w14:solidFill>
                    <w14:schemeClr w14:val="tx1"/>
                  </w14:solidFill>
                </w14:textFill>
              </w:rPr>
              <w:t>≤</w:t>
            </w:r>
            <w:r>
              <w:rPr>
                <w:rFonts w:ascii="宋体" w:hAnsi="宋体"/>
                <w:color w:val="000000" w:themeColor="text1"/>
                <w:spacing w:val="-2"/>
                <w:szCs w:val="20"/>
                <w:highlight w:val="none"/>
                <w14:textFill>
                  <w14:solidFill>
                    <w14:schemeClr w14:val="tx1"/>
                  </w14:solidFill>
                </w14:textFill>
              </w:rPr>
              <w:t>5</w:t>
            </w:r>
          </w:p>
        </w:tc>
        <w:tc>
          <w:tcPr>
            <w:tcW w:w="2409"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ascii="宋体" w:hAnsi="宋体"/>
                <w:color w:val="000000" w:themeColor="text1"/>
                <w:spacing w:val="-2"/>
                <w:szCs w:val="20"/>
                <w:highlight w:val="none"/>
                <w14:textFill>
                  <w14:solidFill>
                    <w14:schemeClr w14:val="tx1"/>
                  </w14:solidFill>
                </w14:textFill>
              </w:rPr>
              <w:t>0.5</w:t>
            </w:r>
          </w:p>
        </w:tc>
        <w:tc>
          <w:tcPr>
            <w:tcW w:w="1560" w:type="dxa"/>
            <w:noWrap w:val="0"/>
            <w:vAlign w:val="center"/>
          </w:tcPr>
          <w:p>
            <w:pPr>
              <w:jc w:val="center"/>
              <w:outlineLvl w:val="9"/>
              <w:rPr>
                <w:rFonts w:ascii="宋体" w:hAnsi="宋体"/>
                <w:color w:val="000000" w:themeColor="text1"/>
                <w:spacing w:val="-2"/>
                <w:szCs w:val="20"/>
                <w:highlight w:val="none"/>
                <w14:textFill>
                  <w14:solidFill>
                    <w14:schemeClr w14:val="tx1"/>
                  </w14:solidFill>
                </w14:textFill>
              </w:rPr>
            </w:pPr>
            <w:r>
              <w:rPr>
                <w:rFonts w:hint="eastAsia" w:ascii="宋体" w:hAnsi="宋体"/>
                <w:color w:val="000000" w:themeColor="text1"/>
                <w:spacing w:val="-2"/>
                <w:szCs w:val="20"/>
                <w:highlight w:val="none"/>
                <w14:textFill>
                  <w14:solidFill>
                    <w14:schemeClr w14:val="tx1"/>
                  </w14:solidFill>
                </w14:textFill>
              </w:rPr>
              <w:t>≤</w:t>
            </w:r>
            <w:r>
              <w:rPr>
                <w:rFonts w:ascii="宋体" w:hAnsi="宋体"/>
                <w:color w:val="000000" w:themeColor="text1"/>
                <w:spacing w:val="-2"/>
                <w:szCs w:val="20"/>
                <w:highlight w:val="none"/>
                <w14:textFill>
                  <w14:solidFill>
                    <w14:schemeClr w14:val="tx1"/>
                  </w14:solidFill>
                </w14:textFill>
              </w:rPr>
              <w:t>25</w:t>
            </w:r>
          </w:p>
        </w:tc>
      </w:tr>
    </w:tbl>
    <w:p>
      <w:pPr>
        <w:pStyle w:val="202"/>
        <w:numPr>
          <w:ilvl w:val="2"/>
          <w:numId w:val="0"/>
        </w:numPr>
        <w:spacing w:beforeLines="0" w:afterLines="0"/>
        <w:ind w:firstLine="420" w:firstLineChars="20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3.2夜间保洁时，特级清扫保洁道路的路面垃圾杂物（仅计塑料袋、纸屑、饭盒等超过火柴盒大小的较大垃圾）每500平方米不超过4件，一至三级清扫保洁道路的路面垃圾杂物每500平方米不超过8件。</w:t>
      </w:r>
    </w:p>
    <w:p>
      <w:pPr>
        <w:pStyle w:val="202"/>
        <w:numPr>
          <w:ilvl w:val="2"/>
          <w:numId w:val="0"/>
        </w:numPr>
        <w:spacing w:beforeLines="0" w:afterLines="0"/>
        <w:ind w:firstLine="420" w:firstLineChars="20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3.3 绿地、绿化带及绿地隔离带无积存垃圾枯叶或人畜粪便。</w:t>
      </w:r>
    </w:p>
    <w:p>
      <w:pPr>
        <w:spacing w:before="72" w:beforeLines="30" w:line="360" w:lineRule="exact"/>
        <w:ind w:firstLine="420" w:firstLineChars="200"/>
        <w:jc w:val="left"/>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Cambria Math" w:hAnsi="Cambria Math" w:cs="Cambria Math"/>
          <w:i w:val="0"/>
          <w:iCs w:val="0"/>
          <w:caps w:val="0"/>
          <w:color w:val="000000" w:themeColor="text1"/>
          <w:spacing w:val="0"/>
          <w:kern w:val="2"/>
          <w:sz w:val="21"/>
          <w:szCs w:val="21"/>
          <w:highlight w:val="none"/>
          <w:shd w:val="clear" w:color="auto" w:fill="auto"/>
          <w:lang w:val="en-US" w:eastAsia="zh-CN"/>
          <w14:textFill>
            <w14:solidFill>
              <w14:schemeClr w14:val="tx1"/>
            </w14:solidFill>
          </w14:textFill>
        </w:rPr>
        <w:t xml:space="preserve">3.4 </w:t>
      </w:r>
      <w:r>
        <w:rPr>
          <w:rFonts w:hint="eastAsia" w:ascii="Cambria Math" w:hAnsi="Cambria Math" w:eastAsia="宋体" w:cs="Cambria Math"/>
          <w:i w:val="0"/>
          <w:iCs w:val="0"/>
          <w:caps w:val="0"/>
          <w:color w:val="000000" w:themeColor="text1"/>
          <w:spacing w:val="0"/>
          <w:kern w:val="2"/>
          <w:sz w:val="21"/>
          <w:szCs w:val="21"/>
          <w:highlight w:val="none"/>
          <w:shd w:val="clear" w:color="auto" w:fill="auto"/>
          <w:lang w:val="en-US" w:eastAsia="zh-CN"/>
          <w14:textFill>
            <w14:solidFill>
              <w14:schemeClr w14:val="tx1"/>
            </w14:solidFill>
          </w14:textFill>
        </w:rPr>
        <w:t>清</w:t>
      </w:r>
      <w:r>
        <w:rPr>
          <w:rFonts w:hint="eastAsia" w:ascii="宋体" w:hAnsi="宋体" w:eastAsia="宋体" w:cs="Times New Roman"/>
          <w:i w:val="0"/>
          <w:iCs w:val="0"/>
          <w:caps w:val="0"/>
          <w:color w:val="000000" w:themeColor="text1"/>
          <w:spacing w:val="0"/>
          <w:kern w:val="2"/>
          <w:sz w:val="21"/>
          <w:szCs w:val="21"/>
          <w:highlight w:val="none"/>
          <w:shd w:val="clear" w:color="auto" w:fill="auto"/>
          <w:lang w:val="en-US" w:eastAsia="zh-CN"/>
          <w14:textFill>
            <w14:solidFill>
              <w14:schemeClr w14:val="tx1"/>
            </w14:solidFill>
          </w14:textFill>
        </w:rPr>
        <w:t>扫保洁作业时，严格遵守相关作业操作规范，不出现负面违规操作，减少对市民的日常生活及工作环境的影响，减少环卫领域负面舆情投诉的产生。</w:t>
      </w:r>
    </w:p>
    <w:p>
      <w:pPr>
        <w:adjustRightInd w:val="0"/>
        <w:snapToGrid w:val="0"/>
        <w:ind w:firstLine="413" w:firstLineChars="196"/>
        <w:outlineLvl w:val="4"/>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4.城市家具保洁管理要求</w:t>
      </w:r>
    </w:p>
    <w:p>
      <w:pPr>
        <w:pStyle w:val="202"/>
        <w:numPr>
          <w:ilvl w:val="2"/>
          <w:numId w:val="0"/>
        </w:numPr>
        <w:spacing w:beforeLines="0" w:afterLines="0"/>
        <w:ind w:firstLine="420" w:firstLineChars="20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4.1果皮箱清理和维护要求：果皮箱应放置垃圾袋，每天需清理箱体2次以上，做到垃圾日产日清，无积压、溢满或在周围堆放，同时每天应擦洗箱体1次，外观应整洁、无污垢；如发现果皮箱损坏或被盗情况，</w:t>
      </w:r>
      <w:r>
        <w:rPr>
          <w:rFonts w:hint="eastAsia" w:ascii="宋体" w:hAnsi="宋体" w:eastAsia="宋体" w:cs="宋体"/>
          <w:color w:val="000000" w:themeColor="text1"/>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sz w:val="21"/>
          <w:szCs w:val="21"/>
          <w:highlight w:val="none"/>
          <w14:textFill>
            <w14:solidFill>
              <w14:schemeClr w14:val="tx1"/>
            </w14:solidFill>
          </w14:textFill>
        </w:rPr>
        <w:t>应立即向</w:t>
      </w:r>
      <w:r>
        <w:rPr>
          <w:rFonts w:hint="eastAsia" w:ascii="宋体" w:hAnsi="宋体" w:eastAsia="宋体" w:cs="宋体"/>
          <w:color w:val="000000" w:themeColor="text1"/>
          <w:sz w:val="21"/>
          <w:szCs w:val="21"/>
          <w:highlight w:val="none"/>
          <w:lang w:val="en-US" w:eastAsia="zh-CN"/>
          <w14:textFill>
            <w14:solidFill>
              <w14:schemeClr w14:val="tx1"/>
            </w14:solidFill>
          </w14:textFill>
        </w:rPr>
        <w:t>采购人</w:t>
      </w:r>
      <w:r>
        <w:rPr>
          <w:rFonts w:hint="eastAsia" w:asciiTheme="minorEastAsia" w:hAnsiTheme="minorEastAsia" w:eastAsiaTheme="minorEastAsia" w:cstheme="minorEastAsia"/>
          <w:snapToGrid w:val="0"/>
          <w:color w:val="auto"/>
          <w:kern w:val="0"/>
          <w:sz w:val="21"/>
          <w:szCs w:val="21"/>
          <w:highlight w:val="none"/>
          <w:lang w:eastAsia="zh-CN"/>
        </w:rPr>
        <w:t>及采购人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color w:val="000000" w:themeColor="text1"/>
          <w:sz w:val="21"/>
          <w:szCs w:val="21"/>
          <w:highlight w:val="none"/>
          <w14:textFill>
            <w14:solidFill>
              <w14:schemeClr w14:val="tx1"/>
            </w14:solidFill>
          </w14:textFill>
        </w:rPr>
        <w:t>报告；禁止作业人员在果皮箱收集的垃圾内翻捡废品。</w:t>
      </w:r>
    </w:p>
    <w:p>
      <w:pPr>
        <w:pStyle w:val="202"/>
        <w:numPr>
          <w:ilvl w:val="2"/>
          <w:numId w:val="0"/>
        </w:numPr>
        <w:spacing w:beforeLines="0" w:afterLines="0"/>
        <w:ind w:firstLine="420" w:firstLineChars="20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4.2垃圾收集点（屋）管理要求：垃圾桶应设置在不影响观瞻的隐蔽位置，不得将垃圾桶摆放在市政道路边；240升（含）以下垃圾桶应放置垃圾袋，垃圾必须入桶，收集点周围无废品杂物、无垃圾散落、无污水积存；同时应定期对收集点和垃圾桶进行清洗消毒维护，每天冲洗2次，垃圾桶应无残缺、破损，封闭性好，无明显臭味，保持整洁卫生，无蚊蝇滋生。如发现垃圾桶损坏或被盗情况，</w:t>
      </w:r>
      <w:r>
        <w:rPr>
          <w:rFonts w:hint="eastAsia" w:ascii="宋体" w:hAnsi="宋体" w:eastAsia="宋体" w:cs="宋体"/>
          <w:color w:val="000000" w:themeColor="text1"/>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sz w:val="21"/>
          <w:szCs w:val="21"/>
          <w:highlight w:val="none"/>
          <w14:textFill>
            <w14:solidFill>
              <w14:schemeClr w14:val="tx1"/>
            </w14:solidFill>
          </w14:textFill>
        </w:rPr>
        <w:t>应立即向</w:t>
      </w:r>
      <w:r>
        <w:rPr>
          <w:rFonts w:hint="eastAsia" w:ascii="宋体" w:hAnsi="宋体" w:eastAsia="宋体" w:cs="宋体"/>
          <w:color w:val="000000" w:themeColor="text1"/>
          <w:sz w:val="21"/>
          <w:szCs w:val="21"/>
          <w:highlight w:val="none"/>
          <w:lang w:val="en-US" w:eastAsia="zh-CN"/>
          <w14:textFill>
            <w14:solidFill>
              <w14:schemeClr w14:val="tx1"/>
            </w14:solidFill>
          </w14:textFill>
        </w:rPr>
        <w:t>采购人</w:t>
      </w:r>
      <w:r>
        <w:rPr>
          <w:rFonts w:hint="eastAsia" w:asciiTheme="minorEastAsia" w:hAnsiTheme="minorEastAsia" w:eastAsiaTheme="minorEastAsia" w:cstheme="minorEastAsia"/>
          <w:snapToGrid w:val="0"/>
          <w:color w:val="auto"/>
          <w:kern w:val="0"/>
          <w:sz w:val="21"/>
          <w:szCs w:val="21"/>
          <w:highlight w:val="none"/>
          <w:lang w:eastAsia="zh-CN"/>
        </w:rPr>
        <w:t>及采购人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color w:val="000000" w:themeColor="text1"/>
          <w:sz w:val="21"/>
          <w:szCs w:val="21"/>
          <w:highlight w:val="none"/>
          <w14:textFill>
            <w14:solidFill>
              <w14:schemeClr w14:val="tx1"/>
            </w14:solidFill>
          </w14:textFill>
        </w:rPr>
        <w:t>报告；禁止用箩筐或编织袋装垃圾；禁止作业人员及其它人员在垃圾收集点内翻捡废品或对外收购废品。</w:t>
      </w:r>
    </w:p>
    <w:p>
      <w:pPr>
        <w:pStyle w:val="202"/>
        <w:numPr>
          <w:ilvl w:val="2"/>
          <w:numId w:val="0"/>
        </w:numPr>
        <w:spacing w:beforeLines="0" w:afterLines="0"/>
        <w:ind w:firstLine="420" w:firstLineChars="20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4.3环卫工具房管理要求：有工具房的路段，工具应放在工具房内，保持工具房整洁，无乱张贴乱涂画，房顶和周围无垃圾杂物；无工具房的路段，不得将工具摆放在人行道上，要将工具存放在隐蔽位置，并摆放整齐，不得影响观瞻；环卫工具房只能存放环卫工具，不得堆放其他杂物或改作其他用途；环卫工具房内应配备分类垃圾桶，用于暂存可回收物、有害垃圾等；如发现环卫工具房损坏或被盗情况，</w:t>
      </w:r>
      <w:r>
        <w:rPr>
          <w:rFonts w:hint="eastAsia" w:ascii="宋体" w:hAnsi="宋体" w:eastAsia="宋体" w:cs="宋体"/>
          <w:color w:val="000000" w:themeColor="text1"/>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sz w:val="21"/>
          <w:szCs w:val="21"/>
          <w:highlight w:val="none"/>
          <w14:textFill>
            <w14:solidFill>
              <w14:schemeClr w14:val="tx1"/>
            </w14:solidFill>
          </w14:textFill>
        </w:rPr>
        <w:t>应立即向</w:t>
      </w:r>
      <w:r>
        <w:rPr>
          <w:rFonts w:hint="eastAsia" w:ascii="宋体" w:hAnsi="宋体" w:eastAsia="宋体" w:cs="宋体"/>
          <w:color w:val="000000" w:themeColor="text1"/>
          <w:sz w:val="21"/>
          <w:szCs w:val="21"/>
          <w:highlight w:val="none"/>
          <w:lang w:val="en-US" w:eastAsia="zh-CN"/>
          <w14:textFill>
            <w14:solidFill>
              <w14:schemeClr w14:val="tx1"/>
            </w14:solidFill>
          </w14:textFill>
        </w:rPr>
        <w:t>采购人</w:t>
      </w:r>
      <w:r>
        <w:rPr>
          <w:rFonts w:hint="eastAsia" w:asciiTheme="minorEastAsia" w:hAnsiTheme="minorEastAsia" w:eastAsiaTheme="minorEastAsia" w:cstheme="minorEastAsia"/>
          <w:snapToGrid w:val="0"/>
          <w:color w:val="auto"/>
          <w:kern w:val="0"/>
          <w:sz w:val="21"/>
          <w:szCs w:val="21"/>
          <w:highlight w:val="none"/>
          <w:lang w:eastAsia="zh-CN"/>
        </w:rPr>
        <w:t>及采购人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color w:val="000000" w:themeColor="text1"/>
          <w:sz w:val="21"/>
          <w:szCs w:val="21"/>
          <w:highlight w:val="none"/>
          <w14:textFill>
            <w14:solidFill>
              <w14:schemeClr w14:val="tx1"/>
            </w14:solidFill>
          </w14:textFill>
        </w:rPr>
        <w:t>报告；工具房外墙每天擦洗一次，房顶每月清理一次。</w:t>
      </w:r>
    </w:p>
    <w:p>
      <w:pPr>
        <w:pStyle w:val="197"/>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4.4其他道路附属公共设施乱张贴、乱涂写的清理和保洁要求：</w:t>
      </w:r>
      <w:r>
        <w:rPr>
          <w:rFonts w:hint="eastAsia"/>
          <w:color w:val="000000" w:themeColor="text1"/>
          <w:highlight w:val="none"/>
          <w14:textFill>
            <w14:solidFill>
              <w14:schemeClr w14:val="tx1"/>
            </w14:solidFill>
          </w14:textFill>
        </w:rPr>
        <w:t>①发现沿路两侧建筑外墙乱张贴乱涂写及果皮箱、灯杆、护栏等公共设施乱张贴要及时清除干净。②路旁排水明沟内无积存垃圾和人畜粪便。③交通护栏、标志牌（高度2m内范围）和隔音设施等无积尘、无乱张贴、无明显污迹，特级保洁道路交通护栏每周清洗一次，其他道路交通护栏每月至少清洗一次。④道路两侧路灯（高度2m内范围）、广告牌、路牌、邮筒、读报栏等设施无污迹、积尘、乱张贴和乱涂写，每周擦洗一次。⑤公交候车站、地铁站出入口应整洁，其保洁质量应与所在道路保洁质量标准相同，应每天清理乱张贴乱涂写，候车亭每周进行一次清洗。⑥道路两侧其他人造景观、休闲椅、康乐体育设施、雕塑等无积尘、无乱张贴、无明显污迹，特级路要求每天擦洗一次，其他道路每周至少擦洗一次。⑦立交桥、高架桥等桥面的保洁质量应与连接的道路保洁质量标准相同。桥梁墩柱、桥栏杆应整洁，无乱张贴、乱涂写和明显污迹，每月清洗一次。⑧人行天桥桥面地面以及桥顶应无明显垃圾，阶梯、扶手、栏杆应干净整洁，无乱张贴、乱涂写，每天用湿布抹拭扶手和护栏一次，楼梯和桥面每周星期一和星期五用湿地拖洗一次，确保路面见本色，无油污、痰迹、口香糖等污垢。⑨定期对道路两侧喷泉、水幕、水池等人工造景进行清理，确保水体及周边无垃圾、无污水积存。⑩定期对雨水口安装的防蚊闸进行清理，不应积存垃圾、污泥等。</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（二）垃圾清运服务和质量要求</w:t>
      </w:r>
    </w:p>
    <w:p>
      <w:pPr>
        <w:adjustRightInd w:val="0"/>
        <w:snapToGrid w:val="0"/>
        <w:ind w:firstLine="413" w:firstLineChars="196"/>
        <w:outlineLvl w:val="4"/>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1. 垃圾收集容器的清洗和保洁</w:t>
      </w:r>
    </w:p>
    <w:p>
      <w:pPr>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垃圾收集容器应密闭，放置垃圾袋，实行垃圾袋装收集。箱周围地面无抛撒、存留垃圾。</w:t>
      </w:r>
    </w:p>
    <w:p>
      <w:pPr>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特级保洁道路垃圾收集容器垃圾随满随清，每天清理3次以上，每天清洗1次；一、二级保洁道路每天清理2次以上，每天清洗1次；三级保洁道路每天清理1次以上，每周清洗2次;商业街区等繁华路段的垃圾收集容器应保证随脏即清。清理后垃圾收集容器周边地面应保持清洁。</w:t>
      </w:r>
    </w:p>
    <w:p>
      <w:pPr>
        <w:adjustRightInd w:val="0"/>
        <w:snapToGrid w:val="0"/>
        <w:ind w:firstLine="413" w:firstLineChars="196"/>
        <w:outlineLvl w:val="4"/>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2、垃圾前端收运：</w:t>
      </w:r>
    </w:p>
    <w:p>
      <w:pPr>
        <w:ind w:firstLine="420" w:firstLineChars="20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服务区域垃圾收集桶点摆放与源头收运由中标</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snapToGrid w:val="0"/>
          <w:color w:val="000000" w:themeColor="text1"/>
          <w:kern w:val="0"/>
          <w:sz w:val="21"/>
          <w:szCs w:val="21"/>
          <w:highlight w:val="none"/>
          <w14:textFill>
            <w14:solidFill>
              <w14:schemeClr w14:val="tx1"/>
            </w14:solidFill>
          </w14:textFill>
        </w:rPr>
        <w:t>负责。垃圾收集桶点源头收运作业要求：</w:t>
      </w:r>
    </w:p>
    <w:p>
      <w:pPr>
        <w:ind w:firstLine="420" w:firstLineChars="20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（1）垃圾收集桶摆放数量、质量满足服务区域的要求；</w:t>
      </w:r>
    </w:p>
    <w:p>
      <w:pPr>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（2）</w:t>
      </w:r>
      <w:r>
        <w:rPr>
          <w:rFonts w:hint="eastAsia" w:ascii="宋体" w:hAnsi="宋体" w:eastAsia="宋体" w:cs="宋体"/>
          <w:color w:val="000000" w:themeColor="text1"/>
          <w:kern w:val="0"/>
          <w:sz w:val="21"/>
          <w:szCs w:val="21"/>
          <w:highlight w:val="none"/>
          <w14:textFill>
            <w14:solidFill>
              <w14:schemeClr w14:val="tx1"/>
            </w14:solidFill>
          </w14:textFill>
        </w:rPr>
        <w:t>确保“桶满即清”，垃圾在桶内的停留时间不超过24 小时；</w:t>
      </w:r>
    </w:p>
    <w:p>
      <w:pPr>
        <w:ind w:firstLine="420" w:firstLineChars="200"/>
        <w:jc w:val="lef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w:t>
      </w:r>
      <w:r>
        <w:rPr>
          <w:rFonts w:hint="eastAsia" w:ascii="宋体" w:hAnsi="宋体" w:eastAsia="宋体" w:cs="宋体"/>
          <w:bCs/>
          <w:color w:val="000000" w:themeColor="text1"/>
          <w:sz w:val="21"/>
          <w:szCs w:val="21"/>
          <w:highlight w:val="none"/>
          <w14:textFill>
            <w14:solidFill>
              <w14:schemeClr w14:val="tx1"/>
            </w14:solidFill>
          </w14:textFill>
        </w:rPr>
        <w:t>桶内垃圾溢满度≤80﹪；</w:t>
      </w:r>
    </w:p>
    <w:p>
      <w:pPr>
        <w:ind w:firstLine="420" w:firstLineChars="20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（4）垃圾收集桶无残缺、破损；</w:t>
      </w:r>
    </w:p>
    <w:p>
      <w:pPr>
        <w:ind w:firstLine="420" w:firstLineChars="200"/>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（5）运输途中无滴漏、不开启桶盖，做到无公害作业；</w:t>
      </w:r>
    </w:p>
    <w:p>
      <w:pPr>
        <w:ind w:firstLine="420" w:firstLineChars="200"/>
        <w:jc w:val="left"/>
        <w:rPr>
          <w:rFonts w:hint="eastAsia" w:ascii="宋体" w:hAnsi="宋体" w:eastAsia="宋体" w:cs="宋体"/>
          <w:bCs/>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（6）垃圾收集桶收运及时，在小区外摆放不超过</w:t>
      </w:r>
      <w:r>
        <w:rPr>
          <w:rFonts w:hint="eastAsia" w:ascii="宋体" w:hAnsi="宋体" w:eastAsia="宋体" w:cs="宋体"/>
          <w:bCs/>
          <w:snapToGrid w:val="0"/>
          <w:color w:val="000000" w:themeColor="text1"/>
          <w:kern w:val="0"/>
          <w:sz w:val="21"/>
          <w:szCs w:val="21"/>
          <w:highlight w:val="none"/>
          <w14:textFill>
            <w14:solidFill>
              <w14:schemeClr w14:val="tx1"/>
            </w14:solidFill>
          </w14:textFill>
        </w:rPr>
        <w:t>20分钟；</w:t>
      </w:r>
    </w:p>
    <w:p>
      <w:pPr>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（7）</w:t>
      </w:r>
      <w:r>
        <w:rPr>
          <w:rFonts w:hint="eastAsia" w:ascii="宋体" w:hAnsi="宋体" w:eastAsia="宋体" w:cs="宋体"/>
          <w:color w:val="000000" w:themeColor="text1"/>
          <w:kern w:val="0"/>
          <w:sz w:val="21"/>
          <w:szCs w:val="21"/>
          <w:highlight w:val="none"/>
          <w14:textFill>
            <w14:solidFill>
              <w14:schemeClr w14:val="tx1"/>
            </w14:solidFill>
          </w14:textFill>
        </w:rPr>
        <w:t>垃圾收集点应及时清运，每天清运两次，分别为上午</w:t>
      </w:r>
      <w:r>
        <w:rPr>
          <w:rFonts w:hint="eastAsia" w:ascii="宋体" w:hAnsi="宋体" w:cs="宋体"/>
          <w:color w:val="000000" w:themeColor="text1"/>
          <w:kern w:val="0"/>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0"/>
          <w:sz w:val="21"/>
          <w:szCs w:val="21"/>
          <w:highlight w:val="none"/>
          <w14:textFill>
            <w14:solidFill>
              <w14:schemeClr w14:val="tx1"/>
            </w14:solidFill>
          </w14:textFill>
        </w:rPr>
        <w:t>:00时-1</w:t>
      </w:r>
      <w:r>
        <w:rPr>
          <w:rFonts w:hint="eastAsia" w:ascii="宋体" w:hAnsi="宋体" w:cs="宋体"/>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cs="宋体"/>
          <w:color w:val="000000" w:themeColor="text1"/>
          <w:kern w:val="0"/>
          <w:sz w:val="21"/>
          <w:szCs w:val="21"/>
          <w:highlight w:val="none"/>
          <w:lang w:val="en-US" w:eastAsia="zh-CN"/>
          <w14:textFill>
            <w14:solidFill>
              <w14:schemeClr w14:val="tx1"/>
            </w14:solidFill>
          </w14:textFill>
        </w:rPr>
        <w:t>0</w:t>
      </w:r>
      <w:r>
        <w:rPr>
          <w:rFonts w:hint="eastAsia" w:ascii="宋体" w:hAnsi="宋体" w:eastAsia="宋体" w:cs="宋体"/>
          <w:color w:val="000000" w:themeColor="text1"/>
          <w:kern w:val="0"/>
          <w:sz w:val="21"/>
          <w:szCs w:val="21"/>
          <w:highlight w:val="none"/>
          <w14:textFill>
            <w14:solidFill>
              <w14:schemeClr w14:val="tx1"/>
            </w14:solidFill>
          </w14:textFill>
        </w:rPr>
        <w:t>0时，</w:t>
      </w:r>
      <w:r>
        <w:rPr>
          <w:rFonts w:hint="eastAsia" w:ascii="宋体" w:hAnsi="宋体" w:cs="宋体"/>
          <w:color w:val="000000" w:themeColor="text1"/>
          <w:kern w:val="0"/>
          <w:sz w:val="21"/>
          <w:szCs w:val="21"/>
          <w:highlight w:val="none"/>
          <w:lang w:eastAsia="zh-CN"/>
          <w14:textFill>
            <w14:solidFill>
              <w14:schemeClr w14:val="tx1"/>
            </w14:solidFill>
          </w14:textFill>
        </w:rPr>
        <w:t>下午</w:t>
      </w:r>
      <w:r>
        <w:rPr>
          <w:rFonts w:hint="eastAsia" w:ascii="宋体" w:hAnsi="宋体" w:cs="宋体"/>
          <w:color w:val="000000" w:themeColor="text1"/>
          <w:kern w:val="0"/>
          <w:sz w:val="21"/>
          <w:szCs w:val="21"/>
          <w:highlight w:val="none"/>
          <w:lang w:val="en-US" w:eastAsia="zh-CN"/>
          <w14:textFill>
            <w14:solidFill>
              <w14:schemeClr w14:val="tx1"/>
            </w14:solidFill>
          </w14:textFill>
        </w:rPr>
        <w:t>14</w:t>
      </w: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cs="宋体"/>
          <w:color w:val="000000" w:themeColor="text1"/>
          <w:kern w:val="0"/>
          <w:sz w:val="21"/>
          <w:szCs w:val="21"/>
          <w:highlight w:val="none"/>
          <w:lang w:val="en-US" w:eastAsia="zh-CN"/>
          <w14:textFill>
            <w14:solidFill>
              <w14:schemeClr w14:val="tx1"/>
            </w14:solidFill>
          </w14:textFill>
        </w:rPr>
        <w:t>00</w:t>
      </w:r>
      <w:r>
        <w:rPr>
          <w:rFonts w:hint="eastAsia" w:ascii="宋体" w:hAnsi="宋体" w:eastAsia="宋体" w:cs="宋体"/>
          <w:color w:val="000000" w:themeColor="text1"/>
          <w:kern w:val="0"/>
          <w:sz w:val="21"/>
          <w:szCs w:val="21"/>
          <w:highlight w:val="none"/>
          <w14:textFill>
            <w14:solidFill>
              <w14:schemeClr w14:val="tx1"/>
            </w14:solidFill>
          </w14:textFill>
        </w:rPr>
        <w:t>时-</w:t>
      </w:r>
      <w:r>
        <w:rPr>
          <w:rFonts w:hint="eastAsia" w:ascii="宋体" w:hAnsi="宋体" w:cs="宋体"/>
          <w:color w:val="000000" w:themeColor="text1"/>
          <w:kern w:val="0"/>
          <w:sz w:val="21"/>
          <w:szCs w:val="21"/>
          <w:highlight w:val="none"/>
          <w:lang w:val="en-US" w:eastAsia="zh-CN"/>
          <w14:textFill>
            <w14:solidFill>
              <w14:schemeClr w14:val="tx1"/>
            </w14:solidFill>
          </w14:textFill>
        </w:rPr>
        <w:t>22</w:t>
      </w:r>
      <w:r>
        <w:rPr>
          <w:rFonts w:hint="eastAsia" w:ascii="宋体" w:hAnsi="宋体" w:eastAsia="宋体" w:cs="宋体"/>
          <w:color w:val="000000" w:themeColor="text1"/>
          <w:kern w:val="0"/>
          <w:sz w:val="21"/>
          <w:szCs w:val="21"/>
          <w:highlight w:val="none"/>
          <w14:textFill>
            <w14:solidFill>
              <w14:schemeClr w14:val="tx1"/>
            </w14:solidFill>
          </w14:textFill>
        </w:rPr>
        <w:t>:00时，确保每个时段所有垃圾收集点的垃圾全部完成清运；</w:t>
      </w:r>
    </w:p>
    <w:p>
      <w:pPr>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（8）</w:t>
      </w:r>
      <w:r>
        <w:rPr>
          <w:rFonts w:hint="eastAsia" w:ascii="宋体" w:hAnsi="宋体" w:cs="宋体"/>
          <w:color w:val="000000" w:themeColor="text1"/>
          <w:kern w:val="0"/>
          <w:sz w:val="21"/>
          <w:szCs w:val="21"/>
          <w:highlight w:val="none"/>
          <w:lang w:eastAsia="zh-CN"/>
          <w14:textFill>
            <w14:solidFill>
              <w14:schemeClr w14:val="tx1"/>
            </w14:solidFill>
          </w14:textFill>
        </w:rPr>
        <w:t>大件垃圾和年花年桔应安排专人专车清运，每天组织专车巡回清理；</w:t>
      </w:r>
    </w:p>
    <w:p>
      <w:pPr>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cs="宋体"/>
          <w:color w:val="000000" w:themeColor="text1"/>
          <w:kern w:val="0"/>
          <w:sz w:val="21"/>
          <w:szCs w:val="21"/>
          <w:highlight w:val="none"/>
          <w:lang w:val="en-US" w:eastAsia="zh-CN"/>
          <w14:textFill>
            <w14:solidFill>
              <w14:schemeClr w14:val="tx1"/>
            </w14:solidFill>
          </w14:textFill>
        </w:rPr>
        <w:t>9</w:t>
      </w: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垃圾桶密闭化运输，不得超高超载。</w:t>
      </w:r>
    </w:p>
    <w:p>
      <w:pPr>
        <w:adjustRightInd w:val="0"/>
        <w:snapToGrid w:val="0"/>
        <w:ind w:firstLine="413" w:firstLineChars="196"/>
        <w:outlineLvl w:val="4"/>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3、垃圾后端收运及垃圾转运站管理：</w:t>
      </w:r>
    </w:p>
    <w:p>
      <w:pPr>
        <w:adjustRightInd w:val="0"/>
        <w:snapToGrid w:val="0"/>
        <w:ind w:firstLine="411" w:firstLineChars="196"/>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（1）</w:t>
      </w:r>
      <w:r>
        <w:rPr>
          <w:rFonts w:hint="eastAsia" w:ascii="宋体" w:hAnsi="宋体" w:eastAsia="宋体" w:cs="宋体"/>
          <w:color w:val="000000" w:themeColor="text1"/>
          <w:kern w:val="0"/>
          <w:sz w:val="21"/>
          <w:szCs w:val="21"/>
          <w:highlight w:val="none"/>
          <w14:textFill>
            <w14:solidFill>
              <w14:schemeClr w14:val="tx1"/>
            </w14:solidFill>
          </w14:textFill>
        </w:rPr>
        <w:t xml:space="preserve"> 垃圾转运站设专人管理，并建立站点作业日志，详细记录垃圾来源，垃圾量、作业班次、运输车辆信息及管理责任人等运营情况；</w:t>
      </w:r>
    </w:p>
    <w:p>
      <w:pPr>
        <w:adjustRightInd w:val="0"/>
        <w:snapToGrid w:val="0"/>
        <w:ind w:firstLine="411" w:firstLineChars="196"/>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（2）垃圾转运站操作员应严格遵守装运操作规程，确保安全作业； </w:t>
      </w:r>
    </w:p>
    <w:p>
      <w:pPr>
        <w:adjustRightInd w:val="0"/>
        <w:snapToGrid w:val="0"/>
        <w:ind w:firstLine="411" w:firstLineChars="196"/>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 垃圾转运站应实行“垃圾不落地”作业，垃圾到站后应即时压缩进箱，及时转运并替换空箱，严禁“满箱过夜”；</w:t>
      </w:r>
    </w:p>
    <w:p>
      <w:pPr>
        <w:adjustRightInd w:val="0"/>
        <w:snapToGrid w:val="0"/>
        <w:ind w:firstLine="411" w:firstLineChars="196"/>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（4） 垃圾转运站应只接收其他垃圾进站，不应接收建筑垃圾、医疗垃圾、动物尸体、园林绿化垃圾、工业垃圾等其他废弃物进站； </w:t>
      </w:r>
    </w:p>
    <w:p>
      <w:pPr>
        <w:adjustRightInd w:val="0"/>
        <w:snapToGrid w:val="0"/>
        <w:ind w:firstLine="411" w:firstLineChars="196"/>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（5） 严禁法律严格禁止的垃圾进站； </w:t>
      </w:r>
    </w:p>
    <w:p>
      <w:pPr>
        <w:adjustRightInd w:val="0"/>
        <w:snapToGrid w:val="0"/>
        <w:ind w:firstLine="411" w:firstLineChars="196"/>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（6） 严禁在无分类收集运输功能的垃圾转运站分拣废品； </w:t>
      </w:r>
    </w:p>
    <w:p>
      <w:pPr>
        <w:adjustRightInd w:val="0"/>
        <w:snapToGrid w:val="0"/>
        <w:ind w:firstLine="411" w:firstLineChars="196"/>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（7） 垃圾转运站构筑物内外墙面不得有明显积尘、污迹，窗户应无积尘、蛛网，周围 5 米内应无垃圾散落和污水积存； </w:t>
      </w:r>
    </w:p>
    <w:p>
      <w:pPr>
        <w:adjustRightInd w:val="0"/>
        <w:snapToGrid w:val="0"/>
        <w:ind w:firstLine="411" w:firstLineChars="196"/>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（8） 垃圾转运站应定期维护、保养各种设施设备，设施设备损坏或丢失的，应在 12 小时内修复，确保设施设备完好； </w:t>
      </w:r>
    </w:p>
    <w:p>
      <w:pPr>
        <w:adjustRightInd w:val="0"/>
        <w:snapToGrid w:val="0"/>
        <w:ind w:firstLine="411" w:firstLineChars="196"/>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（9）垃圾收集、压缩运输过程中，除机器运转本身产生噪音外其他声音不应影响居民工作、休息，作业人员不得在站内大声喧哗，移动垃圾桶应该按规范操作，不得产生扰民噪音；</w:t>
      </w:r>
    </w:p>
    <w:p>
      <w:pPr>
        <w:adjustRightInd w:val="0"/>
        <w:snapToGrid w:val="0"/>
        <w:ind w:firstLine="411" w:firstLineChars="196"/>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（10）做好站点除臭工作，垃圾恶臭强度≤Ⅱ级；</w:t>
      </w:r>
    </w:p>
    <w:p>
      <w:pPr>
        <w:adjustRightInd w:val="0"/>
        <w:snapToGrid w:val="0"/>
        <w:ind w:firstLine="411" w:firstLineChars="196"/>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（11）做好站点灭蝇等消杀工作，“四害”密度低于国家标准，其中苍蝇≤2只/视野范围（20㎡），必须自行配备专门的喷洒器械、毒鼠屋和安全药物；</w:t>
      </w:r>
    </w:p>
    <w:p>
      <w:pPr>
        <w:adjustRightInd w:val="0"/>
        <w:snapToGrid w:val="0"/>
        <w:ind w:firstLine="411" w:firstLineChars="196"/>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（12）垃圾转运站内禁止堆放任何物品，管理间内禁止堆放除工具之外的物品，确保管理间整洁、干净；</w:t>
      </w:r>
    </w:p>
    <w:p>
      <w:pPr>
        <w:adjustRightInd w:val="0"/>
        <w:snapToGrid w:val="0"/>
        <w:ind w:firstLine="411" w:firstLineChars="196"/>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（13）中标</w:t>
      </w:r>
      <w:r>
        <w:rPr>
          <w:rFonts w:hint="eastAsia" w:ascii="宋体" w:hAnsi="宋体" w:cs="宋体"/>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定期以及按</w:t>
      </w:r>
      <w:r>
        <w:rPr>
          <w:rFonts w:hint="eastAsia" w:ascii="宋体" w:hAnsi="宋体" w:cs="宋体"/>
          <w:color w:val="000000" w:themeColor="text1"/>
          <w:kern w:val="0"/>
          <w:sz w:val="21"/>
          <w:szCs w:val="21"/>
          <w:highlight w:val="none"/>
          <w:lang w:eastAsia="zh-CN"/>
          <w14:textFill>
            <w14:solidFill>
              <w14:schemeClr w14:val="tx1"/>
            </w14:solidFill>
          </w14:textFill>
        </w:rPr>
        <w:t>采购人及采购人指定的监管单位</w:t>
      </w:r>
      <w:r>
        <w:rPr>
          <w:rFonts w:hint="eastAsia" w:ascii="宋体" w:hAnsi="宋体" w:eastAsia="宋体" w:cs="宋体"/>
          <w:color w:val="000000" w:themeColor="text1"/>
          <w:kern w:val="0"/>
          <w:sz w:val="21"/>
          <w:szCs w:val="21"/>
          <w:highlight w:val="none"/>
          <w14:textFill>
            <w14:solidFill>
              <w14:schemeClr w14:val="tx1"/>
            </w14:solidFill>
          </w14:textFill>
        </w:rPr>
        <w:t>要求喷漆翻新垃圾压缩箱体，保证车容车貌</w:t>
      </w:r>
      <w:r>
        <w:rPr>
          <w:rFonts w:hint="eastAsia" w:ascii="宋体" w:hAnsi="宋体" w:cs="宋体"/>
          <w:color w:val="000000" w:themeColor="text1"/>
          <w:kern w:val="0"/>
          <w:sz w:val="21"/>
          <w:szCs w:val="21"/>
          <w:highlight w:val="none"/>
          <w:lang w:eastAsia="zh-CN"/>
          <w14:textFill>
            <w14:solidFill>
              <w14:schemeClr w14:val="tx1"/>
            </w14:solidFill>
          </w14:textFill>
        </w:rPr>
        <w:t>；</w:t>
      </w:r>
    </w:p>
    <w:p>
      <w:pPr>
        <w:spacing w:line="360" w:lineRule="exact"/>
        <w:ind w:firstLine="420" w:firstLineChars="200"/>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r>
        <w:rPr>
          <w:rFonts w:hint="eastAsia" w:ascii="宋体" w:hAnsi="宋体" w:cs="宋体"/>
          <w:color w:val="000000" w:themeColor="text1"/>
          <w:kern w:val="0"/>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cs="宋体"/>
          <w:color w:val="000000" w:themeColor="text1"/>
          <w:kern w:val="0"/>
          <w:sz w:val="21"/>
          <w:szCs w:val="21"/>
          <w:highlight w:val="none"/>
          <w:lang w:eastAsia="zh-CN"/>
          <w14:textFill>
            <w14:solidFill>
              <w14:schemeClr w14:val="tx1"/>
            </w14:solidFill>
          </w14:textFill>
        </w:rPr>
        <w:t>中标人定期对采购人提供的垃圾压缩设备进行维修和维护保养，确保正常运作；如无法维修继续使用的，中标人须按照采购人或采购人指定的监管单位要求购置新垃圾压缩设备；采购人提供了垃圾站管理但内部未提供垃圾压缩设备，在合同履行期内出现垃圾处理不及时的，投标人须按照采购人或采购人指定的监管单位要求配置垃圾压缩设备。</w:t>
      </w:r>
    </w:p>
    <w:p>
      <w:pPr>
        <w:adjustRightInd/>
        <w:snapToGrid/>
        <w:spacing w:line="36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（15）垃圾站排水沟雨水篦子、水龙头、灯具等小型设施维护、维修等经费由中标人负责。</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（三）公厕管理服务和质量要求</w:t>
      </w:r>
    </w:p>
    <w:p>
      <w:pPr>
        <w:adjustRightInd w:val="0"/>
        <w:snapToGrid w:val="0"/>
        <w:ind w:firstLine="411" w:firstLineChars="196"/>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1.</w:t>
      </w:r>
      <w:r>
        <w:rPr>
          <w:rFonts w:hint="eastAsia" w:ascii="宋体" w:hAnsi="宋体" w:eastAsia="宋体" w:cs="宋体"/>
          <w:color w:val="000000" w:themeColor="text1"/>
          <w:kern w:val="0"/>
          <w:sz w:val="21"/>
          <w:szCs w:val="21"/>
          <w:highlight w:val="none"/>
          <w14:textFill>
            <w14:solidFill>
              <w14:schemeClr w14:val="tx1"/>
            </w14:solidFill>
          </w14:textFill>
        </w:rPr>
        <w:t>公厕实行免费开放；</w:t>
      </w:r>
    </w:p>
    <w:p>
      <w:pPr>
        <w:adjustRightInd w:val="0"/>
        <w:snapToGrid w:val="0"/>
        <w:ind w:firstLine="411" w:firstLineChars="196"/>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color w:val="000000" w:themeColor="text1"/>
          <w:kern w:val="0"/>
          <w:sz w:val="21"/>
          <w:szCs w:val="21"/>
          <w:highlight w:val="none"/>
          <w14:textFill>
            <w14:solidFill>
              <w14:schemeClr w14:val="tx1"/>
            </w14:solidFill>
          </w14:textFill>
        </w:rPr>
        <w:t>公厕开放时间：24小时开放；</w:t>
      </w:r>
    </w:p>
    <w:p>
      <w:pPr>
        <w:adjustRightInd w:val="0"/>
        <w:snapToGrid w:val="0"/>
        <w:ind w:firstLine="411" w:firstLineChars="196"/>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3.</w:t>
      </w:r>
      <w:r>
        <w:rPr>
          <w:rFonts w:hint="eastAsia" w:ascii="宋体" w:hAnsi="宋体" w:eastAsia="宋体" w:cs="宋体"/>
          <w:color w:val="000000" w:themeColor="text1"/>
          <w:kern w:val="0"/>
          <w:sz w:val="21"/>
          <w:szCs w:val="21"/>
          <w:highlight w:val="none"/>
          <w14:textFill>
            <w14:solidFill>
              <w14:schemeClr w14:val="tx1"/>
            </w14:solidFill>
          </w14:textFill>
        </w:rPr>
        <w:t>公厕管理标准：达“六无、四净、三通”要求：</w:t>
      </w:r>
    </w:p>
    <w:p>
      <w:pPr>
        <w:adjustRightInd w:val="0"/>
        <w:snapToGrid w:val="0"/>
        <w:ind w:firstLine="411" w:firstLineChars="196"/>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六无”：无痰涕纸屑，无屎尿溢塞，无积尘、蛛网，无污泥积水，无蝇蛆，无明显臭味；“四净”：地面、蹲位、挡墙净，粪槽、尿槽、池斗净，门窗设备净，周周环境净（含花圃）；“三通”：自来水通，照明电路通，排污管道通；</w:t>
      </w:r>
    </w:p>
    <w:p>
      <w:pPr>
        <w:adjustRightInd w:val="0"/>
        <w:snapToGrid w:val="0"/>
        <w:ind w:firstLine="411" w:firstLineChars="196"/>
        <w:rPr>
          <w:rFonts w:hint="eastAsia" w:ascii="宋体" w:hAnsi="宋体" w:cs="宋体"/>
          <w:color w:val="000000" w:themeColor="text1"/>
          <w:kern w:val="0"/>
          <w:sz w:val="21"/>
          <w:szCs w:val="21"/>
          <w:highlight w:val="none"/>
          <w:lang w:eastAsia="zh-CN"/>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4.</w:t>
      </w:r>
      <w:r>
        <w:rPr>
          <w:rFonts w:hint="eastAsia" w:ascii="宋体" w:hAnsi="宋体" w:cs="宋体"/>
          <w:color w:val="000000" w:themeColor="text1"/>
          <w:kern w:val="0"/>
          <w:sz w:val="21"/>
          <w:szCs w:val="21"/>
          <w:highlight w:val="none"/>
          <w:lang w:eastAsia="zh-CN"/>
          <w14:textFill>
            <w14:solidFill>
              <w14:schemeClr w14:val="tx1"/>
            </w14:solidFill>
          </w14:textFill>
        </w:rPr>
        <w:t>公厕水龙头、隔板、灯具等小型设施维护、维修等经费由中标供应商负责；</w:t>
      </w:r>
    </w:p>
    <w:p>
      <w:pPr>
        <w:adjustRightInd w:val="0"/>
        <w:snapToGrid w:val="0"/>
        <w:ind w:firstLine="411" w:firstLineChars="196"/>
        <w:rPr>
          <w:rFonts w:hint="eastAsia" w:ascii="宋体" w:hAnsi="宋体" w:cs="宋体"/>
          <w:color w:val="000000" w:themeColor="text1"/>
          <w:kern w:val="0"/>
          <w:sz w:val="21"/>
          <w:szCs w:val="21"/>
          <w:highlight w:val="none"/>
          <w:lang w:eastAsia="zh-CN"/>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5.</w:t>
      </w:r>
      <w:r>
        <w:rPr>
          <w:rFonts w:hint="eastAsia" w:ascii="宋体" w:hAnsi="宋体" w:cs="宋体"/>
          <w:color w:val="000000" w:themeColor="text1"/>
          <w:kern w:val="0"/>
          <w:sz w:val="21"/>
          <w:szCs w:val="21"/>
          <w:highlight w:val="none"/>
          <w:lang w:eastAsia="zh-CN"/>
          <w14:textFill>
            <w14:solidFill>
              <w14:schemeClr w14:val="tx1"/>
            </w14:solidFill>
          </w14:textFill>
        </w:rPr>
        <w:t>配备充足并免费提供手纸、洗手液；</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（四）中水回用取水点管理服务和质量要求</w:t>
      </w:r>
    </w:p>
    <w:p>
      <w:pPr>
        <w:widowControl/>
        <w:ind w:firstLine="411" w:firstLineChars="196"/>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1.必须按照《盐田区中水回用取水点管理暂行规定》，负责落实中水回用取水点管理工作，并对中水回用取水点进行规范管理；</w:t>
      </w:r>
    </w:p>
    <w:p>
      <w:pPr>
        <w:widowControl/>
        <w:ind w:firstLine="411" w:firstLineChars="196"/>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2.设置专人管理，并自行配置管理项目相关的清洁用具、劳动工具及办公用品；</w:t>
      </w:r>
    </w:p>
    <w:p>
      <w:pPr>
        <w:widowControl/>
        <w:ind w:firstLine="411" w:firstLineChars="196"/>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管理人员必须对取水车辆进行严格检查，凭证取水，做好登记工作。取水点每天开放时间上午00:00时—12:00时；下午14:00时—18:00时。其余时间如用水单位需紧急用水，管理人员必须密切配合，在接到电话通知后15分钟内到场，保证供水；</w:t>
      </w:r>
    </w:p>
    <w:p>
      <w:pPr>
        <w:widowControl/>
        <w:ind w:firstLine="411" w:firstLineChars="196"/>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4.管理人员每天应负责取水点周边的市容环境卫生管理，确保无污水积留、无污迹、无余泥渣土、无车辆乱停放、无“四害”孳生地；</w:t>
      </w:r>
    </w:p>
    <w:p>
      <w:pPr>
        <w:widowControl/>
        <w:ind w:firstLine="411" w:firstLineChars="196"/>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5.每月将用水单位用水情况进行统计，月度用水统计表和取水情况登记本应于每月3日前交</w:t>
      </w:r>
      <w:r>
        <w:rPr>
          <w:rFonts w:hint="eastAsia" w:ascii="宋体" w:hAnsi="宋体" w:cs="宋体"/>
          <w:color w:val="000000" w:themeColor="text1"/>
          <w:kern w:val="0"/>
          <w:sz w:val="21"/>
          <w:szCs w:val="21"/>
          <w:highlight w:val="none"/>
          <w:lang w:eastAsia="zh-CN"/>
          <w14:textFill>
            <w14:solidFill>
              <w14:schemeClr w14:val="tx1"/>
            </w14:solidFill>
          </w14:textFill>
        </w:rPr>
        <w:t>采购人或采购人指定的监管单位</w:t>
      </w:r>
      <w:r>
        <w:rPr>
          <w:rFonts w:hint="eastAsia" w:ascii="宋体" w:hAnsi="宋体" w:eastAsia="宋体" w:cs="宋体"/>
          <w:color w:val="000000" w:themeColor="text1"/>
          <w:kern w:val="0"/>
          <w:sz w:val="21"/>
          <w:szCs w:val="21"/>
          <w:highlight w:val="none"/>
          <w14:textFill>
            <w14:solidFill>
              <w14:schemeClr w14:val="tx1"/>
            </w14:solidFill>
          </w14:textFill>
        </w:rPr>
        <w:t>备案；</w:t>
      </w:r>
    </w:p>
    <w:p>
      <w:pPr>
        <w:widowControl/>
        <w:ind w:firstLine="411" w:firstLineChars="196"/>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6.负责管理好取水点的配套设施、广告标志牌和园林绿化，确保设施不被损坏和盗窃，场地不被占用。合同履行期间，中水点的配套设施被盗或损坏的由中标供应商负责；</w:t>
      </w:r>
    </w:p>
    <w:p>
      <w:pPr>
        <w:widowControl/>
        <w:ind w:firstLine="411" w:firstLineChars="196"/>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7.不准无关人员在取水点内擅自用水，不准其他闲杂人员在管理房内停留或留宿过夜。</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（五）其他要求</w:t>
      </w:r>
    </w:p>
    <w:p>
      <w:pPr>
        <w:widowControl/>
        <w:ind w:firstLine="411" w:firstLineChars="196"/>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1.为美化垃圾站及公厕环境，中标</w:t>
      </w:r>
      <w:r>
        <w:rPr>
          <w:rFonts w:hint="eastAsia" w:ascii="宋体" w:hAnsi="宋体" w:cs="宋体"/>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必须负责垃圾站（公厕）周边绿化带管理养护（包含清洁卫生），并提供室内空间摆放花草及养护服务（每个公共厕所不少于大盆盆栽2盆，小型盆栽4盆、可以委托专业公司负责，费用自行承担）；</w:t>
      </w:r>
    </w:p>
    <w:p>
      <w:pPr>
        <w:widowControl/>
        <w:ind w:firstLine="411" w:firstLineChars="196"/>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2.负责垃圾站及公共厕所病媒生物消杀及消毒服务，可视范围内苍蝇不超过2只、其他病媒生物不得超过国家标准密度范围。为防止病菌传播，除政府部门统一安排的消杀工作外，中标</w:t>
      </w:r>
      <w:r>
        <w:rPr>
          <w:rFonts w:hint="eastAsia" w:ascii="宋体" w:hAnsi="宋体" w:cs="宋体"/>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必须每天另行组织对垃圾站及公共厕所进行消杀及消毒二次，所有作业必须由专业技术人员开展规范作业（可以另行委托专业公司负责）；</w:t>
      </w:r>
    </w:p>
    <w:p>
      <w:pPr>
        <w:widowControl/>
        <w:ind w:firstLine="411" w:firstLineChars="196"/>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3.中标</w:t>
      </w:r>
      <w:r>
        <w:rPr>
          <w:rFonts w:hint="eastAsia" w:ascii="宋体" w:hAnsi="宋体" w:cs="宋体"/>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必须配备专业技术人员对站点水电设施、站点内垃圾压缩设备、除臭等设备进行专业管理，在合同期内自行对上述设备、站点设施进行维护管理，同时要对站点内及周边排水管网进行维护管理，定期进行疏通，保证排水管网畅通；</w:t>
      </w:r>
    </w:p>
    <w:p>
      <w:pPr>
        <w:widowControl/>
        <w:ind w:firstLine="411" w:firstLineChars="196"/>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4.中标</w:t>
      </w:r>
      <w:r>
        <w:rPr>
          <w:rFonts w:hint="eastAsia" w:ascii="宋体" w:hAnsi="宋体" w:cs="宋体"/>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自行解决在盐田垃圾焚烧厂停运检修期间辖区垃圾转运以及运输车辆通行问题，</w:t>
      </w:r>
      <w:r>
        <w:rPr>
          <w:rFonts w:hint="eastAsia" w:ascii="宋体" w:hAnsi="宋体" w:cs="宋体"/>
          <w:color w:val="000000" w:themeColor="text1"/>
          <w:kern w:val="0"/>
          <w:sz w:val="21"/>
          <w:szCs w:val="21"/>
          <w:highlight w:val="none"/>
          <w:lang w:val="en-US" w:eastAsia="zh-CN"/>
          <w14:textFill>
            <w14:solidFill>
              <w14:schemeClr w14:val="tx1"/>
            </w14:solidFill>
          </w14:textFill>
        </w:rPr>
        <w:t>采购人</w:t>
      </w:r>
      <w:r>
        <w:rPr>
          <w:rFonts w:hint="eastAsia" w:ascii="宋体" w:hAnsi="宋体" w:eastAsia="宋体" w:cs="宋体"/>
          <w:color w:val="000000" w:themeColor="text1"/>
          <w:kern w:val="0"/>
          <w:sz w:val="21"/>
          <w:szCs w:val="21"/>
          <w:highlight w:val="none"/>
          <w14:textFill>
            <w14:solidFill>
              <w14:schemeClr w14:val="tx1"/>
            </w14:solidFill>
          </w14:textFill>
        </w:rPr>
        <w:t>只出具相关证明，中标</w:t>
      </w:r>
      <w:r>
        <w:rPr>
          <w:rFonts w:hint="eastAsia" w:ascii="宋体" w:hAnsi="宋体" w:cs="宋体"/>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需要自行考虑上述因素所带来的成本及备用措施问题，</w:t>
      </w:r>
      <w:r>
        <w:rPr>
          <w:rFonts w:hint="eastAsia" w:ascii="宋体" w:hAnsi="宋体" w:cs="宋体"/>
          <w:color w:val="000000" w:themeColor="text1"/>
          <w:kern w:val="0"/>
          <w:sz w:val="21"/>
          <w:szCs w:val="21"/>
          <w:highlight w:val="none"/>
          <w:lang w:val="en-US" w:eastAsia="zh-CN"/>
          <w14:textFill>
            <w14:solidFill>
              <w14:schemeClr w14:val="tx1"/>
            </w14:solidFill>
          </w14:textFill>
        </w:rPr>
        <w:t>采购人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color w:val="000000" w:themeColor="text1"/>
          <w:kern w:val="0"/>
          <w:sz w:val="21"/>
          <w:szCs w:val="21"/>
          <w:highlight w:val="none"/>
          <w14:textFill>
            <w14:solidFill>
              <w14:schemeClr w14:val="tx1"/>
            </w14:solidFill>
          </w14:textFill>
        </w:rPr>
        <w:t>概不负责上述问题所增加的一切费用，若因垃圾转运不及时所造成环境污染或其他负面影响均由中标</w:t>
      </w:r>
      <w:r>
        <w:rPr>
          <w:rFonts w:hint="eastAsia" w:ascii="宋体" w:hAnsi="宋体" w:cs="宋体"/>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负责，</w:t>
      </w:r>
      <w:r>
        <w:rPr>
          <w:rFonts w:hint="eastAsia" w:ascii="宋体" w:hAnsi="宋体" w:cs="宋体"/>
          <w:color w:val="000000" w:themeColor="text1"/>
          <w:kern w:val="0"/>
          <w:sz w:val="21"/>
          <w:szCs w:val="21"/>
          <w:highlight w:val="none"/>
          <w:lang w:val="en-US" w:eastAsia="zh-CN"/>
          <w14:textFill>
            <w14:solidFill>
              <w14:schemeClr w14:val="tx1"/>
            </w14:solidFill>
          </w14:textFill>
        </w:rPr>
        <w:t>采购人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color w:val="000000" w:themeColor="text1"/>
          <w:kern w:val="0"/>
          <w:sz w:val="21"/>
          <w:szCs w:val="21"/>
          <w:highlight w:val="none"/>
          <w14:textFill>
            <w14:solidFill>
              <w14:schemeClr w14:val="tx1"/>
            </w14:solidFill>
          </w14:textFill>
        </w:rPr>
        <w:t>有权启动应急处置措施，因此所引起费用全部由中标</w:t>
      </w:r>
      <w:r>
        <w:rPr>
          <w:rFonts w:hint="eastAsia" w:ascii="宋体" w:hAnsi="宋体" w:cs="宋体"/>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负责，若影响恶劣</w:t>
      </w:r>
      <w:r>
        <w:rPr>
          <w:rFonts w:hint="eastAsia" w:ascii="宋体" w:hAnsi="宋体" w:cs="宋体"/>
          <w:color w:val="000000" w:themeColor="text1"/>
          <w:kern w:val="0"/>
          <w:sz w:val="21"/>
          <w:szCs w:val="21"/>
          <w:highlight w:val="none"/>
          <w:lang w:val="en-US" w:eastAsia="zh-CN"/>
          <w14:textFill>
            <w14:solidFill>
              <w14:schemeClr w14:val="tx1"/>
            </w14:solidFill>
          </w14:textFill>
        </w:rPr>
        <w:t>采购人</w:t>
      </w:r>
      <w:r>
        <w:rPr>
          <w:rFonts w:hint="eastAsia" w:ascii="宋体" w:hAnsi="宋体" w:eastAsia="宋体" w:cs="宋体"/>
          <w:color w:val="000000" w:themeColor="text1"/>
          <w:kern w:val="0"/>
          <w:sz w:val="21"/>
          <w:szCs w:val="21"/>
          <w:highlight w:val="none"/>
          <w14:textFill>
            <w14:solidFill>
              <w14:schemeClr w14:val="tx1"/>
            </w14:solidFill>
          </w14:textFill>
        </w:rPr>
        <w:t>有权终止合同；</w:t>
      </w:r>
    </w:p>
    <w:p>
      <w:pPr>
        <w:widowControl/>
        <w:ind w:firstLine="411" w:firstLineChars="196"/>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5.在盐田焚烧厂停厂检修期间，中标</w:t>
      </w:r>
      <w:r>
        <w:rPr>
          <w:rFonts w:hint="eastAsia" w:ascii="宋体" w:hAnsi="宋体" w:cs="宋体"/>
          <w:color w:val="000000" w:themeColor="text1"/>
          <w:kern w:val="0"/>
          <w:sz w:val="21"/>
          <w:szCs w:val="21"/>
          <w:highlight w:val="none"/>
          <w:lang w:val="en-US" w:eastAsia="zh-CN"/>
          <w14:textFill>
            <w14:solidFill>
              <w14:schemeClr w14:val="tx1"/>
            </w14:solidFill>
          </w14:textFill>
        </w:rPr>
        <w:t>人</w:t>
      </w:r>
      <w:r>
        <w:rPr>
          <w:rFonts w:hint="eastAsia" w:ascii="宋体" w:hAnsi="宋体" w:eastAsia="宋体" w:cs="宋体"/>
          <w:color w:val="000000" w:themeColor="text1"/>
          <w:kern w:val="0"/>
          <w:sz w:val="21"/>
          <w:szCs w:val="21"/>
          <w:highlight w:val="none"/>
          <w14:textFill>
            <w14:solidFill>
              <w14:schemeClr w14:val="tx1"/>
            </w14:solidFill>
          </w14:textFill>
        </w:rPr>
        <w:t>需要启动应急预案，增加垃圾运输车辆及转运频次，还未能解决的情况下，应采取平板车存放垃圾桶或另寻地方存放垃圾桶的方式收纳生活垃圾，垃圾站点周边不得出现堆放垃圾桶或垃圾裸放地面。</w:t>
      </w:r>
    </w:p>
    <w:p>
      <w:pPr>
        <w:widowControl/>
        <w:ind w:firstLine="411" w:firstLineChars="196"/>
        <w:jc w:val="lef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6.其他质量要求按照以下文件执行：</w:t>
      </w:r>
    </w:p>
    <w:p>
      <w:pPr>
        <w:widowControl/>
        <w:ind w:firstLine="411" w:firstLineChars="196"/>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1</w:t>
      </w:r>
      <w:r>
        <w:rPr>
          <w:rFonts w:hint="eastAsia" w:ascii="宋体" w:hAnsi="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14:textFill>
            <w14:solidFill>
              <w14:schemeClr w14:val="tx1"/>
            </w14:solidFill>
          </w14:textFill>
        </w:rPr>
        <w:t>《公共区域环境卫生质量和管理要求》（DB4403/T 59—2020）</w:t>
      </w:r>
    </w:p>
    <w:p>
      <w:pPr>
        <w:widowControl/>
        <w:ind w:firstLine="411" w:firstLineChars="196"/>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2</w:t>
      </w:r>
      <w:r>
        <w:rPr>
          <w:rFonts w:hint="eastAsia" w:ascii="宋体" w:hAnsi="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14:textFill>
            <w14:solidFill>
              <w14:schemeClr w14:val="tx1"/>
            </w14:solidFill>
          </w14:textFill>
        </w:rPr>
        <w:t>《生活垃圾收集和运输规范》（DB4403/T 58—2020）</w:t>
      </w:r>
    </w:p>
    <w:p>
      <w:pPr>
        <w:widowControl/>
        <w:ind w:firstLine="411" w:firstLineChars="196"/>
        <w:jc w:val="left"/>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cs="宋体"/>
          <w:snapToGrid w:val="0"/>
          <w:color w:val="000000" w:themeColor="text1"/>
          <w:kern w:val="0"/>
          <w:sz w:val="21"/>
          <w:szCs w:val="21"/>
          <w:highlight w:val="none"/>
          <w:lang w:val="en-US" w:eastAsia="zh-CN"/>
          <w14:textFill>
            <w14:solidFill>
              <w14:schemeClr w14:val="tx1"/>
            </w14:solidFill>
          </w14:textFill>
        </w:rPr>
        <w:t>3</w:t>
      </w:r>
      <w:r>
        <w:rPr>
          <w:rFonts w:hint="eastAsia" w:ascii="宋体" w:hAnsi="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14:textFill>
            <w14:solidFill>
              <w14:schemeClr w14:val="tx1"/>
            </w14:solidFill>
          </w14:textFill>
        </w:rPr>
        <w:t>服务和质量要求按照本招标文件、《公共区域环境卫生质量和管理要求》(DB4403/T 59—2020)《深圳市垃圾收运密闭化标准》（DB4403/T 58—2020）及市、区政府或主管部门发布的规范性文件等要求执行；合同履行期间，标准、规范及规范性文件有修订的，按修订后的标准和规范执行。前述标准、规范、规定之间有不一致的，以要求较高的标准执行。</w:t>
      </w:r>
    </w:p>
    <w:p>
      <w:pPr>
        <w:pStyle w:val="5"/>
        <w:spacing w:before="120" w:beforeLines="50" w:after="120" w:afterLines="50"/>
        <w:jc w:val="center"/>
        <w:rPr>
          <w:rFonts w:hint="eastAsia" w:cs="Times New Roman"/>
          <w:color w:val="000000" w:themeColor="text1"/>
          <w:szCs w:val="24"/>
          <w:highlight w:val="none"/>
          <w:lang w:val="en-US" w:eastAsia="zh-CN"/>
          <w14:textFill>
            <w14:solidFill>
              <w14:schemeClr w14:val="tx1"/>
            </w14:solidFill>
          </w14:textFill>
        </w:rPr>
      </w:pPr>
      <w:r>
        <w:rPr>
          <w:rFonts w:hint="eastAsia" w:cs="Times New Roman"/>
          <w:color w:val="000000" w:themeColor="text1"/>
          <w:szCs w:val="24"/>
          <w:highlight w:val="none"/>
          <w:lang w:val="en-US" w:eastAsia="zh-CN"/>
          <w14:textFill>
            <w14:solidFill>
              <w14:schemeClr w14:val="tx1"/>
            </w14:solidFill>
          </w14:textFill>
        </w:rPr>
        <w:t>七、安全生产要求</w:t>
      </w:r>
    </w:p>
    <w:p>
      <w:pPr>
        <w:widowControl/>
        <w:spacing w:before="89" w:beforeLines="37" w:after="89" w:afterLines="37"/>
        <w:ind w:firstLine="421" w:firstLineChars="200"/>
        <w:jc w:val="left"/>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根据国家《安全生产法》及《广东省安全生产条例》的规定和要求，本项目的安全生产工作必须接受政府有关部门的监督管理。</w:t>
      </w:r>
    </w:p>
    <w:p>
      <w:pPr>
        <w:widowControl/>
        <w:numPr>
          <w:ilvl w:val="0"/>
          <w:numId w:val="13"/>
        </w:numPr>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中标人严格执行国家、省、市、区安全生产管理方面的法律、法规、规章及其他规范性文件的规定，遵守</w:t>
      </w:r>
      <w:r>
        <w:rPr>
          <w:rFonts w:hint="eastAsia" w:ascii="宋体" w:hAnsi="宋体" w:cs="宋体"/>
          <w:color w:val="000000" w:themeColor="text1"/>
          <w:kern w:val="0"/>
          <w:sz w:val="21"/>
          <w:szCs w:val="21"/>
          <w:highlight w:val="none"/>
          <w:lang w:eastAsia="zh-CN"/>
          <w14:textFill>
            <w14:solidFill>
              <w14:schemeClr w14:val="tx1"/>
            </w14:solidFill>
          </w14:textFill>
        </w:rPr>
        <w:t>采购人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color w:val="000000" w:themeColor="text1"/>
          <w:kern w:val="0"/>
          <w:sz w:val="21"/>
          <w:szCs w:val="21"/>
          <w:highlight w:val="none"/>
          <w14:textFill>
            <w14:solidFill>
              <w14:schemeClr w14:val="tx1"/>
            </w14:solidFill>
          </w14:textFill>
        </w:rPr>
        <w:t>的安全生产管理制度、规定及要求，积极参加各项安全生产管理及安全教育培训的活动。</w:t>
      </w:r>
    </w:p>
    <w:p>
      <w:pPr>
        <w:widowControl/>
        <w:numPr>
          <w:ilvl w:val="0"/>
          <w:numId w:val="13"/>
        </w:numPr>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中标人是企业安全生产管理的责任主体，对企业的安全生产负全责。设立安全生产管理组织架构、落实安全生产责任制并签订责任状，明确主要负责人、管理人员的安全职责与考核要求，按安全生产管理规定配置专职安全员。安全员应当持证上岗，并按规定独立行使职权。</w:t>
      </w:r>
    </w:p>
    <w:p>
      <w:pPr>
        <w:widowControl/>
        <w:numPr>
          <w:ilvl w:val="0"/>
          <w:numId w:val="13"/>
        </w:numPr>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中标人的法定代表人为企业安全生产管理的第一责任人，项目经理为本单位安全生产管理的直接责任人，负责企业生产安全，落实安全生产规章制度和操作规程，确保安全生产投入的有效使用，消除安全事故隐患，并及时、如实向</w:t>
      </w:r>
      <w:r>
        <w:rPr>
          <w:rFonts w:hint="eastAsia" w:ascii="宋体" w:hAnsi="宋体" w:cs="宋体"/>
          <w:color w:val="000000" w:themeColor="text1"/>
          <w:kern w:val="0"/>
          <w:sz w:val="21"/>
          <w:szCs w:val="21"/>
          <w:highlight w:val="none"/>
          <w:lang w:eastAsia="zh-CN"/>
          <w14:textFill>
            <w14:solidFill>
              <w14:schemeClr w14:val="tx1"/>
            </w14:solidFill>
          </w14:textFill>
        </w:rPr>
        <w:t>采购人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color w:val="000000" w:themeColor="text1"/>
          <w:kern w:val="0"/>
          <w:sz w:val="21"/>
          <w:szCs w:val="21"/>
          <w:highlight w:val="none"/>
          <w14:textFill>
            <w14:solidFill>
              <w14:schemeClr w14:val="tx1"/>
            </w14:solidFill>
          </w14:textFill>
        </w:rPr>
        <w:t xml:space="preserve">及相关部门报告安全生产的情况。 </w:t>
      </w:r>
    </w:p>
    <w:p>
      <w:pPr>
        <w:widowControl/>
        <w:numPr>
          <w:ilvl w:val="0"/>
          <w:numId w:val="13"/>
        </w:numPr>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中标人应建立健全、完善、适应企业发展需要的安全生产管理制度、劳动保障体系、自查自纠和风险防控措施，根据环卫作业的具体要求编制安全生产应急预案、应急演练方案，定期进行演练并进行应急演练记录，保证在最大限度内减少事故带来的损失。</w:t>
      </w:r>
    </w:p>
    <w:p>
      <w:pPr>
        <w:widowControl/>
        <w:numPr>
          <w:ilvl w:val="0"/>
          <w:numId w:val="13"/>
        </w:numPr>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中标人应建立安全生产档案，确保相关的记录齐全、有效，定期（每周不少于一次）进行安全隐患排查，并及时向</w:t>
      </w:r>
      <w:r>
        <w:rPr>
          <w:rFonts w:hint="eastAsia" w:ascii="宋体" w:hAnsi="宋体" w:cs="宋体"/>
          <w:color w:val="000000" w:themeColor="text1"/>
          <w:kern w:val="0"/>
          <w:sz w:val="21"/>
          <w:szCs w:val="21"/>
          <w:highlight w:val="none"/>
          <w:lang w:eastAsia="zh-CN"/>
          <w14:textFill>
            <w14:solidFill>
              <w14:schemeClr w14:val="tx1"/>
            </w14:solidFill>
          </w14:textFill>
        </w:rPr>
        <w:t>采购人</w:t>
      </w:r>
      <w:r>
        <w:rPr>
          <w:rFonts w:hint="eastAsia" w:ascii="宋体" w:hAnsi="宋体" w:eastAsia="宋体" w:cs="宋体"/>
          <w:color w:val="000000" w:themeColor="text1"/>
          <w:kern w:val="0"/>
          <w:sz w:val="21"/>
          <w:szCs w:val="21"/>
          <w:highlight w:val="none"/>
          <w14:textFill>
            <w14:solidFill>
              <w14:schemeClr w14:val="tx1"/>
            </w14:solidFill>
          </w14:textFill>
        </w:rPr>
        <w:t xml:space="preserve">通报排查情况。 </w:t>
      </w:r>
    </w:p>
    <w:p>
      <w:pPr>
        <w:widowControl/>
        <w:numPr>
          <w:ilvl w:val="0"/>
          <w:numId w:val="13"/>
        </w:numPr>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应认真配合采购人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color w:val="000000" w:themeColor="text1"/>
          <w:kern w:val="0"/>
          <w:sz w:val="21"/>
          <w:szCs w:val="21"/>
          <w:highlight w:val="none"/>
          <w14:textFill>
            <w14:solidFill>
              <w14:schemeClr w14:val="tx1"/>
            </w14:solidFill>
          </w14:textFill>
        </w:rPr>
        <w:t>对中标人进行的安全生产检查、考核和验收。并定期对本单位的安全生产工作进行检查，并做好记录。</w:t>
      </w:r>
    </w:p>
    <w:p>
      <w:pPr>
        <w:widowControl/>
        <w:numPr>
          <w:ilvl w:val="0"/>
          <w:numId w:val="13"/>
        </w:numPr>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中标人应当落实安全生产教育培训制度，加强对本单位人员的安全生产教育和培训，如实告知作业场所和工作岗位存在的危险因素、防范措施以及事故应急措施，保证从业人员熟悉并严格执行有关的安全施工规章制度和安全操作规程，掌握本岗位的安全操作技能，具备必要的安全防范知识。未经安全教育和培训合格的人员，不得上岗作业。特种作业人员应当经国家规定的有关部门组织专门培训，经考核合格，取得上岗证书后，方可上岗作业。做好培训台账并报采购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color w:val="000000" w:themeColor="text1"/>
          <w:kern w:val="0"/>
          <w:sz w:val="21"/>
          <w:szCs w:val="21"/>
          <w:highlight w:val="none"/>
          <w14:textFill>
            <w14:solidFill>
              <w14:schemeClr w14:val="tx1"/>
            </w14:solidFill>
          </w14:textFill>
        </w:rPr>
        <w:t xml:space="preserve">备案。 </w:t>
      </w:r>
    </w:p>
    <w:p>
      <w:pPr>
        <w:widowControl/>
        <w:numPr>
          <w:ilvl w:val="0"/>
          <w:numId w:val="13"/>
        </w:numPr>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保证环卫车辆驾驶人员持证上岗，随车证件齐全有效。保证所有环卫作业车辆按规定审验合格，禁止驾驶报废车辆。保证所有环卫作业车辆的喇叭和灯光正常使用，变光可靠自如、转向分明；雨刮正常使用、性能良好；刹车制动可靠、灵敏，刹车踏板自由，油、气管路无渗漏；轮胎螺丝不缺不松，轮胎磨损未过安全线，轮胎无开裂或划伤现象。其它作业机械安全防护装置齐全可靠，有定期维护保养记录。在办公场所、作业场所和环卫车辆合理配置灭火器，且保证灭火器在有效期内、放置位置明显、便于取用。</w:t>
      </w:r>
    </w:p>
    <w:p>
      <w:pPr>
        <w:widowControl/>
        <w:numPr>
          <w:ilvl w:val="0"/>
          <w:numId w:val="13"/>
        </w:numPr>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环卫清扫保洁作业时，应严格按照相关作业安全操作规程执行，环卫作业人员统一穿着的反光衣须符合职业用高可视性警示服标准，不应有反光条严重剥落、反光强度不足等不良现象；并配备保证环卫作业安全的工具，早、晚、极端恶劣天气等可视情况较差时要佩戴并开启警示灯。</w:t>
      </w:r>
    </w:p>
    <w:p>
      <w:pPr>
        <w:widowControl/>
        <w:numPr>
          <w:ilvl w:val="0"/>
          <w:numId w:val="13"/>
        </w:numPr>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环卫清扫保洁作业时，原则上不得安排作业人员在快速路、车速较快（最高限制车速大于等于60km/h及以上）的主次干道进行人工流动作业；如出现道路泼洒、车辆事故或在车速较慢的主次干道需要人工在车行道进行作业时，应严格按照占道作业相关安全规范进行作业，按车行线反方向清扫，现场须有专人指挥，疏通车辆。</w:t>
      </w:r>
    </w:p>
    <w:p>
      <w:pPr>
        <w:widowControl/>
        <w:numPr>
          <w:ilvl w:val="0"/>
          <w:numId w:val="13"/>
        </w:numPr>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清洁工人要根据道路和公共场所的人流、车流情况，合理安排作业时间和作业方式，主动避开行人流和车流高峰，以免发生意外。</w:t>
      </w:r>
    </w:p>
    <w:p>
      <w:pPr>
        <w:widowControl/>
        <w:numPr>
          <w:ilvl w:val="0"/>
          <w:numId w:val="13"/>
        </w:numPr>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清洁工人在清扫和保洁时，应按来车方向的反方向清扫，特别在清扫中间护拦时要提高警觉，注意来车。清理机动车道上的成堆泥土时，应在清理点来车方向设置明显的路障，并做好防护措施。</w:t>
      </w:r>
    </w:p>
    <w:p>
      <w:pPr>
        <w:widowControl/>
        <w:numPr>
          <w:ilvl w:val="0"/>
          <w:numId w:val="13"/>
        </w:numPr>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机械化清扫车辆出车前必须进行车辆安全检查，发现故障的应及时排除；清扫车辆必须有完好的喷水降尘装置；机械化清扫车辆作业时必须开警示灯，司机必须穿反光衣；清扫车作业时，清扫时的行驶速度应为每小时6—8km，保洁时的行驶速度应为每小时8—10km,最快时速不得超过10公里/小时；机械化清扫车辆司机在工作过程中，要遵守道路交通规则，礼让行车，注意行人的安全。</w:t>
      </w:r>
    </w:p>
    <w:p>
      <w:pPr>
        <w:widowControl/>
        <w:numPr>
          <w:ilvl w:val="0"/>
          <w:numId w:val="13"/>
        </w:numPr>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中标人须自行报关维护好各类作业车辆、设备、工器具和消耗材料并承担相关费用，定期做好车辆清洗、检修和保养，及时更换日常损耗的密封条、机扫刷等装置，确保车况正常、车容整洁、密封和污水收集装置完好无损，不得带故障和隐患出车、带病作业。</w:t>
      </w:r>
    </w:p>
    <w:p>
      <w:pPr>
        <w:widowControl/>
        <w:numPr>
          <w:ilvl w:val="0"/>
          <w:numId w:val="13"/>
        </w:numPr>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中标人负责处理在履行本合同服务范围期间发生的生产、交通等一切安全事故和违章、违法案件并承担因此产生的所有费用支出。若</w:t>
      </w:r>
      <w:r>
        <w:rPr>
          <w:rFonts w:hint="eastAsia" w:ascii="宋体" w:hAnsi="宋体" w:cs="宋体"/>
          <w:color w:val="000000" w:themeColor="text1"/>
          <w:kern w:val="0"/>
          <w:sz w:val="21"/>
          <w:szCs w:val="21"/>
          <w:highlight w:val="none"/>
          <w:lang w:eastAsia="zh-CN"/>
          <w14:textFill>
            <w14:solidFill>
              <w14:schemeClr w14:val="tx1"/>
            </w14:solidFill>
          </w14:textFill>
        </w:rPr>
        <w:t>采购人</w:t>
      </w:r>
      <w:r>
        <w:rPr>
          <w:rFonts w:hint="eastAsia" w:asciiTheme="minorEastAsia" w:hAnsiTheme="minorEastAsia" w:eastAsiaTheme="minorEastAsia" w:cstheme="minorEastAsia"/>
          <w:snapToGrid w:val="0"/>
          <w:color w:val="auto"/>
          <w:kern w:val="0"/>
          <w:sz w:val="21"/>
          <w:szCs w:val="21"/>
          <w:highlight w:val="none"/>
          <w:lang w:eastAsia="zh-CN"/>
        </w:rPr>
        <w:t>或采购人</w:t>
      </w:r>
      <w:r>
        <w:rPr>
          <w:rFonts w:hint="eastAsia" w:asciiTheme="minorEastAsia" w:hAnsiTheme="minorEastAsia" w:eastAsiaTheme="minorEastAsia" w:cstheme="minorEastAsia"/>
          <w:snapToGrid w:val="0"/>
          <w:color w:val="auto"/>
          <w:kern w:val="0"/>
          <w:sz w:val="21"/>
          <w:szCs w:val="21"/>
          <w:highlight w:val="none"/>
        </w:rPr>
        <w:t>指定的监管单位</w:t>
      </w:r>
      <w:r>
        <w:rPr>
          <w:rFonts w:hint="eastAsia" w:ascii="宋体" w:hAnsi="宋体" w:eastAsia="宋体" w:cs="宋体"/>
          <w:color w:val="000000" w:themeColor="text1"/>
          <w:kern w:val="0"/>
          <w:sz w:val="21"/>
          <w:szCs w:val="21"/>
          <w:highlight w:val="none"/>
          <w14:textFill>
            <w14:solidFill>
              <w14:schemeClr w14:val="tx1"/>
            </w14:solidFill>
          </w14:textFill>
        </w:rPr>
        <w:t>因此承担赔偿责任的，可向</w:t>
      </w:r>
      <w:r>
        <w:rPr>
          <w:rFonts w:hint="eastAsia" w:ascii="宋体" w:hAnsi="宋体" w:cs="宋体"/>
          <w:color w:val="000000" w:themeColor="text1"/>
          <w:kern w:val="0"/>
          <w:sz w:val="21"/>
          <w:szCs w:val="21"/>
          <w:highlight w:val="none"/>
          <w:lang w:eastAsia="zh-CN"/>
          <w14:textFill>
            <w14:solidFill>
              <w14:schemeClr w14:val="tx1"/>
            </w14:solidFill>
          </w14:textFill>
        </w:rPr>
        <w:t>中标人</w:t>
      </w:r>
      <w:r>
        <w:rPr>
          <w:rFonts w:hint="eastAsia" w:ascii="宋体" w:hAnsi="宋体" w:eastAsia="宋体" w:cs="宋体"/>
          <w:color w:val="000000" w:themeColor="text1"/>
          <w:kern w:val="0"/>
          <w:sz w:val="21"/>
          <w:szCs w:val="21"/>
          <w:highlight w:val="none"/>
          <w14:textFill>
            <w14:solidFill>
              <w14:schemeClr w14:val="tx1"/>
            </w14:solidFill>
          </w14:textFill>
        </w:rPr>
        <w:t xml:space="preserve">全额追偿，包括但不限于赔偿费用、诉讼费、律师费、交通费、鉴定费等。 </w:t>
      </w:r>
    </w:p>
    <w:p>
      <w:pPr>
        <w:widowControl/>
        <w:numPr>
          <w:ilvl w:val="0"/>
          <w:numId w:val="13"/>
        </w:numPr>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中标人（及其作业人员）应严格遵守各项法律、法规，抓好劳务、计生、治安、维稳等内部工作，保证不发生聚众闹事、员工上访等事件。中标人应主动协调配合垃圾收集点、转运站和垃圾发电厂等管理单位的工作，不得发生争吵、打架、推诿、怠工等事件。</w:t>
      </w:r>
    </w:p>
    <w:p>
      <w:pPr>
        <w:widowControl/>
        <w:numPr>
          <w:ilvl w:val="0"/>
          <w:numId w:val="13"/>
        </w:numPr>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中标人要制定安全费用使用的相关规定及制度，并建立安全费用汇总情况（包括：使用计划、使用情况、使用过程中的相关单据复印件等）。</w:t>
      </w:r>
    </w:p>
    <w:p>
      <w:pPr>
        <w:widowControl/>
        <w:numPr>
          <w:ilvl w:val="0"/>
          <w:numId w:val="13"/>
        </w:numPr>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做好国家、省、市安全法律法规要求的其安全生产工作及安全生产要求。</w:t>
      </w:r>
    </w:p>
    <w:p>
      <w:pPr>
        <w:widowControl/>
        <w:numPr>
          <w:ilvl w:val="0"/>
          <w:numId w:val="13"/>
        </w:numPr>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中标人应当加强日常巡查管理，如发生道路遗撒物致使社会车辆受损事件投诉，中标人应积极协调配合相关部门处理事故。</w:t>
      </w:r>
    </w:p>
    <w:p>
      <w:pPr>
        <w:pStyle w:val="5"/>
        <w:spacing w:before="120" w:beforeLines="50" w:after="120" w:afterLines="50"/>
        <w:jc w:val="center"/>
        <w:rPr>
          <w:rFonts w:hint="eastAsia" w:cs="Times New Roman"/>
          <w:color w:val="000000" w:themeColor="text1"/>
          <w:szCs w:val="24"/>
          <w:highlight w:val="none"/>
          <w:lang w:val="en-US" w:eastAsia="zh-CN"/>
          <w14:textFill>
            <w14:solidFill>
              <w14:schemeClr w14:val="tx1"/>
            </w14:solidFill>
          </w14:textFill>
        </w:rPr>
      </w:pPr>
      <w:r>
        <w:rPr>
          <w:rFonts w:hint="eastAsia" w:cs="Times New Roman"/>
          <w:color w:val="000000" w:themeColor="text1"/>
          <w:szCs w:val="24"/>
          <w:highlight w:val="none"/>
          <w:lang w:val="en-US" w:eastAsia="zh-CN"/>
          <w14:textFill>
            <w14:solidFill>
              <w14:schemeClr w14:val="tx1"/>
            </w14:solidFill>
          </w14:textFill>
        </w:rPr>
        <w:t>八、商务要求</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★（一）服务期限</w:t>
      </w:r>
    </w:p>
    <w:p>
      <w:pPr>
        <w:widowControl/>
        <w:ind w:firstLine="420" w:firstLineChars="200"/>
        <w:jc w:val="lef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本项目服务期限为自合同签订之日起一年。</w:t>
      </w:r>
    </w:p>
    <w:p>
      <w:pPr>
        <w:pStyle w:val="43"/>
        <w:ind w:left="0" w:leftChars="0" w:firstLine="0" w:firstLineChars="0"/>
        <w:rPr>
          <w:rFonts w:hint="eastAsia"/>
          <w:highlight w:val="none"/>
        </w:rPr>
      </w:pPr>
      <w:r>
        <w:rPr>
          <w:rFonts w:hint="eastAsia" w:asciiTheme="minorEastAsia" w:hAnsiTheme="minorEastAsia" w:eastAsiaTheme="minorEastAsia" w:cstheme="minorEastAsia"/>
          <w:color w:val="auto"/>
          <w:kern w:val="0"/>
          <w:sz w:val="21"/>
          <w:szCs w:val="21"/>
          <w:highlight w:val="none"/>
          <w:lang w:val="en-US" w:eastAsia="zh-CN"/>
        </w:rPr>
        <w:t xml:space="preserve">    采购人作为本项目甲方，负责项目的指导、监督和检查等，中标供应商作为本项目乙方，负责按照项目合同要求履行服务管理，</w:t>
      </w:r>
      <w:r>
        <w:rPr>
          <w:rFonts w:hint="eastAsia" w:asciiTheme="minorEastAsia" w:hAnsiTheme="minorEastAsia" w:eastAsiaTheme="minorEastAsia" w:cstheme="minorEastAsia"/>
          <w:color w:val="auto"/>
          <w:kern w:val="0"/>
          <w:sz w:val="21"/>
          <w:szCs w:val="21"/>
          <w:highlight w:val="none"/>
          <w:lang w:eastAsia="zh-CN"/>
        </w:rPr>
        <w:t>海山</w:t>
      </w:r>
      <w:r>
        <w:rPr>
          <w:rFonts w:hint="eastAsia" w:asciiTheme="minorEastAsia" w:hAnsiTheme="minorEastAsia" w:eastAsiaTheme="minorEastAsia" w:cstheme="minorEastAsia"/>
          <w:color w:val="auto"/>
          <w:kern w:val="0"/>
          <w:sz w:val="21"/>
          <w:szCs w:val="21"/>
          <w:highlight w:val="none"/>
          <w:lang w:val="en-US" w:eastAsia="zh-CN"/>
        </w:rPr>
        <w:t>街道办作为本项目丙方，负责项目的合同履约监管、考核和服务费用的支付等，采购人、中标供应商、</w:t>
      </w:r>
      <w:r>
        <w:rPr>
          <w:rFonts w:hint="eastAsia" w:asciiTheme="minorEastAsia" w:hAnsiTheme="minorEastAsia" w:eastAsiaTheme="minorEastAsia" w:cstheme="minorEastAsia"/>
          <w:color w:val="auto"/>
          <w:kern w:val="0"/>
          <w:sz w:val="21"/>
          <w:szCs w:val="21"/>
          <w:highlight w:val="none"/>
          <w:lang w:eastAsia="zh-CN"/>
        </w:rPr>
        <w:t>海山</w:t>
      </w:r>
      <w:r>
        <w:rPr>
          <w:rFonts w:hint="eastAsia" w:asciiTheme="minorEastAsia" w:hAnsiTheme="minorEastAsia" w:eastAsiaTheme="minorEastAsia" w:cstheme="minorEastAsia"/>
          <w:color w:val="auto"/>
          <w:kern w:val="0"/>
          <w:sz w:val="21"/>
          <w:szCs w:val="21"/>
          <w:highlight w:val="none"/>
          <w:lang w:val="en-US" w:eastAsia="zh-CN"/>
        </w:rPr>
        <w:t>街道办共同签订三方合同。</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（二）项目报价要求</w:t>
      </w:r>
    </w:p>
    <w:p>
      <w:pPr>
        <w:widowControl/>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本项目服务费用一年投标上限价为人民币</w:t>
      </w:r>
      <w:r>
        <w:rPr>
          <w:rFonts w:hint="eastAsia" w:asciiTheme="minorEastAsia" w:hAnsiTheme="minorEastAsia" w:eastAsiaTheme="minorEastAsia" w:cstheme="minorEastAsia"/>
          <w:color w:val="auto"/>
          <w:kern w:val="0"/>
          <w:sz w:val="21"/>
          <w:szCs w:val="21"/>
          <w:highlight w:val="none"/>
          <w:u w:val="single"/>
          <w:lang w:val="en-US" w:eastAsia="zh-CN"/>
        </w:rPr>
        <w:t>壹仟柒佰叁拾伍万壹仟捌佰肆拾壹元捌角陆分</w:t>
      </w:r>
      <w:r>
        <w:rPr>
          <w:rFonts w:hint="eastAsia" w:asciiTheme="minorEastAsia" w:hAnsiTheme="minorEastAsia" w:eastAsiaTheme="minorEastAsia" w:cstheme="minorEastAsia"/>
          <w:color w:val="auto"/>
          <w:kern w:val="0"/>
          <w:sz w:val="21"/>
          <w:szCs w:val="21"/>
          <w:highlight w:val="none"/>
        </w:rPr>
        <w:t>（￥</w:t>
      </w:r>
      <w:r>
        <w:rPr>
          <w:rFonts w:hint="eastAsia"/>
          <w:bCs/>
          <w:color w:val="auto"/>
          <w:szCs w:val="21"/>
          <w:highlight w:val="none"/>
          <w:u w:val="single"/>
          <w:lang w:val="en-US" w:eastAsia="zh-CN"/>
        </w:rPr>
        <w:t>17351841.86</w:t>
      </w:r>
      <w:r>
        <w:rPr>
          <w:rFonts w:hint="eastAsia" w:asciiTheme="minorEastAsia" w:hAnsiTheme="minorEastAsia" w:eastAsiaTheme="minorEastAsia" w:cstheme="minorEastAsia"/>
          <w:color w:val="auto"/>
          <w:kern w:val="0"/>
          <w:sz w:val="21"/>
          <w:szCs w:val="21"/>
          <w:highlight w:val="none"/>
        </w:rPr>
        <w:t>元）。</w:t>
      </w:r>
    </w:p>
    <w:p>
      <w:pPr>
        <w:widowControl/>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1.本项目项目金额为总价控制下的固定单价金额，包括但不限于清扫保洁费、垃圾清运管理费等与履行本项目有关的所有经费。币种均为人民币。</w:t>
      </w:r>
    </w:p>
    <w:p>
      <w:pPr>
        <w:widowControl/>
        <w:ind w:firstLine="420" w:firstLineChars="200"/>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清扫保洁服务费的内容。清扫保洁服务费包括垃圾清运费用、管理费用、人员费用（含员工正常工作时间工资、加班工资、奖金、津贴、食宿费、住房补助、劳动保障、福利、医疗保险与费用、工伤保险与费用、失业保险、社会保险、重大疾病险、教育培训费用、暂住费用、伤亡事故处理费用等费用）、税费、环卫驿站管理费用、生产资料费用（含作业用水、用电的费用，含各种环卫工具、环卫车辆、环卫机械设备的投入和耗损）等与清扫保洁有关的一切费用。每年最低工资标准出现变化时，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应在项目中标价范围内（总费用不变的前提下），根据实际情况对人员费用进行相应的调整。 </w:t>
      </w:r>
    </w:p>
    <w:p>
      <w:pPr>
        <w:widowControl/>
        <w:ind w:firstLine="420" w:firstLineChars="200"/>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3.垃圾清运服务费单价为转运站前端清运费、转运站站点管理费、转运站清运至</w:t>
      </w:r>
      <w:r>
        <w:rPr>
          <w:rFonts w:hint="eastAsia" w:asciiTheme="minorEastAsia" w:hAnsiTheme="minorEastAsia" w:eastAsiaTheme="minorEastAsia" w:cstheme="minorEastAsia"/>
          <w:color w:val="000000" w:themeColor="text1"/>
          <w:kern w:val="0"/>
          <w:sz w:val="21"/>
          <w:szCs w:val="21"/>
          <w:highlight w:val="none"/>
          <w:u w:val="single"/>
          <w14:textFill>
            <w14:solidFill>
              <w14:schemeClr w14:val="tx1"/>
            </w14:solidFill>
          </w14:textFill>
        </w:rPr>
        <w:t>末端焚烧厂</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全包单价，包括但不限于人工费、设备费、材料费、水电费、维修费、管理费、措施费、规费、税费及利润等所有费用。 </w:t>
      </w:r>
    </w:p>
    <w:p>
      <w:pPr>
        <w:widowControl/>
        <w:ind w:firstLine="420" w:firstLineChars="200"/>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4.公厕管理服务费包括但不限于管理费用、人员费用、税费、生产材料（清洁工具)、水电费用、送水抽粪费用、水电维护和公厕机械维护等一切费用(除主体维修)。每年最低工资标准出现变化时,中标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应在项目中标价范围内（总费用不变的前提下）,根据实际情况对人员费用进行相应的调整。</w:t>
      </w:r>
    </w:p>
    <w:p>
      <w:pPr>
        <w:pStyle w:val="72"/>
        <w:widowControl/>
        <w:ind w:firstLine="424" w:firstLineChars="202"/>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在合同履行期间，因目前尚未进站的垃圾逐步进站导致垃圾增量，垃圾分类、餐厨垃圾收运工作的推进实现的垃圾减量，以及因城市更新导致垃圾清运量的波动，均不因此而对本包垃圾清运服务费进行调整，投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在投标报价时应当知晓并适当考虑。</w:t>
      </w:r>
    </w:p>
    <w:p>
      <w:pPr>
        <w:pStyle w:val="72"/>
        <w:widowControl/>
        <w:ind w:firstLine="424" w:firstLineChars="202"/>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6.投标人负责对采购人提供的垃圾压缩设备</w:t>
      </w:r>
      <w:r>
        <w:rPr>
          <w:rFonts w:hint="eastAsia" w:ascii="宋体" w:hAnsi="宋体" w:cs="宋体"/>
          <w:color w:val="000000" w:themeColor="text1"/>
          <w:kern w:val="0"/>
          <w:sz w:val="21"/>
          <w:szCs w:val="21"/>
          <w:highlight w:val="none"/>
          <w:lang w:eastAsia="zh-CN"/>
          <w14:textFill>
            <w14:solidFill>
              <w14:schemeClr w14:val="tx1"/>
            </w14:solidFill>
          </w14:textFill>
        </w:rPr>
        <w:t>进行维修和维护保养，确保正常运作；如无法维修继续使用的，中标人须按照采购人或采购人指定的监管单位要求购置新垃圾压缩设备；采购人提供了垃圾站管理但内部未提供垃圾压缩设备，在合同履行期内出现垃圾处理不及时的，投标人须按照采购人或采购人指定的监管单位要求配置垃圾压缩设备。垃圾压缩设备维修和购置费用由中标人承担，投标人在投标报价时应当知晓并适当考虑。</w:t>
      </w:r>
    </w:p>
    <w:p>
      <w:pPr>
        <w:pStyle w:val="72"/>
        <w:widowControl/>
        <w:ind w:firstLine="424" w:firstLineChars="202"/>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投标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的投标报价，应是本项目招标范围和招标文件及合同条款上所列的各项内容中所述的全部。 </w:t>
      </w:r>
    </w:p>
    <w:p>
      <w:pPr>
        <w:pStyle w:val="72"/>
        <w:widowControl/>
        <w:ind w:firstLine="424" w:firstLineChars="202"/>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供应商应先到项目地点查看以充分了解项目的位置、情况及任何其它足以影响投标报价的情况，任何因忽视或误解项目情况而导致的索赔或服务期限延长申请将不获批准。供应商必须按各标段的实际情况进行经费测算，并按实际配足车辆、设备及人员（不能少于规定的最低配置标准）。企业根据成本自行决定报价，但不得以低于其企业成本的报价投标。 </w:t>
      </w:r>
    </w:p>
    <w:p>
      <w:pPr>
        <w:pStyle w:val="72"/>
        <w:widowControl/>
        <w:ind w:firstLine="424" w:firstLineChars="202"/>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的设备必须符合投标文件的要求，并按采购</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的要求及时更新不合格和废旧的设备，设备更新费用由中标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承担（包括但不限于本项目服务过程中，在标段范围内布置的垃圾桶（含120L、240L、660L）、</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双分类收集容器</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，配备相应的车辆等设施设备，按照新模式进行清运作业而产生的相关运营成本），采购</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不承担设备更新购置费用。 </w:t>
      </w:r>
    </w:p>
    <w:p>
      <w:pPr>
        <w:pStyle w:val="72"/>
        <w:widowControl/>
        <w:ind w:firstLine="424" w:firstLineChars="202"/>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中标人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自行承担未来时期员工工资上调、物价上涨、政府出台新的指导价格等因素对服务价格造成的影响及风险。 </w:t>
      </w:r>
    </w:p>
    <w:p>
      <w:pPr>
        <w:pStyle w:val="72"/>
        <w:widowControl/>
        <w:ind w:firstLine="424" w:firstLineChars="202"/>
        <w:jc w:val="left"/>
        <w:rPr>
          <w:rFonts w:hint="eastAsia" w:ascii="宋体" w:hAnsi="宋体"/>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.在合同履行期间，因政策变化或实际管理需要，导致清扫保洁面积、道路等级、 数量或规格发生变化的，中标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需无条件服从安排</w:t>
      </w: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color w:val="000000" w:themeColor="text1"/>
          <w:highlight w:val="none"/>
          <w:lang w:eastAsia="zh-CN"/>
          <w14:textFill>
            <w14:solidFill>
              <w14:schemeClr w14:val="tx1"/>
            </w14:solidFill>
          </w14:textFill>
        </w:rPr>
        <w:t>服务费用参照《投标单价一览表》对应投标单价按变动后的实际情况计取，并签订补充协议，费用增加的应按有关规定向财政部门申请。</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（三）承包方式</w:t>
      </w:r>
    </w:p>
    <w:p>
      <w:pPr>
        <w:widowControl/>
        <w:ind w:firstLine="420" w:firstLineChars="200"/>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本项目采用业务包干、经费在总价控制下固定综合单价包干方式。按项目价格（即实际中标价格）进行考核后依据“按质付费”原则支付费用，中标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按采购</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的管理要求和标准组织环卫服务工作，并接受采购</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的指导、监督、考核和检查验收，不得将业务转包或分包。 </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（四）付款方式</w:t>
      </w:r>
    </w:p>
    <w:p>
      <w:pPr>
        <w:ind w:firstLine="420" w:firstLineChars="20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1.本项目服务费按月付款。</w:t>
      </w:r>
    </w:p>
    <w:p>
      <w:pPr>
        <w:ind w:firstLine="420" w:firstLineChars="20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上个月度的服务情况进行检查验收并按照《盐田区</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环卫一体化（城市管家）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服务质量考评办法》（以最新修订版本为准）中扣分扣款的办法实行按质付费。</w:t>
      </w:r>
    </w:p>
    <w:p>
      <w:pPr>
        <w:ind w:firstLine="420" w:firstLineChars="20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双方在完成对账工作后，中标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提供合格发票，采购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按照相关程序上报批准，原则上于次月20日前支付上月应付服务费用。如因中标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未及时提供发票或采购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政府财政拨款、政府财政审批流程等原因导致延迟支付的，不视为</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采购人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违约，中标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不得以此为由拒绝履行本合同项下的义务。</w:t>
      </w:r>
    </w:p>
    <w:p>
      <w:pPr>
        <w:ind w:firstLine="420" w:firstLineChars="200"/>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r>
        <w:rPr>
          <w:rFonts w:hint="eastAsia" w:asciiTheme="minorEastAsia" w:hAnsiTheme="minorEastAsia" w:eastAsiaTheme="minorEastAsia" w:cstheme="minorEastAsia"/>
          <w:color w:val="000000" w:themeColor="text1"/>
          <w:sz w:val="21"/>
          <w:szCs w:val="21"/>
          <w:highlight w:val="none"/>
          <w:lang w:eastAsia="zh-TW"/>
          <w14:textFill>
            <w14:solidFill>
              <w14:schemeClr w14:val="tx1"/>
            </w14:solidFill>
          </w14:textFill>
        </w:rPr>
        <w:t>具体付款方式按深圳市</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盐田</w:t>
      </w:r>
      <w:r>
        <w:rPr>
          <w:rFonts w:hint="eastAsia" w:asciiTheme="minorEastAsia" w:hAnsiTheme="minorEastAsia" w:eastAsiaTheme="minorEastAsia" w:cstheme="minorEastAsia"/>
          <w:color w:val="000000" w:themeColor="text1"/>
          <w:sz w:val="21"/>
          <w:szCs w:val="21"/>
          <w:highlight w:val="none"/>
          <w:lang w:eastAsia="zh-TW"/>
          <w14:textFill>
            <w14:solidFill>
              <w14:schemeClr w14:val="tx1"/>
            </w14:solidFill>
          </w14:textFill>
        </w:rPr>
        <w:t>区财政局有关规定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及采购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的具体要求执行。</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（五）履约保证金</w:t>
      </w:r>
    </w:p>
    <w:p>
      <w:pPr>
        <w:widowControl/>
        <w:ind w:firstLine="420" w:firstLineChars="200"/>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应按本项目中标金额的5%（具体金额根据中标价计算）提供履约保证金。履约保证金</w:t>
      </w:r>
      <w:r>
        <w:rPr>
          <w:rFonts w:hint="eastAsia" w:ascii="宋体" w:hAnsi="宋体"/>
        </w:rPr>
        <w:t>以支票、汇票、本票、保函等非现金形式缴纳或提交</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与采购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及采购人指定的监管单位</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签订项目前提供履约保函。 </w:t>
      </w:r>
    </w:p>
    <w:p>
      <w:pPr>
        <w:widowControl/>
        <w:ind w:firstLine="420" w:firstLineChars="200"/>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w:t>
      </w:r>
      <w:r>
        <w:rPr>
          <w:rFonts w:hint="eastAsia" w:ascii="宋体" w:hAnsi="宋体"/>
        </w:rPr>
        <w:t>履约保证金在中标人履行完成合同约定权利义务事项在合同期满之日起</w:t>
      </w:r>
      <w:r>
        <w:rPr>
          <w:rFonts w:hint="eastAsia" w:ascii="宋体" w:hAnsi="宋体"/>
          <w:u w:val="single"/>
          <w:lang w:val="en-US" w:eastAsia="zh-CN"/>
        </w:rPr>
        <w:t>30</w:t>
      </w:r>
      <w:r>
        <w:rPr>
          <w:rFonts w:hint="eastAsia" w:ascii="宋体" w:hAnsi="宋体"/>
        </w:rPr>
        <w:t>日内按原方式退还，不计利息。</w:t>
      </w:r>
    </w:p>
    <w:p>
      <w:pPr>
        <w:widowControl/>
        <w:ind w:firstLine="420" w:firstLineChars="200"/>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因欠薪、加班费发放不足等出现劳资纠纷，导致工人歇工、消极怠工影响环卫作业的，采购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有权动用履约保证金</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或项目服务费</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先行垫付工资、加班费等给工人，</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若</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或采购人指定的监管单位从</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履约保证金垫付的部分从应付给中标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的服务费中扣回补足履约保证金。 </w:t>
      </w:r>
    </w:p>
    <w:p>
      <w:pPr>
        <w:widowControl/>
        <w:ind w:firstLine="420" w:firstLineChars="200"/>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合同期满，中标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必须确保垃圾转运站内所有设施设备（含垃圾压缩（机）箱和除臭设备）完整完好，无锈蚀、漏水、漏油等现象，能正常运转，并能正常通水、通电，经采购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验收合格后无条件地、免费移交给采购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或采购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指定的接收人。</w:t>
      </w:r>
    </w:p>
    <w:p>
      <w:pPr>
        <w:widowControl/>
        <w:ind w:firstLine="420" w:firstLineChars="200"/>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5.因中标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原因导致项目被解除的，中标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除承担相关责任外，采购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不退还履约保函。 </w:t>
      </w:r>
    </w:p>
    <w:p>
      <w:pPr>
        <w:widowControl/>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6.中标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未能按项目要求移交撤场的，采购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有权按照相应经济责任金额扣除中标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合同尾款，或依保函向中标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追索违约经济责任。</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（六）环卫作业信息化管理</w:t>
      </w:r>
    </w:p>
    <w:p>
      <w:pPr>
        <w:spacing w:after="94" w:afterLines="39"/>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   1.中标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配置可有效使用的企业环卫作业信息化管理系统</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实现实时监控环卫作业车辆轨迹及作业状态</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并接入区智慧环卫管理平台，接受区级、街道的监督和检查。</w:t>
      </w:r>
    </w:p>
    <w:p>
      <w:pPr>
        <w:spacing w:after="94" w:afterLines="39"/>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   2.为环卫作业车辆设备安装</w:t>
      </w:r>
      <w:r>
        <w:rPr>
          <w:rFonts w:hint="eastAsia" w:ascii="宋体" w:hAnsi="宋体"/>
          <w:color w:val="000000" w:themeColor="text1"/>
          <w:szCs w:val="21"/>
          <w:highlight w:val="none"/>
          <w14:textFill>
            <w14:solidFill>
              <w14:schemeClr w14:val="tx1"/>
            </w14:solidFill>
          </w14:textFill>
        </w:rPr>
        <w:t>360度全景景像监控设备、智能辅助安全制动系统、监控盲区报警装置、定位设备和智能视频监控报警系统终端</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，且所有设备可以</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与</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区智慧环卫管理平台兼容。</w:t>
      </w:r>
    </w:p>
    <w:p>
      <w:pPr>
        <w:spacing w:after="94" w:afterLines="39"/>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   3.配置专职环卫作业信息化管理人员</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实现环卫作业信息化管理。</w:t>
      </w:r>
    </w:p>
    <w:p>
      <w:pPr>
        <w:spacing w:after="94" w:afterLines="39"/>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   4.环卫作业人员信息、环卫清洁行业项目经理信息、安全负责人信息、环卫作业车辆信息需要在签订合同的10日内准确完整全面录入区智慧环卫管理平台。</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（七）员工劳动保障</w:t>
      </w:r>
    </w:p>
    <w:p>
      <w:pPr>
        <w:widowControl/>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1.在员工自愿的基础上，中标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应按本招标文件的规定全部接收从事本招标项目所涉道路和公共场所清扫保洁工作、垃圾转运站管理的原有相关员工，依法依规签订新的劳动合同，建立和谐的劳动关系。中标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解雇原有员工的，应采取依法平稳的方式逐步解雇，不得发生歇工和维稳事件。</w:t>
      </w:r>
    </w:p>
    <w:p>
      <w:pPr>
        <w:widowControl/>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支付给员工的正常工作时间工资（不含加班工资、社保、五险一金等），不得低于当年深圳市最低工资标准110%，并作为计算员工最低工资标准的起点，以保障员工的合理报酬。我市最低工资标准发生变化的，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应相应对人工的正常工作时间工资作出调整。中标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不得拖欠员工工资（含加班工资）。</w:t>
      </w:r>
    </w:p>
    <w:p>
      <w:pPr>
        <w:widowControl/>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必须按规定为员工购买社会保险，并为环卫工人购买人身意外伤亡保险。</w:t>
      </w:r>
    </w:p>
    <w:p>
      <w:pPr>
        <w:widowControl/>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必须保障员工正常休息时间，加班时间不得超过法律、法规和规章规定的加班时间上限，并应按规定及时发放加班工资、高温补贴、岗位津贴等法律法规所规定的费用。</w:t>
      </w:r>
    </w:p>
    <w:p>
      <w:pPr>
        <w:widowControl/>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与员工解除或终止劳动关系，必须依照劳动管理等方面法律、法规、规章和其它规范性文件的规定向员工支付经济补偿金、赔偿金及其他应当支付的款项。</w:t>
      </w:r>
    </w:p>
    <w:p>
      <w:pPr>
        <w:widowControl/>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工具、材料要求：中标人应为一线环卫作业人员免费配备包含但不限于工作服（冬、夏、春秋）、反光衣、肩闪灯、雨衣、手套、口罩、扫把、铁铲、垃圾袋、密闭式垃圾收集容器、抹布、肥皂、洗衣粉和清洁剂等安全生产、疫情防护、劳动保护、清洁卫生用品及小型作业工器具；提供防疫物资、防暑防寒装备确保作业人员人身安全、生产安全和采购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宋体" w:hAnsi="宋体"/>
          <w:color w:val="000000" w:themeColor="text1"/>
          <w:szCs w:val="21"/>
          <w:highlight w:val="none"/>
          <w14:textFill>
            <w14:solidFill>
              <w14:schemeClr w14:val="tx1"/>
            </w14:solidFill>
          </w14:textFill>
        </w:rPr>
        <w:t>提供使用的设施设备的清洁卫生。</w:t>
      </w:r>
    </w:p>
    <w:p>
      <w:pPr>
        <w:widowControl/>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人每年为本项目员工至少提供一次免费体检，体检项目至少包含一般健康检查、血常规、肝功能、空腹血糖、肾功能、血尿酸、尿常规、常规心电图、DR胸部正位片等项目。新入职的一线环卫作业人员应在上岗前进行一次健康检查，确定身体无职业禁忌后方可上岗。</w:t>
      </w:r>
    </w:p>
    <w:p>
      <w:pPr>
        <w:widowControl/>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.中标人必须为一线环卫作业人员提供住房保障，提供廉租宿舍或者发放住（租）房补贴每人每月不低于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300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元等方式。</w:t>
      </w:r>
    </w:p>
    <w:p>
      <w:pPr>
        <w:widowControl/>
        <w:ind w:firstLine="420" w:firstLineChars="200"/>
        <w:jc w:val="left"/>
        <w:rPr>
          <w:rFonts w:hint="default" w:ascii="宋体" w:hAnsi="宋体"/>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必须执行劳动管理等方面法律、法规、规章和其它规范性文件规定的有关员工保障的其他规定。</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（八）合法运输处置责任</w:t>
      </w:r>
    </w:p>
    <w:p>
      <w:pPr>
        <w:widowControl/>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在项目的组织实施过程中，应当保证工作质量，确保按照国家以及地方关于环境保护等方面的相关规定，对生活垃圾进行合理合法的运输和处置。运输和处置责任条款包括但不限于以下事项： </w:t>
      </w:r>
    </w:p>
    <w:p>
      <w:pPr>
        <w:widowControl/>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1.在约定的服务期内，负责将生活垃圾及时装入符合运送要求的运输车辆。垃圾运输的车辆应当全密闭，保持车容整洁，车体外部无污物、灰垢，标志应清晰，车辆驾驶员符合交通部门的相关规定。中标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负责清运的车辆全部装置GPS设备，并按要求安装行驶及装卸记录仪，且接入深圳市环卫管理作业信息系统，在不具备GPS设备安装条件的情况下，应当建立起跟车员机制，派专员跟车随行。</w:t>
      </w:r>
    </w:p>
    <w:p>
      <w:pPr>
        <w:widowControl/>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2.为防止二次污染，中标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须建立起正常的车辆维护制度，保证车辆的密封性持续保持完好，在运输过程中不出现垃圾裸露和污水滴漏现象。严禁超高超载、沿途撒漏、乱倒垃圾。车辆在运输过程中因经营许可、市政环卫、交通路政等发生的一切责任事故，均由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自行负责。 </w:t>
      </w:r>
    </w:p>
    <w:p>
      <w:pPr>
        <w:widowControl/>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3.中标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应当在规定时间内及时收运生活垃圾，确保日产日清。 </w:t>
      </w:r>
    </w:p>
    <w:p>
      <w:pPr>
        <w:widowControl/>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4.中标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所承包服务内容包括运、卸、处置及配合装载等环节的全部工作并承担其间所发生的一切费用，包括包派车、包司机、包沿途过路过桥费以及意外保险费等。中标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对垃圾运输车辆应进行全险种足额保险，费用由中标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支付。 </w:t>
      </w:r>
    </w:p>
    <w:p>
      <w:pPr>
        <w:widowControl/>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5.中标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必须将生活垃圾运至合法合规的垃圾处置场所，并在垃圾处置场所工作人员的指挥安排下，对所载进场垃圾予以卸载及处置。 </w:t>
      </w:r>
    </w:p>
    <w:p>
      <w:pPr>
        <w:widowControl/>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6.整个运输及处置过程须接受当地相关部门的监督，遵守国家和地方各项法规及环保或城管环卫等部门的有关规定，配合当地环境监管部门的监管工作，保证生活垃圾运输处置安全环保，合法合规。参加本项目的工作人员必须具有国家和有关部门规定的相应资质。 </w:t>
      </w:r>
    </w:p>
    <w:p>
      <w:pPr>
        <w:widowControl/>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7.如在服务期内发生任何相关环境质量、安全事故或者其他由于中标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原因导致的事故时，采购</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有权对支付给中标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的项目费用或所收取的中标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的履约保证金进行扣除，用于该类事故的赔偿、修复或者处罚。 </w:t>
      </w:r>
    </w:p>
    <w:p>
      <w:pPr>
        <w:widowControl/>
        <w:ind w:firstLine="420" w:firstLineChars="200"/>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8.根据广东省新能源推广目标，结合我市“深圳蓝”有关任务及《深圳市城市管理和综合执法局关于继续做好纯电动环卫车推广使用工作的通知》等相关文件精神，本项目要求配备的多功能洗扫车、高压清洗车、垃圾运输车等为新能源纯电动车辆，为确保纯电动环卫车正常使用，便于日常工作开展，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必须自有或租赁充电桩设备。在合同期内，发生的充电桩设备的所有费用均由中标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自行承担。</w:t>
      </w:r>
    </w:p>
    <w:p>
      <w:pPr>
        <w:widowControl/>
        <w:ind w:firstLine="420" w:firstLineChars="200"/>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9.中标人应在本合同签订后15日内在本市商业银行开设项目人员工资专用账户，专项用于本项目管理团队人员及一线作业人员工资发放，专款专用，不得挪作他用。中标人应按月足额支付项目人员工资，不得拖欠、克扣，并依法为项目人员缴纳社会保险。中标人应在首次发放工资前将专户开户信息、用工名册报采购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备案；此后按月向采购人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提供工资发放台账及银行发放流水，接受采购人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核查。经核查发现未开设专户、未按时足额发放工资或挪用专户资金的，采购人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有权责令限期整改；逾期未改或情节严重的，按合同违约条款处理。</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（九）服务期限内可能的处置场所变更</w:t>
      </w:r>
    </w:p>
    <w:p>
      <w:pPr>
        <w:widowControl/>
        <w:ind w:firstLine="420" w:firstLineChars="200"/>
        <w:jc w:val="left"/>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项目服务期间内，采购</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有可能调整生活垃圾的处理场所，中标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应无条件配合</w:t>
      </w:r>
      <w:r>
        <w:rPr>
          <w:rFonts w:hint="eastAsia" w:asciiTheme="minorEastAsia" w:hAnsiTheme="minorEastAsia" w:eastAsiaTheme="minorEastAsia" w:cstheme="minorEastAsia"/>
          <w:color w:val="000000" w:themeColor="text1"/>
          <w:kern w:val="0"/>
          <w:sz w:val="21"/>
          <w:szCs w:val="21"/>
          <w:highlight w:val="none"/>
          <w:lang w:eastAsia="zh-CN"/>
          <w14:textFill>
            <w14:solidFill>
              <w14:schemeClr w14:val="tx1"/>
            </w14:solidFill>
          </w14:textFill>
        </w:rPr>
        <w:t>采购人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的工作，将生活垃圾运往采购</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指定的深圳市范围内垃圾处理场所，中标</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应服从采购</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安排，接受工作内容的调整。</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（十）质量考核标准及违约金</w:t>
      </w:r>
    </w:p>
    <w:p>
      <w:pPr>
        <w:adjustRightInd w:val="0"/>
        <w:snapToGrid w:val="0"/>
        <w:ind w:firstLine="413" w:firstLineChars="196"/>
        <w:outlineLvl w:val="4"/>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
          <w:bCs/>
          <w:color w:val="000000" w:themeColor="text1"/>
          <w:sz w:val="21"/>
          <w:szCs w:val="21"/>
          <w:highlight w:val="none"/>
          <w14:textFill>
            <w14:solidFill>
              <w14:schemeClr w14:val="tx1"/>
            </w14:solidFill>
          </w14:textFill>
        </w:rPr>
        <w:t>质量考核标准：</w:t>
      </w:r>
    </w:p>
    <w:p>
      <w:pPr>
        <w:spacing w:before="60" w:beforeLines="25" w:after="60" w:afterLines="25"/>
        <w:ind w:firstLine="392" w:firstLineChars="187"/>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依据《盐田区</w:t>
      </w:r>
      <w:r>
        <w:rPr>
          <w:rFonts w:hint="eastAsia" w:asciiTheme="minorEastAsia" w:hAnsiTheme="minorEastAsia" w:eastAsiaTheme="minorEastAsia" w:cstheme="minorEastAsia"/>
          <w:snapToGrid w:val="0"/>
          <w:color w:val="000000" w:themeColor="text1"/>
          <w:kern w:val="0"/>
          <w:sz w:val="21"/>
          <w:szCs w:val="21"/>
          <w:highlight w:val="none"/>
          <w:lang w:eastAsia="zh-CN"/>
          <w14:textFill>
            <w14:solidFill>
              <w14:schemeClr w14:val="tx1"/>
            </w14:solidFill>
          </w14:textFill>
        </w:rPr>
        <w:t>环卫一体化（城市管家）</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服务质量考评办法》（以最新修订版本为准）及其他相关规定、规范及检查考核标准对中标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的服务质量进行量化考核并予以奖惩，如出台新考核标准，则按新标准进行考核，中标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应无条件接受最新标准接受考核结果。</w:t>
      </w:r>
    </w:p>
    <w:p>
      <w:pPr>
        <w:adjustRightInd w:val="0"/>
        <w:snapToGrid w:val="0"/>
        <w:ind w:firstLine="413" w:firstLineChars="196"/>
        <w:outlineLvl w:val="4"/>
        <w:rPr>
          <w:rFonts w:hint="eastAsia" w:ascii="宋体" w:hAnsi="宋体" w:cs="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2.项目违约及终止条款</w:t>
      </w:r>
    </w:p>
    <w:p>
      <w:pPr>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应严格按《公共区域环境卫生质量和管理要求》规定的各等级路段的作业时间、频次进行清扫保洁作业。如未按规定落实清扫保洁作业的，采购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可</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《盐田区</w:t>
      </w:r>
      <w:r>
        <w:rPr>
          <w:rFonts w:hint="eastAsia" w:asciiTheme="minorEastAsia" w:hAnsiTheme="minorEastAsia" w:eastAsiaTheme="minorEastAsia" w:cstheme="minorEastAsia"/>
          <w:snapToGrid w:val="0"/>
          <w:color w:val="000000" w:themeColor="text1"/>
          <w:kern w:val="0"/>
          <w:sz w:val="21"/>
          <w:szCs w:val="21"/>
          <w:highlight w:val="none"/>
          <w:lang w:eastAsia="zh-CN"/>
          <w14:textFill>
            <w14:solidFill>
              <w14:schemeClr w14:val="tx1"/>
            </w14:solidFill>
          </w14:textFill>
        </w:rPr>
        <w:t>环卫一体化（城市管家）</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服务质量考评办法》（以最新修订版本为准）等</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相关的考核标准执行扣款。</w:t>
      </w:r>
    </w:p>
    <w:p>
      <w:pPr>
        <w:spacing w:before="60" w:beforeLines="25" w:after="60" w:afterLines="25"/>
        <w:ind w:firstLine="392" w:firstLineChars="187"/>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（2）中标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必须积极参加各种类型的迎检活动，落实采购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提出的各种环境卫生质量要求。遇有迎检活动，中标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须派出经理级别以上的人员到检查现场落实迎检工作，如中标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未能满足采购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提出的环境卫生质量要求，或未派出经理级别以上的人员到检查现场落实迎检工作的，每发生一次，中标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应按每月清扫保洁服务费总额的5‰向采购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支付违约金。</w:t>
      </w:r>
    </w:p>
    <w:p>
      <w:pPr>
        <w:spacing w:before="60" w:beforeLines="25" w:after="60" w:afterLines="25"/>
        <w:ind w:firstLine="392" w:firstLineChars="187"/>
        <w:jc w:val="left"/>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（3）合同履行期间，中标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以任何理由拒绝收运本包服务范围内的城市生活垃圾和市政道路清扫保洁垃圾，采购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可以暂停支付清运费，中标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应当在3小时内恢复正常收运，如中标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在3小时内恢复正常收运，自当月应付垃圾清运服务费中扣除</w:t>
      </w:r>
      <w:r>
        <w:rPr>
          <w:rFonts w:hint="eastAsia" w:asciiTheme="minorEastAsia" w:hAnsiTheme="minorEastAsia" w:eastAsiaTheme="minorEastAsia" w:cstheme="minorEastAsia"/>
          <w:snapToGrid w:val="0"/>
          <w:color w:val="000000" w:themeColor="text1"/>
          <w:kern w:val="0"/>
          <w:sz w:val="21"/>
          <w:szCs w:val="21"/>
          <w:highlight w:val="none"/>
          <w:u w:val="single"/>
          <w14:textFill>
            <w14:solidFill>
              <w14:schemeClr w14:val="tx1"/>
            </w14:solidFill>
          </w14:textFill>
        </w:rPr>
        <w:t>3000</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元；如未能在限期内恢复正常收运，视为中标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根本性违约，采购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有权解除合同，履约保证金不予退还，并由中标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承担因此而给采购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造成的全部损失。</w:t>
      </w:r>
    </w:p>
    <w:p>
      <w:pPr>
        <w:spacing w:before="60" w:beforeLines="25" w:after="60" w:afterLines="25"/>
        <w:ind w:firstLine="392" w:firstLineChars="187"/>
        <w:jc w:val="left"/>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（4）中标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擅自向本包服务范围内的垃圾产生单位或个人另行收取垃圾清运服务费的，采购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责令中标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退还收取的全部款项，同时中标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还应按其收取金额的</w:t>
      </w:r>
      <w:r>
        <w:rPr>
          <w:rFonts w:hint="eastAsia" w:asciiTheme="minorEastAsia" w:hAnsiTheme="minorEastAsia" w:eastAsiaTheme="minorEastAsia" w:cstheme="minorEastAsia"/>
          <w:snapToGrid w:val="0"/>
          <w:color w:val="000000" w:themeColor="text1"/>
          <w:kern w:val="0"/>
          <w:sz w:val="21"/>
          <w:szCs w:val="21"/>
          <w:highlight w:val="none"/>
          <w:u w:val="single"/>
          <w14:textFill>
            <w14:solidFill>
              <w14:schemeClr w14:val="tx1"/>
            </w14:solidFill>
          </w14:textFill>
        </w:rPr>
        <w:t xml:space="preserve"> 2 </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倍向采购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支付惩罚性违约金。中标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擅自收取费用金额累计超过</w:t>
      </w:r>
      <w:r>
        <w:rPr>
          <w:rFonts w:hint="eastAsia" w:asciiTheme="minorEastAsia" w:hAnsiTheme="minorEastAsia" w:eastAsiaTheme="minorEastAsia" w:cstheme="minorEastAsia"/>
          <w:snapToGrid w:val="0"/>
          <w:color w:val="000000" w:themeColor="text1"/>
          <w:kern w:val="0"/>
          <w:sz w:val="21"/>
          <w:szCs w:val="21"/>
          <w:highlight w:val="none"/>
          <w:u w:val="single"/>
          <w14:textFill>
            <w14:solidFill>
              <w14:schemeClr w14:val="tx1"/>
            </w14:solidFill>
          </w14:textFill>
        </w:rPr>
        <w:t>10000</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元以上，视为根本性违约，采购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有权单方面解除合同，履约保证金不予退还，并由中标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承担因此而给造成的全部损失。</w:t>
      </w:r>
    </w:p>
    <w:p>
      <w:pPr>
        <w:spacing w:before="60" w:beforeLines="25" w:after="60" w:afterLines="25"/>
        <w:ind w:firstLine="392" w:firstLineChars="187"/>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未经书面同意在本标段服务范围以外使用本包配套的人员及垃圾清运设施、设备的，每发生一次，中标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应向</w:t>
      </w:r>
      <w:r>
        <w:rPr>
          <w:rFonts w:hint="eastAsia" w:asciiTheme="minorEastAsia" w:hAnsiTheme="minorEastAsia" w:eastAsiaTheme="minorEastAsia" w:cstheme="minorEastAsia"/>
          <w:snapToGrid w:val="0"/>
          <w:color w:val="000000" w:themeColor="text1"/>
          <w:kern w:val="0"/>
          <w:sz w:val="21"/>
          <w:szCs w:val="21"/>
          <w:highlight w:val="none"/>
          <w:lang w:eastAsia="zh-CN"/>
          <w14:textFill>
            <w14:solidFill>
              <w14:schemeClr w14:val="tx1"/>
            </w14:solidFill>
          </w14:textFill>
        </w:rPr>
        <w:t>采购人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支付</w:t>
      </w:r>
      <w:r>
        <w:rPr>
          <w:rFonts w:hint="eastAsia" w:asciiTheme="minorEastAsia" w:hAnsiTheme="minorEastAsia" w:eastAsiaTheme="minorEastAsia" w:cstheme="minorEastAsia"/>
          <w:snapToGrid w:val="0"/>
          <w:color w:val="000000" w:themeColor="text1"/>
          <w:kern w:val="0"/>
          <w:sz w:val="21"/>
          <w:szCs w:val="21"/>
          <w:highlight w:val="none"/>
          <w:u w:val="single"/>
          <w14:textFill>
            <w14:solidFill>
              <w14:schemeClr w14:val="tx1"/>
            </w14:solidFill>
          </w14:textFill>
        </w:rPr>
        <w:t>10000</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元违约金。该情形出现累计达到3次，视为根本性违约，有权单方面解除合同，履约保证金不予退还，并由中标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承担因此而给采购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造成的全部损失。</w:t>
      </w:r>
    </w:p>
    <w:p>
      <w:pPr>
        <w:spacing w:before="60" w:beforeLines="25" w:after="60" w:afterLines="25"/>
        <w:ind w:firstLine="392" w:firstLineChars="187"/>
        <w:jc w:val="left"/>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所配置的人员、车辆、设备达不到招标文件规定作业质量标准，应按相应考核标准一人每天扣除</w:t>
      </w:r>
      <w:r>
        <w:rPr>
          <w:rFonts w:hint="eastAsia" w:asciiTheme="minorEastAsia" w:hAnsiTheme="minorEastAsia" w:eastAsiaTheme="minorEastAsia" w:cstheme="minorEastAsia"/>
          <w:snapToGrid w:val="0"/>
          <w:color w:val="000000" w:themeColor="text1"/>
          <w:kern w:val="0"/>
          <w:sz w:val="21"/>
          <w:szCs w:val="21"/>
          <w:highlight w:val="none"/>
          <w:u w:val="single"/>
          <w14:textFill>
            <w14:solidFill>
              <w14:schemeClr w14:val="tx1"/>
            </w14:solidFill>
          </w14:textFill>
        </w:rPr>
        <w:t>2000</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元、一车每天扣除</w:t>
      </w:r>
      <w:r>
        <w:rPr>
          <w:rFonts w:hint="eastAsia" w:asciiTheme="minorEastAsia" w:hAnsiTheme="minorEastAsia" w:eastAsiaTheme="minorEastAsia" w:cstheme="minorEastAsia"/>
          <w:snapToGrid w:val="0"/>
          <w:color w:val="000000" w:themeColor="text1"/>
          <w:kern w:val="0"/>
          <w:sz w:val="21"/>
          <w:szCs w:val="21"/>
          <w:highlight w:val="none"/>
          <w:u w:val="single"/>
          <w14:textFill>
            <w14:solidFill>
              <w14:schemeClr w14:val="tx1"/>
            </w14:solidFill>
          </w14:textFill>
        </w:rPr>
        <w:t>10000</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元、一设备每天扣除</w:t>
      </w:r>
      <w:r>
        <w:rPr>
          <w:rFonts w:hint="eastAsia" w:asciiTheme="minorEastAsia" w:hAnsiTheme="minorEastAsia" w:eastAsiaTheme="minorEastAsia" w:cstheme="minorEastAsia"/>
          <w:snapToGrid w:val="0"/>
          <w:color w:val="000000" w:themeColor="text1"/>
          <w:kern w:val="0"/>
          <w:sz w:val="21"/>
          <w:szCs w:val="21"/>
          <w:highlight w:val="none"/>
          <w:u w:val="single"/>
          <w14:textFill>
            <w14:solidFill>
              <w14:schemeClr w14:val="tx1"/>
            </w14:solidFill>
          </w14:textFill>
        </w:rPr>
        <w:t>1000</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元。采购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责令中标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限期整改3次仍未达标的，视为中标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缺少相应的人员、车辆和设备予以扣分扣款，同时采购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可以依法对问题车辆和设备移交相关执法部门处理，直至中标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补充新的车辆、设备到位。该情形出现累计达到3次，视为根本性违约，采购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有权单方面解除合同，履约保证金不予退还，并由中标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承担因此而给采购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造成的全部损失。</w:t>
      </w:r>
    </w:p>
    <w:p>
      <w:pPr>
        <w:spacing w:before="60" w:beforeLines="25" w:after="60" w:afterLines="25"/>
        <w:ind w:firstLine="420" w:firstLineChars="200"/>
        <w:jc w:val="left"/>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7</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摆放的垃圾收集桶残缺破损，不符合招标文件规定的作业标准的，以及超过 18 个月仍未更换的，视为中标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缺少相应的垃圾收集桶予以扣分扣款，采购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lang w:eastAsia="zh-CN"/>
          <w14:textFill>
            <w14:solidFill>
              <w14:schemeClr w14:val="tx1"/>
            </w14:solidFill>
          </w14:textFill>
        </w:rPr>
        <w:t>或</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其指定的监管单位有权直接对问题垃圾收集桶进行处置，中标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应立即补充新垃圾收集桶，超过 24 小时仍未补充的，采购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有权径自采购符合要求的全新垃圾收集桶进行摆放，采购费用自项目服务费中扣除。该情形出现累计达到 3 次或以上的，视为根本性违约，采购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有权单方面解除项目，履约保证金不予退还，并由中标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承担因此而给采购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造成的全部损失。</w:t>
      </w:r>
    </w:p>
    <w:p>
      <w:pPr>
        <w:spacing w:before="60" w:beforeLines="25" w:after="60" w:afterLines="25"/>
        <w:ind w:firstLine="420" w:firstLineChars="200"/>
        <w:jc w:val="left"/>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8</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应自行与本项目服务范围内垃圾产生单位协商确定垃圾桶收运起始时间，并报采购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及采购人指定的监管单位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备案，采购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及</w:t>
      </w:r>
      <w:r>
        <w:rPr>
          <w:rFonts w:hint="eastAsia" w:asciiTheme="minorEastAsia" w:hAnsiTheme="minorEastAsia" w:eastAsiaTheme="minorEastAsia" w:cstheme="minorEastAsia"/>
          <w:snapToGrid w:val="0"/>
          <w:color w:val="000000" w:themeColor="text1"/>
          <w:kern w:val="0"/>
          <w:sz w:val="21"/>
          <w:szCs w:val="21"/>
          <w:highlight w:val="none"/>
          <w:lang w:eastAsia="zh-CN"/>
          <w14:textFill>
            <w14:solidFill>
              <w14:schemeClr w14:val="tx1"/>
            </w14:solidFill>
          </w14:textFill>
        </w:rPr>
        <w:t>采购人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指定的监管单位依据该时间考核中标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前端垃圾桶收运是否及时。中标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未能在自该起始时间起2.5小时内完成该垃圾产生单位垃圾桶收运工作，视为垃圾桶收运不及时，采购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按照考核标准对中标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 xml:space="preserve">予以扣分扣款。 </w:t>
      </w:r>
    </w:p>
    <w:p>
      <w:pPr>
        <w:spacing w:before="60" w:beforeLines="25" w:after="60" w:afterLines="25"/>
        <w:ind w:firstLine="420" w:firstLineChars="200"/>
        <w:jc w:val="left"/>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9</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中标后不得以无充电设施原因为由停止使用纯电动车辆，超过1个月未使用纯电动车辆的，采购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有权依法解除合同。中标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不得以无充电设施原因为由停止使用纯电动车辆。未按项目要求配备和使用纯电动车辆，每辆每天扣罚</w:t>
      </w:r>
      <w:r>
        <w:rPr>
          <w:rFonts w:hint="eastAsia" w:asciiTheme="minorEastAsia" w:hAnsiTheme="minorEastAsia" w:eastAsiaTheme="minorEastAsia" w:cstheme="minorEastAsia"/>
          <w:snapToGrid w:val="0"/>
          <w:color w:val="000000" w:themeColor="text1"/>
          <w:kern w:val="0"/>
          <w:sz w:val="21"/>
          <w:szCs w:val="21"/>
          <w:highlight w:val="none"/>
          <w:u w:val="single"/>
          <w14:textFill>
            <w14:solidFill>
              <w14:schemeClr w14:val="tx1"/>
            </w14:solidFill>
          </w14:textFill>
        </w:rPr>
        <w:t>10000</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 xml:space="preserve">元。 </w:t>
      </w:r>
    </w:p>
    <w:p>
      <w:pPr>
        <w:spacing w:before="60" w:beforeLines="25" w:after="60" w:afterLines="25"/>
        <w:ind w:firstLine="420" w:firstLineChars="200"/>
        <w:jc w:val="left"/>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10</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）未按采购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要求上报环卫服务管理制度、环卫作业工作计划及各项环卫作业服务工作记录、台账等资料的，每次扣</w:t>
      </w:r>
      <w:r>
        <w:rPr>
          <w:rFonts w:hint="eastAsia" w:asciiTheme="minorEastAsia" w:hAnsiTheme="minorEastAsia" w:eastAsiaTheme="minorEastAsia" w:cstheme="minorEastAsia"/>
          <w:snapToGrid w:val="0"/>
          <w:color w:val="000000" w:themeColor="text1"/>
          <w:kern w:val="0"/>
          <w:sz w:val="21"/>
          <w:szCs w:val="21"/>
          <w:highlight w:val="none"/>
          <w:u w:val="single"/>
          <w14:textFill>
            <w14:solidFill>
              <w14:schemeClr w14:val="tx1"/>
            </w14:solidFill>
          </w14:textFill>
        </w:rPr>
        <w:t>1000</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元；未经</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采购人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同意，擅自变更项目经理，每发生一次扣</w:t>
      </w:r>
      <w:r>
        <w:rPr>
          <w:rFonts w:hint="eastAsia" w:asciiTheme="minorEastAsia" w:hAnsiTheme="minorEastAsia" w:eastAsiaTheme="minorEastAsia" w:cstheme="minorEastAsia"/>
          <w:snapToGrid w:val="0"/>
          <w:color w:val="000000" w:themeColor="text1"/>
          <w:kern w:val="0"/>
          <w:sz w:val="21"/>
          <w:szCs w:val="21"/>
          <w:highlight w:val="none"/>
          <w:u w:val="single"/>
          <w14:textFill>
            <w14:solidFill>
              <w14:schemeClr w14:val="tx1"/>
            </w14:solidFill>
          </w14:textFill>
        </w:rPr>
        <w:t>5000</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元；</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采购人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安排的突击性任务或其他交办工作任务未完成的。每次扣</w:t>
      </w:r>
      <w:r>
        <w:rPr>
          <w:rFonts w:hint="eastAsia" w:asciiTheme="minorEastAsia" w:hAnsiTheme="minorEastAsia" w:eastAsiaTheme="minorEastAsia" w:cstheme="minorEastAsia"/>
          <w:snapToGrid w:val="0"/>
          <w:color w:val="000000" w:themeColor="text1"/>
          <w:kern w:val="0"/>
          <w:sz w:val="21"/>
          <w:szCs w:val="21"/>
          <w:highlight w:val="none"/>
          <w:u w:val="single"/>
          <w14:textFill>
            <w14:solidFill>
              <w14:schemeClr w14:val="tx1"/>
            </w14:solidFill>
          </w14:textFill>
        </w:rPr>
        <w:t>5000</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元；擅自闲置、拆除、改装、损毁作业车辆监控设备的，每次扣</w:t>
      </w:r>
      <w:r>
        <w:rPr>
          <w:rFonts w:hint="eastAsia" w:asciiTheme="minorEastAsia" w:hAnsiTheme="minorEastAsia" w:eastAsiaTheme="minorEastAsia" w:cstheme="minorEastAsia"/>
          <w:snapToGrid w:val="0"/>
          <w:color w:val="000000" w:themeColor="text1"/>
          <w:kern w:val="0"/>
          <w:sz w:val="21"/>
          <w:szCs w:val="21"/>
          <w:highlight w:val="none"/>
          <w:u w:val="single"/>
          <w14:textFill>
            <w14:solidFill>
              <w14:schemeClr w14:val="tx1"/>
            </w14:solidFill>
          </w14:textFill>
        </w:rPr>
        <w:t>10000</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元。</w:t>
      </w:r>
    </w:p>
    <w:p>
      <w:pPr>
        <w:spacing w:before="60" w:beforeLines="25" w:after="60" w:afterLines="25"/>
        <w:ind w:firstLine="392" w:firstLineChars="187"/>
        <w:jc w:val="left"/>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11</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违反法律、法规、规章或其他相关规范性文件的规定，影响合同履行的，采购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可以单方面解除合同而无须向中标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支付任何费用或承担其他的任何责任，由此产生的经济损失和法律责任均全部由中标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承担。</w:t>
      </w:r>
    </w:p>
    <w:p>
      <w:pPr>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）合同履行期间，中标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发生1人以上（含1人）死亡或3人以上（含3人）重伤，并负主要责任的，采购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可以单方面解除合同而无须向中标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支付任何费用或承担其他的任何责任，由此产生的经济损失和法律责任均全部由中标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承担。</w:t>
      </w:r>
    </w:p>
    <w:p>
      <w:pPr>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）合同履行期间，中标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任一个月未按时足额发放员工工资（含加班工资）的人数达5人以上（含5人）的，或中标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拖欠任一名员工工资（含加班工资）达一个月以上的，或中标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拖欠员工工资（含加班工资）金额达伍仟元以上的，或深圳市最低工资标准发生变化而中标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拒绝根据有关规定予以相应调整的，采购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均可以单方面解除合同而无须向中标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支付任何费用或承担其他的任何责任，由此产生的经济损失和法律责任均全部由中标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承担，并且采购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可以使用履约保证金</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或项目服务费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代为支付中标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所拖欠的员工工资。</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若</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或采购人指定的监管单位使用履约保证金</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支付相关款项后，中标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应当在十日内补交相应金额的履约保证金；中标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未及时补交的，采购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可以从应付中标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的清扫保洁服务费中直接扣除中标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应当补交的履约保证金。</w:t>
      </w:r>
    </w:p>
    <w:p>
      <w:pPr>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）合同履行期间，中标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因违反劳动管理方面的法律、法规、规章及其他一般规范性文件的规定引起10人以上群体上访事件或10人以上（一宗案件内）劳资纠纷案件败诉或10人以上歇工事件的，采购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均可以单方面解除合同而无须向中标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支付任何费用或承担其他的任何责任，由此产生的经济损失和法律责任均全部由中标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承担。</w:t>
      </w:r>
    </w:p>
    <w:p>
      <w:pPr>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擅自将服务合同转包或分包给第三人的，采购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可以单方面解除合同而无须向中标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支付任何费用或承担其他的任何责任，由此产生的经济损失和法律责任均全部由中标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承担。</w:t>
      </w:r>
    </w:p>
    <w:p>
      <w:pPr>
        <w:spacing w:before="60" w:beforeLines="25" w:after="60" w:afterLines="25"/>
        <w:ind w:firstLine="392" w:firstLineChars="187"/>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16</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连续2个月考核未达标或者连续12个月内累计3个月考核未达标，采购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有权单方面解除合同，中标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承担违约责任。</w:t>
      </w:r>
    </w:p>
    <w:p>
      <w:pPr>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17</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）合同履行期间，中标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因违反《深圳市环卫服务行业不良行为记录管理办法（试行）》的规定受到红牌警示不良行为记录，采购</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均可以在项目合同期结束后不再续签合同，或单方面解除合同而无须向中标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支付任何费用或承担其他的任何责任，由此产生的经济损失和法律责任均全部由中标</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承担。</w:t>
      </w:r>
    </w:p>
    <w:p>
      <w:pPr>
        <w:ind w:firstLine="420" w:firstLineChars="200"/>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18</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）其他应当追究责任的情形。</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（十一）人员培训要求</w:t>
      </w:r>
    </w:p>
    <w:p>
      <w:pPr>
        <w:ind w:firstLine="420" w:firstLineChars="200"/>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应开展涵盖所有员工的员工培训、入职培训。</w:t>
      </w:r>
    </w:p>
    <w:p>
      <w:pPr>
        <w:ind w:left="199" w:leftChars="95" w:firstLine="210" w:firstLineChars="100"/>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负责安排员工参加相应的业务技术的培训学习，需持证上岗的员工须在到岗前获得从事相应岗位的证书。</w:t>
      </w:r>
    </w:p>
    <w:p>
      <w:pPr>
        <w:ind w:firstLine="420" w:firstLineChars="200"/>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定期对应急人员进行应急抢险技能等培训，所有成员能熟练掌握抢险的基本技能。</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需建立员工培训情况反馈制度，坚持将培训过程的考核情况及结果与本人培训期间的工资、奖金挂钩。</w:t>
      </w:r>
    </w:p>
    <w:p>
      <w:pPr>
        <w:ind w:firstLine="420" w:firstLineChars="200"/>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应定期自行组织或委托专业培训机构培训安全、专业技能等内容。</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（十二）合同交接过渡期（含合同始止期）要求</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（1）中标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应在合同生效之日起90日内将服务方案、人员聘请情况、设施设备购置、车辆配备情况和交接计划等交由</w:t>
      </w:r>
      <w:r>
        <w:rPr>
          <w:rFonts w:hint="eastAsia" w:asciiTheme="minorEastAsia" w:hAnsiTheme="minorEastAsia" w:eastAsiaTheme="minorEastAsia" w:cstheme="minorEastAsia"/>
          <w:bCs/>
          <w:color w:val="000000" w:themeColor="text1"/>
          <w:sz w:val="21"/>
          <w:szCs w:val="21"/>
          <w:highlight w:val="none"/>
          <w:lang w:val="en-US" w:eastAsia="zh-CN"/>
          <w14:textFill>
            <w14:solidFill>
              <w14:schemeClr w14:val="tx1"/>
            </w14:solidFill>
          </w14:textFill>
        </w:rPr>
        <w:t>采购人</w:t>
      </w:r>
      <w:r>
        <w:rPr>
          <w:rFonts w:hint="eastAsia" w:ascii="宋体" w:hAnsi="宋体" w:cs="宋体"/>
          <w:color w:val="000000" w:themeColor="text1"/>
          <w:kern w:val="0"/>
          <w:sz w:val="21"/>
          <w:szCs w:val="21"/>
          <w:highlight w:val="none"/>
          <w:lang w:eastAsia="zh-CN"/>
          <w14:textFill>
            <w14:solidFill>
              <w14:schemeClr w14:val="tx1"/>
            </w14:solidFill>
          </w14:textFill>
        </w:rPr>
        <w:t>及采购人指定的监管单位</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验收，验收发现的问题由中标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在限期内整改完毕再交采购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及采购人指定的监管单位</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验收，采购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及采购人指定的监管单位</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验收合格后确认中标</w:t>
      </w:r>
      <w:r>
        <w:rPr>
          <w:rFonts w:hint="eastAsia" w:asciiTheme="minorEastAsia" w:hAnsiTheme="minorEastAsia" w:eastAsiaTheme="minorEastAsia" w:cstheme="minorEastAsia"/>
          <w:bCs/>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正式接管服务项目。</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（2）合同终止（或解除）或合同服务期限届满后不再续签合同时，中标</w:t>
      </w:r>
      <w:r>
        <w:rPr>
          <w:rFonts w:hint="eastAsia" w:asciiTheme="minorEastAsia" w:hAnsiTheme="minorEastAsia" w:eastAsiaTheme="minorEastAsia" w:cstheme="minorEastAsia"/>
          <w:bCs/>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应在接到</w:t>
      </w:r>
      <w:r>
        <w:rPr>
          <w:rFonts w:hint="eastAsia" w:asciiTheme="minorEastAsia" w:hAnsiTheme="minorEastAsia" w:eastAsiaTheme="minorEastAsia" w:cstheme="minorEastAsia"/>
          <w:bCs/>
          <w:color w:val="000000" w:themeColor="text1"/>
          <w:sz w:val="21"/>
          <w:szCs w:val="21"/>
          <w:highlight w:val="none"/>
          <w:lang w:eastAsia="zh-CN"/>
          <w14:textFill>
            <w14:solidFill>
              <w14:schemeClr w14:val="tx1"/>
            </w14:solidFill>
          </w14:textFill>
        </w:rPr>
        <w:t>采购人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通知后5日内向</w:t>
      </w:r>
      <w:r>
        <w:rPr>
          <w:rFonts w:hint="eastAsia" w:asciiTheme="minorEastAsia" w:hAnsiTheme="minorEastAsia" w:eastAsiaTheme="minorEastAsia" w:cstheme="minorEastAsia"/>
          <w:bCs/>
          <w:color w:val="000000" w:themeColor="text1"/>
          <w:sz w:val="21"/>
          <w:szCs w:val="21"/>
          <w:highlight w:val="none"/>
          <w:lang w:val="en-US" w:eastAsia="zh-CN"/>
          <w14:textFill>
            <w14:solidFill>
              <w14:schemeClr w14:val="tx1"/>
            </w14:solidFill>
          </w14:textFill>
        </w:rPr>
        <w:t>采购人</w:t>
      </w:r>
      <w:r>
        <w:rPr>
          <w:rFonts w:hint="eastAsia" w:ascii="宋体" w:hAnsi="宋体" w:cs="宋体"/>
          <w:color w:val="000000" w:themeColor="text1"/>
          <w:kern w:val="0"/>
          <w:sz w:val="21"/>
          <w:szCs w:val="21"/>
          <w:highlight w:val="none"/>
          <w:lang w:eastAsia="zh-CN"/>
          <w14:textFill>
            <w14:solidFill>
              <w14:schemeClr w14:val="tx1"/>
            </w14:solidFill>
          </w14:textFill>
        </w:rPr>
        <w:t>及采购人指定的监管单位</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提出最终考核验收移交申请，将全部服务工作和</w:t>
      </w:r>
      <w:r>
        <w:rPr>
          <w:rFonts w:hint="eastAsia" w:asciiTheme="minorEastAsia" w:hAnsiTheme="minorEastAsia" w:eastAsiaTheme="minorEastAsia" w:cstheme="minorEastAsia"/>
          <w:bCs/>
          <w:color w:val="000000" w:themeColor="text1"/>
          <w:sz w:val="21"/>
          <w:szCs w:val="21"/>
          <w:highlight w:val="none"/>
          <w:lang w:val="en-US" w:eastAsia="zh-CN"/>
          <w14:textFill>
            <w14:solidFill>
              <w14:schemeClr w14:val="tx1"/>
            </w14:solidFill>
          </w14:textFill>
        </w:rPr>
        <w:t>采购人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设施设备及时移交</w:t>
      </w:r>
      <w:r>
        <w:rPr>
          <w:rFonts w:hint="eastAsia" w:asciiTheme="minorEastAsia" w:hAnsiTheme="minorEastAsia" w:eastAsiaTheme="minorEastAsia" w:cstheme="minorEastAsia"/>
          <w:bCs/>
          <w:color w:val="000000" w:themeColor="text1"/>
          <w:sz w:val="21"/>
          <w:szCs w:val="21"/>
          <w:highlight w:val="none"/>
          <w:lang w:val="en-US" w:eastAsia="zh-CN"/>
          <w14:textFill>
            <w14:solidFill>
              <w14:schemeClr w14:val="tx1"/>
            </w14:solidFill>
          </w14:textFill>
        </w:rPr>
        <w:t>采购人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，并处理好与作业人员的劳动关系。</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 xml:space="preserve"> （3）中标</w:t>
      </w:r>
      <w:r>
        <w:rPr>
          <w:rFonts w:hint="eastAsia" w:asciiTheme="minorEastAsia" w:hAnsiTheme="minorEastAsia" w:eastAsiaTheme="minorEastAsia" w:cstheme="minorEastAsia"/>
          <w:bCs/>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须在服务期将满或合同即将终止时，在新的服务单位尚未确定或暂未进行接管时，中标</w:t>
      </w:r>
      <w:r>
        <w:rPr>
          <w:rFonts w:hint="eastAsia" w:asciiTheme="minorEastAsia" w:hAnsiTheme="minorEastAsia" w:eastAsiaTheme="minorEastAsia" w:cstheme="minorEastAsia"/>
          <w:bCs/>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将按照原合同规定全力配合</w:t>
      </w:r>
      <w:r>
        <w:rPr>
          <w:rFonts w:hint="eastAsia" w:asciiTheme="minorEastAsia" w:hAnsiTheme="minorEastAsia" w:eastAsiaTheme="minorEastAsia" w:cstheme="minorEastAsia"/>
          <w:bCs/>
          <w:color w:val="000000" w:themeColor="text1"/>
          <w:sz w:val="21"/>
          <w:szCs w:val="21"/>
          <w:highlight w:val="none"/>
          <w:lang w:val="en-US" w:eastAsia="zh-CN"/>
          <w14:textFill>
            <w14:solidFill>
              <w14:schemeClr w14:val="tx1"/>
            </w14:solidFill>
          </w14:textFill>
        </w:rPr>
        <w:t>采购人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继续做好服务项目的工作。</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（4）在合同交接过渡期（含合同始、止两个交接期）内，中标</w:t>
      </w:r>
      <w:r>
        <w:rPr>
          <w:rFonts w:hint="eastAsia" w:asciiTheme="minorEastAsia" w:hAnsiTheme="minorEastAsia" w:eastAsiaTheme="minorEastAsia" w:cstheme="minorEastAsia"/>
          <w:bCs/>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应严格按照中标</w:t>
      </w:r>
      <w:r>
        <w:rPr>
          <w:rFonts w:hint="eastAsia" w:asciiTheme="minorEastAsia" w:hAnsiTheme="minorEastAsia" w:eastAsiaTheme="minorEastAsia" w:cstheme="minorEastAsia"/>
          <w:bCs/>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向</w:t>
      </w:r>
      <w:r>
        <w:rPr>
          <w:rFonts w:hint="eastAsia" w:asciiTheme="minorEastAsia" w:hAnsiTheme="minorEastAsia" w:eastAsiaTheme="minorEastAsia" w:cstheme="minorEastAsia"/>
          <w:bCs/>
          <w:color w:val="000000" w:themeColor="text1"/>
          <w:sz w:val="21"/>
          <w:szCs w:val="21"/>
          <w:highlight w:val="none"/>
          <w:lang w:eastAsia="zh-CN"/>
          <w14:textFill>
            <w14:solidFill>
              <w14:schemeClr w14:val="tx1"/>
            </w14:solidFill>
          </w14:textFill>
        </w:rPr>
        <w:t>采购人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出具的《合同交接过渡期（含合同始、止期）的服务承诺函》执行，做好项目服务交接工作。</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（5）中标</w:t>
      </w:r>
      <w:r>
        <w:rPr>
          <w:rFonts w:hint="eastAsia" w:asciiTheme="minorEastAsia" w:hAnsiTheme="minorEastAsia" w:eastAsiaTheme="minorEastAsia" w:cstheme="minorEastAsia"/>
          <w:bCs/>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需确保交接期间服务质量，否则</w:t>
      </w:r>
      <w:r>
        <w:rPr>
          <w:rFonts w:hint="eastAsia" w:asciiTheme="minorEastAsia" w:hAnsiTheme="minorEastAsia" w:eastAsiaTheme="minorEastAsia" w:cstheme="minorEastAsia"/>
          <w:bCs/>
          <w:color w:val="000000" w:themeColor="text1"/>
          <w:sz w:val="21"/>
          <w:szCs w:val="21"/>
          <w:highlight w:val="none"/>
          <w:lang w:val="en-US" w:eastAsia="zh-CN"/>
          <w14:textFill>
            <w14:solidFill>
              <w14:schemeClr w14:val="tx1"/>
            </w14:solidFill>
          </w14:textFill>
        </w:rPr>
        <w:t>采购人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bCs/>
          <w:color w:val="000000" w:themeColor="text1"/>
          <w:sz w:val="21"/>
          <w:szCs w:val="21"/>
          <w:highlight w:val="none"/>
          <w14:textFill>
            <w14:solidFill>
              <w14:schemeClr w14:val="tx1"/>
            </w14:solidFill>
          </w14:textFill>
        </w:rPr>
        <w:t>向政府采购主管部门建议将其加入政府采购“黑名单”。</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（十三）台账制度</w:t>
      </w:r>
    </w:p>
    <w:p>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中标</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人</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应当就以下事项按日建立台账，并按月报送采购</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指定的监管单位</w:t>
      </w:r>
      <w:r>
        <w:rPr>
          <w:rFonts w:hint="eastAsia" w:asciiTheme="minorEastAsia" w:hAnsiTheme="minorEastAsia" w:eastAsiaTheme="minorEastAsia" w:cstheme="minorEastAsia"/>
          <w:color w:val="000000" w:themeColor="text1"/>
          <w:kern w:val="0"/>
          <w:sz w:val="21"/>
          <w:szCs w:val="21"/>
          <w:highlight w:val="none"/>
          <w14:textFill>
            <w14:solidFill>
              <w14:schemeClr w14:val="tx1"/>
            </w14:solidFill>
          </w14:textFill>
        </w:rPr>
        <w:t xml:space="preserve">备案，以便检查工作执行情况： </w:t>
      </w:r>
    </w:p>
    <w:p>
      <w:pPr>
        <w:keepNext w:val="0"/>
        <w:keepLines w:val="0"/>
        <w:pageBreakBefore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（1）人员配备信息表：人员姓名、岗位、身份证号码、照片、工资发放、社保（如因超龄不能购买可免）、商业保险等缴交记录等； </w:t>
      </w:r>
    </w:p>
    <w:p>
      <w:pPr>
        <w:keepNext w:val="0"/>
        <w:keepLines w:val="0"/>
        <w:pageBreakBefore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（2）环卫车辆及设备信息表，维修保养记录表。 </w:t>
      </w:r>
    </w:p>
    <w:p>
      <w:pPr>
        <w:keepNext w:val="0"/>
        <w:keepLines w:val="0"/>
        <w:pageBreakBefore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（3）垃圾清运信息：相关机构设立及资质证明文件、清运数量、清运时间、清运车辆（含数量、车牌号）及路线、行车轨迹、其他合法合规清运处理证明材料。 </w:t>
      </w:r>
    </w:p>
    <w:p>
      <w:pPr>
        <w:keepNext w:val="0"/>
        <w:keepLines w:val="0"/>
        <w:pageBreakBefore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（4）垃圾转运站运行记录，以及转运站、压缩设备及箱体、拖头车清洗台账，清洗台账包括清洗时间、清洗人员等内容。</w:t>
      </w:r>
    </w:p>
    <w:p>
      <w:pPr>
        <w:keepNext w:val="0"/>
        <w:keepLines w:val="0"/>
        <w:pageBreakBefore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安全生产管理台账，容包括但不限于以下方面：法律法规及制度规章；组织机构及资质；安全生产责任制；上级和本级文件；计划总结；安全教育培训；安全会议记录；安全检查与整改；应急处置管理；专项安全活动；安全报表；安全费用投入；安全设施与消防安全管理；事故（案件）材料；考核奖惩及其它资料。</w:t>
      </w:r>
    </w:p>
    <w:p>
      <w:pPr>
        <w:keepNext w:val="0"/>
        <w:keepLines w:val="0"/>
        <w:pageBreakBefore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（6）人员培训台账</w:t>
      </w:r>
    </w:p>
    <w:p>
      <w:pPr>
        <w:keepNext w:val="0"/>
        <w:keepLines w:val="0"/>
        <w:pageBreakBefore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（7）人员工资待遇情况：人员工资、正常工作时间、加班时间、工资发放、加班费发放、岗位津贴发放、五险一金缴纳等内容。</w:t>
      </w:r>
    </w:p>
    <w:p>
      <w:pPr>
        <w:keepNext w:val="0"/>
        <w:keepLines w:val="0"/>
        <w:pageBreakBefore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（8）水、电费使用情况台账</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（十四） 服务资料归属及保密条款</w:t>
      </w:r>
    </w:p>
    <w:p>
      <w:pPr>
        <w:ind w:firstLine="420" w:firstLineChars="20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所有提交给</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采购人</w:t>
      </w:r>
      <w:r>
        <w:rPr>
          <w:rFonts w:hint="eastAsia" w:ascii="宋体" w:hAnsi="宋体" w:cs="宋体"/>
          <w:color w:val="000000" w:themeColor="text1"/>
          <w:kern w:val="0"/>
          <w:sz w:val="21"/>
          <w:szCs w:val="21"/>
          <w:highlight w:val="none"/>
          <w:lang w:eastAsia="zh-CN"/>
          <w14:textFill>
            <w14:solidFill>
              <w14:schemeClr w14:val="tx1"/>
            </w14:solidFill>
          </w14:textFill>
        </w:rPr>
        <w:t>及采购人指定的监管单位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的服务文件及相关的资料的最后文本，包括中标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人员及设备清单、垃圾清运台账资料等，都属于</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采购人</w:t>
      </w:r>
      <w:r>
        <w:rPr>
          <w:rFonts w:hint="eastAsia" w:ascii="宋体" w:hAnsi="宋体" w:cs="宋体"/>
          <w:color w:val="000000" w:themeColor="text1"/>
          <w:kern w:val="0"/>
          <w:sz w:val="21"/>
          <w:szCs w:val="21"/>
          <w:highlight w:val="none"/>
          <w:lang w:eastAsia="zh-CN"/>
          <w14:textFill>
            <w14:solidFill>
              <w14:schemeClr w14:val="tx1"/>
            </w14:solidFill>
          </w14:textFill>
        </w:rPr>
        <w:t>及采购人指定的监管单位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的财产，中标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在提交给</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采购人</w:t>
      </w:r>
      <w:r>
        <w:rPr>
          <w:rFonts w:hint="eastAsia" w:ascii="宋体" w:hAnsi="宋体" w:cs="宋体"/>
          <w:color w:val="000000" w:themeColor="text1"/>
          <w:kern w:val="0"/>
          <w:sz w:val="21"/>
          <w:szCs w:val="21"/>
          <w:highlight w:val="none"/>
          <w:lang w:eastAsia="zh-CN"/>
          <w14:textFill>
            <w14:solidFill>
              <w14:schemeClr w14:val="tx1"/>
            </w14:solidFill>
          </w14:textFill>
        </w:rPr>
        <w:t>及采购人指定的监管单位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之前应将上述资料进行整理归类和编制索引，提交后应当继续向除</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采购人</w:t>
      </w:r>
      <w:r>
        <w:rPr>
          <w:rFonts w:hint="eastAsia" w:ascii="宋体" w:hAnsi="宋体" w:cs="宋体"/>
          <w:color w:val="000000" w:themeColor="text1"/>
          <w:kern w:val="0"/>
          <w:sz w:val="21"/>
          <w:szCs w:val="21"/>
          <w:highlight w:val="none"/>
          <w:lang w:eastAsia="zh-CN"/>
          <w14:textFill>
            <w14:solidFill>
              <w14:schemeClr w14:val="tx1"/>
            </w14:solidFill>
          </w14:textFill>
        </w:rPr>
        <w:t>及采购人指定的监管单位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及拥有相关调查权的司法或行政机构以外的第三方保密。中标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未经</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采购人</w:t>
      </w:r>
      <w:r>
        <w:rPr>
          <w:rFonts w:hint="eastAsia" w:ascii="宋体" w:hAnsi="宋体" w:cs="宋体"/>
          <w:color w:val="000000" w:themeColor="text1"/>
          <w:kern w:val="0"/>
          <w:sz w:val="21"/>
          <w:szCs w:val="21"/>
          <w:highlight w:val="none"/>
          <w:lang w:eastAsia="zh-CN"/>
          <w14:textFill>
            <w14:solidFill>
              <w14:schemeClr w14:val="tx1"/>
            </w14:solidFill>
          </w14:textFill>
        </w:rPr>
        <w:t>及采购人指定的监管单位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的书面同意，不得将上述资料用于与本服务项目之外的任何项目。项目履行完毕，未经</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采购人</w:t>
      </w:r>
      <w:r>
        <w:rPr>
          <w:rFonts w:hint="eastAsia" w:ascii="宋体" w:hAnsi="宋体" w:cs="宋体"/>
          <w:color w:val="000000" w:themeColor="text1"/>
          <w:kern w:val="0"/>
          <w:sz w:val="21"/>
          <w:szCs w:val="21"/>
          <w:highlight w:val="none"/>
          <w:lang w:eastAsia="zh-CN"/>
          <w14:textFill>
            <w14:solidFill>
              <w14:schemeClr w14:val="tx1"/>
            </w14:solidFill>
          </w14:textFill>
        </w:rPr>
        <w:t>及采购人指定的监管单位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的书面同意，中标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不得保存项目服务过程中所获得或接触到的任何数据资料。</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（十五）验收移交</w:t>
      </w:r>
    </w:p>
    <w:p>
      <w:pPr>
        <w:pStyle w:val="9"/>
        <w:spacing w:before="60" w:beforeLines="25" w:after="60" w:afterLines="25"/>
        <w:ind w:firstLine="392" w:firstLineChars="187"/>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在项目终止前十个工作日内，由中标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书面向采购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及采购人指定的监管单位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提出移交验收申请。项目期满，中标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必须将全部管理工作及非</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中标人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所有的设施、设备和有关物资及时移交采购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及采购人指定的监管单位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pPr>
        <w:ind w:firstLine="413" w:firstLineChars="196"/>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（十六）其他相关要求</w:t>
      </w:r>
    </w:p>
    <w:p>
      <w:pPr>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应当按一定比例接收深户人员及优先考虑安置本市失业人员。</w:t>
      </w:r>
    </w:p>
    <w:p>
      <w:pPr>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（2）投标人必须按各标段的实际情况进行经费测算，配足清扫保洁、垃圾运输人员、转运站操作人员。配员不能低于各路段、转运站管理中要求的最低配员标准。</w:t>
      </w:r>
    </w:p>
    <w:p>
      <w:pPr>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（3）应急处理，中标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因各种原因造成歇工事件时，采购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可临时指定其它清扫保洁、垃圾清运服务企业对歇工路段（含道路和公共场所）进行清扫保洁、垃圾清运，服务费从中标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提供的履约保证金或中标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当月服务费中直接支付。若采购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在履约保证金中支付相关款项后，中标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应当在十日内补交相应金额的履约保证金；中标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未及时补交的，采购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或采购人指定的监管单位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可以从应付中标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的服务费中直接扣除中标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应当补交的履约保证金。</w:t>
      </w:r>
    </w:p>
    <w:p>
      <w:pPr>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（4）如遇强台风、特大暴雨（与深圳电视台发出的中小学生暂停上课的通知同步），中标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可以不安排人员上路清扫保洁，但应成立清扫保洁应急队伍，服从采购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及采购人指定的监管单位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和政府三防指挥机构的统一指挥和调度。台风、暴雨过后，中标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应立即组织人员做好清扫保洁工作。如遇到需协助救险救灾工作的特殊情况，中标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应服从采购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及采购人指定的监管单位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和政府三防指挥机构的统一指挥和调度。</w:t>
      </w:r>
    </w:p>
    <w:p>
      <w:pPr>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应当按法律、法规、规章和其他规范性文件的规定开展各项工作。因重大活动、应急事件、突发事件等需要，中标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必须无条件地完成采购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及采购人指定的监管单位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交办的突击清扫保洁工作。</w:t>
      </w:r>
    </w:p>
    <w:p>
      <w:pPr>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必须书面承诺：根据环卫市场管理水平和科技不断发展的情况，及时主动引进先进的、有效的管理理念和采用更先进、更有效的环卫作业车辆和设备。</w:t>
      </w:r>
    </w:p>
    <w:p>
      <w:pPr>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及采购人指定的监管单位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有权依据实际工作需要按照同等级道路面积或相同保洁经费调整或置换本项目中的部分清扫保洁路段。</w:t>
      </w:r>
    </w:p>
    <w:p>
      <w:pPr>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有权将本招标项目的管理权、监督权和考核权移交或委托街道办事处或相关部门行使，中标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须无条件服从街道办事处或相关部门的指挥、调度、监督和考核。采购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可委托街道办事处或相关部门支付清扫保洁服务费。</w:t>
      </w:r>
    </w:p>
    <w:p>
      <w:pPr>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知道并同意：采购</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宋体" w:hAnsi="宋体" w:cs="宋体"/>
          <w:color w:val="000000" w:themeColor="text1"/>
          <w:kern w:val="0"/>
          <w:sz w:val="21"/>
          <w:szCs w:val="21"/>
          <w:highlight w:val="none"/>
          <w:lang w:eastAsia="zh-CN"/>
          <w14:textFill>
            <w14:solidFill>
              <w14:schemeClr w14:val="tx1"/>
            </w14:solidFill>
          </w14:textFill>
        </w:rPr>
        <w:t>及采购人指定的监管单位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有权根据法律、法规、规章和其他规范性文件的规定或政策对质量考核方案进行修订，并对中标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进行考核。</w:t>
      </w:r>
    </w:p>
    <w:p>
      <w:pPr>
        <w:ind w:firstLine="420" w:firstLineChars="20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应无条件执行市城市管理和综合执法局、区城市管理和综合执法局、街道办事处有关清扫、清运相关文件要求。</w:t>
      </w:r>
    </w:p>
    <w:p>
      <w:pPr>
        <w:ind w:firstLine="420" w:firstLineChars="200"/>
        <w:jc w:val="left"/>
        <w:rPr>
          <w:rFonts w:hAnsi="宋体"/>
          <w:color w:val="000000" w:themeColor="text1"/>
          <w:szCs w:val="21"/>
          <w:highlight w:val="none"/>
          <w14:textFill>
            <w14:solidFill>
              <w14:schemeClr w14:val="tx1"/>
            </w14:solidFill>
          </w14:textFill>
        </w:rPr>
      </w:pPr>
    </w:p>
    <w:p>
      <w:pPr>
        <w:pStyle w:val="5"/>
        <w:spacing w:before="120" w:beforeLines="50" w:after="120" w:afterLines="50"/>
        <w:jc w:val="center"/>
        <w:rPr>
          <w:rFonts w:hint="eastAsia" w:cs="Times New Roman"/>
          <w:color w:val="000000" w:themeColor="text1"/>
          <w:szCs w:val="24"/>
          <w:highlight w:val="none"/>
          <w:lang w:val="en-US" w:eastAsia="zh-CN"/>
          <w14:textFill>
            <w14:solidFill>
              <w14:schemeClr w14:val="tx1"/>
            </w14:solidFill>
          </w14:textFill>
        </w:rPr>
      </w:pPr>
      <w:r>
        <w:rPr>
          <w:rFonts w:hint="eastAsia" w:cs="Times New Roman"/>
          <w:color w:val="000000" w:themeColor="text1"/>
          <w:szCs w:val="24"/>
          <w:highlight w:val="none"/>
          <w:lang w:val="en-US" w:eastAsia="zh-CN"/>
          <w14:textFill>
            <w14:solidFill>
              <w14:schemeClr w14:val="tx1"/>
            </w14:solidFill>
          </w14:textFill>
        </w:rPr>
        <w:t>九、本项目附件</w:t>
      </w:r>
    </w:p>
    <w:p>
      <w:pPr>
        <w:rPr>
          <w:color w:val="000000" w:themeColor="text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 xml:space="preserve">    附件1.</w:t>
      </w:r>
      <w:r>
        <w:rPr>
          <w:rFonts w:hint="eastAsia" w:ascii="宋体" w:hAnsi="宋体" w:cs="Times New Roman"/>
          <w:bCs/>
          <w:color w:val="000000" w:themeColor="text1"/>
          <w:szCs w:val="21"/>
          <w:highlight w:val="none"/>
          <w14:textFill>
            <w14:solidFill>
              <w14:schemeClr w14:val="tx1"/>
            </w14:solidFill>
          </w14:textFill>
        </w:rPr>
        <w:t>盐田区</w:t>
      </w:r>
      <w:r>
        <w:rPr>
          <w:rFonts w:hint="eastAsia" w:ascii="宋体" w:hAnsi="宋体" w:cs="Times New Roman"/>
          <w:bCs/>
          <w:color w:val="000000" w:themeColor="text1"/>
          <w:szCs w:val="21"/>
          <w:highlight w:val="none"/>
          <w:lang w:eastAsia="zh-CN"/>
          <w14:textFill>
            <w14:solidFill>
              <w14:schemeClr w14:val="tx1"/>
            </w14:solidFill>
          </w14:textFill>
        </w:rPr>
        <w:t>海山</w:t>
      </w:r>
      <w:r>
        <w:rPr>
          <w:rFonts w:hint="eastAsia" w:ascii="宋体" w:hAnsi="宋体" w:cs="Times New Roman"/>
          <w:bCs/>
          <w:color w:val="000000" w:themeColor="text1"/>
          <w:szCs w:val="21"/>
          <w:highlight w:val="none"/>
          <w14:textFill>
            <w14:solidFill>
              <w14:schemeClr w14:val="tx1"/>
            </w14:solidFill>
          </w14:textFill>
        </w:rPr>
        <w:t>街道</w:t>
      </w:r>
      <w:r>
        <w:rPr>
          <w:rFonts w:hint="eastAsia" w:ascii="宋体" w:hAnsi="宋体" w:cs="Times New Roman"/>
          <w:bCs/>
          <w:color w:val="000000" w:themeColor="text1"/>
          <w:szCs w:val="21"/>
          <w:highlight w:val="none"/>
          <w:lang w:eastAsia="zh-CN"/>
          <w14:textFill>
            <w14:solidFill>
              <w14:schemeClr w14:val="tx1"/>
            </w14:solidFill>
          </w14:textFill>
        </w:rPr>
        <w:t>环卫一体化（城市管家）服务项目</w:t>
      </w:r>
      <w:r>
        <w:rPr>
          <w:rFonts w:hint="eastAsia" w:ascii="宋体" w:hAnsi="宋体" w:cs="Times New Roman"/>
          <w:bCs/>
          <w:color w:val="000000" w:themeColor="text1"/>
          <w:szCs w:val="21"/>
          <w:highlight w:val="none"/>
          <w14:textFill>
            <w14:solidFill>
              <w14:schemeClr w14:val="tx1"/>
            </w14:solidFill>
          </w14:textFill>
        </w:rPr>
        <w:t>清扫保洁面积明细表；</w:t>
      </w:r>
    </w:p>
    <w:p>
      <w:pPr>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 xml:space="preserve">    附件2.</w:t>
      </w:r>
      <w:r>
        <w:rPr>
          <w:rFonts w:hint="eastAsia" w:ascii="宋体" w:hAnsi="宋体" w:cs="Times New Roman"/>
          <w:bCs/>
          <w:color w:val="000000" w:themeColor="text1"/>
          <w:szCs w:val="21"/>
          <w:highlight w:val="none"/>
          <w14:textFill>
            <w14:solidFill>
              <w14:schemeClr w14:val="tx1"/>
            </w14:solidFill>
          </w14:textFill>
        </w:rPr>
        <w:t>盐田</w:t>
      </w:r>
      <w:r>
        <w:rPr>
          <w:rFonts w:hint="eastAsia" w:ascii="宋体" w:hAnsi="宋体" w:eastAsia="宋体" w:cs="Times New Roman"/>
          <w:bCs/>
          <w:color w:val="000000" w:themeColor="text1"/>
          <w:szCs w:val="21"/>
          <w:highlight w:val="none"/>
          <w14:textFill>
            <w14:solidFill>
              <w14:schemeClr w14:val="tx1"/>
            </w14:solidFill>
          </w14:textFill>
        </w:rPr>
        <w:t>区</w:t>
      </w:r>
      <w:r>
        <w:rPr>
          <w:rFonts w:hint="eastAsia" w:ascii="宋体" w:hAnsi="宋体" w:eastAsia="宋体" w:cs="Times New Roman"/>
          <w:bCs/>
          <w:color w:val="000000" w:themeColor="text1"/>
          <w:szCs w:val="21"/>
          <w:highlight w:val="none"/>
          <w:lang w:eastAsia="zh-CN"/>
          <w14:textFill>
            <w14:solidFill>
              <w14:schemeClr w14:val="tx1"/>
            </w14:solidFill>
          </w14:textFill>
        </w:rPr>
        <w:t>海山</w:t>
      </w:r>
      <w:r>
        <w:rPr>
          <w:rFonts w:hint="eastAsia" w:ascii="宋体" w:hAnsi="宋体" w:cs="Times New Roman"/>
          <w:bCs/>
          <w:color w:val="000000" w:themeColor="text1"/>
          <w:szCs w:val="21"/>
          <w:highlight w:val="none"/>
          <w14:textFill>
            <w14:solidFill>
              <w14:schemeClr w14:val="tx1"/>
            </w14:solidFill>
          </w14:textFill>
        </w:rPr>
        <w:t>街道垃圾站、垃圾清运、桶点及公厕管理基础数据一览表；</w:t>
      </w:r>
    </w:p>
    <w:p>
      <w:pPr>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 xml:space="preserve">    附件3.公共区域环境卫生质量和管理要求（DB4403T 59—2020）；</w:t>
      </w:r>
    </w:p>
    <w:p>
      <w:pPr>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 xml:space="preserve">    附件4.生活垃圾收集和运输规范（DB4403 T 58-2020 ）；             </w:t>
      </w:r>
    </w:p>
    <w:p>
      <w:pPr>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 xml:space="preserve">    附件5.盐田区城市管理局关于印发《</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盐田区</w:t>
      </w:r>
      <w:r>
        <w:rPr>
          <w:rFonts w:hint="eastAsia" w:asciiTheme="minorEastAsia" w:hAnsiTheme="minorEastAsia" w:eastAsiaTheme="minorEastAsia" w:cstheme="minorEastAsia"/>
          <w:snapToGrid w:val="0"/>
          <w:color w:val="000000" w:themeColor="text1"/>
          <w:kern w:val="0"/>
          <w:sz w:val="21"/>
          <w:szCs w:val="21"/>
          <w:highlight w:val="none"/>
          <w:lang w:eastAsia="zh-CN"/>
          <w14:textFill>
            <w14:solidFill>
              <w14:schemeClr w14:val="tx1"/>
            </w14:solidFill>
          </w14:textFill>
        </w:rPr>
        <w:t>环卫一体化（城市管家）</w:t>
      </w:r>
      <w:r>
        <w:rPr>
          <w:rFonts w:hint="eastAsia" w:asciiTheme="minorEastAsia" w:hAnsiTheme="minorEastAsia" w:eastAsiaTheme="minorEastAsia" w:cstheme="minorEastAsia"/>
          <w:snapToGrid w:val="0"/>
          <w:color w:val="000000" w:themeColor="text1"/>
          <w:kern w:val="0"/>
          <w:sz w:val="21"/>
          <w:szCs w:val="21"/>
          <w:highlight w:val="none"/>
          <w14:textFill>
            <w14:solidFill>
              <w14:schemeClr w14:val="tx1"/>
            </w14:solidFill>
          </w14:textFill>
        </w:rPr>
        <w:t>服务质量考评办法</w:t>
      </w:r>
      <w:r>
        <w:rPr>
          <w:rFonts w:hint="eastAsia" w:hAnsi="宋体"/>
          <w:color w:val="000000" w:themeColor="text1"/>
          <w:szCs w:val="21"/>
          <w:highlight w:val="none"/>
          <w14:textFill>
            <w14:solidFill>
              <w14:schemeClr w14:val="tx1"/>
            </w14:solidFill>
          </w14:textFill>
        </w:rPr>
        <w:t>》的通知；</w:t>
      </w:r>
    </w:p>
    <w:p>
      <w:pPr>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 xml:space="preserve">    附件6.环卫信息备案管理操作手册；</w:t>
      </w:r>
    </w:p>
    <w:p>
      <w:pPr>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 xml:space="preserve">    附件</w:t>
      </w:r>
      <w:r>
        <w:rPr>
          <w:rFonts w:hint="eastAsia" w:hAnsi="宋体"/>
          <w:color w:val="000000" w:themeColor="text1"/>
          <w:szCs w:val="21"/>
          <w:highlight w:val="none"/>
          <w:lang w:val="en-US" w:eastAsia="zh-CN"/>
          <w14:textFill>
            <w14:solidFill>
              <w14:schemeClr w14:val="tx1"/>
            </w14:solidFill>
          </w14:textFill>
        </w:rPr>
        <w:t>7</w:t>
      </w:r>
      <w:r>
        <w:rPr>
          <w:rFonts w:hint="eastAsia"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盐田区</w:t>
      </w:r>
      <w:r>
        <w:rPr>
          <w:rFonts w:hint="eastAsia"/>
          <w:color w:val="000000" w:themeColor="text1"/>
          <w:highlight w:val="none"/>
          <w:lang w:eastAsia="zh-CN"/>
          <w14:textFill>
            <w14:solidFill>
              <w14:schemeClr w14:val="tx1"/>
            </w14:solidFill>
          </w14:textFill>
        </w:rPr>
        <w:t>海山</w:t>
      </w:r>
      <w:r>
        <w:rPr>
          <w:rFonts w:hint="eastAsia"/>
          <w:color w:val="000000" w:themeColor="text1"/>
          <w:highlight w:val="none"/>
          <w14:textFill>
            <w14:solidFill>
              <w14:schemeClr w14:val="tx1"/>
            </w14:solidFill>
          </w14:textFill>
        </w:rPr>
        <w:t>街道</w:t>
      </w:r>
      <w:r>
        <w:rPr>
          <w:rFonts w:hint="eastAsia"/>
          <w:color w:val="000000" w:themeColor="text1"/>
          <w:highlight w:val="none"/>
          <w:lang w:eastAsia="zh-CN"/>
          <w14:textFill>
            <w14:solidFill>
              <w14:schemeClr w14:val="tx1"/>
            </w14:solidFill>
          </w14:textFill>
        </w:rPr>
        <w:t>环卫一体化（城市管家）</w:t>
      </w:r>
      <w:r>
        <w:rPr>
          <w:rFonts w:hint="eastAsia"/>
          <w:color w:val="000000" w:themeColor="text1"/>
          <w:highlight w:val="none"/>
          <w14:textFill>
            <w14:solidFill>
              <w14:schemeClr w14:val="tx1"/>
            </w14:solidFill>
          </w14:textFill>
        </w:rPr>
        <w:t>服务项目</w:t>
      </w:r>
      <w:r>
        <w:rPr>
          <w:rFonts w:hint="eastAsia" w:hAnsi="宋体"/>
          <w:color w:val="000000" w:themeColor="text1"/>
          <w:szCs w:val="21"/>
          <w:highlight w:val="none"/>
          <w14:textFill>
            <w14:solidFill>
              <w14:schemeClr w14:val="tx1"/>
            </w14:solidFill>
          </w14:textFill>
        </w:rPr>
        <w:t>合同（范本）；</w:t>
      </w:r>
    </w:p>
    <w:p>
      <w:pPr>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 xml:space="preserve">    附件</w:t>
      </w:r>
      <w:r>
        <w:rPr>
          <w:rFonts w:hint="eastAsia" w:hAnsi="宋体"/>
          <w:color w:val="000000" w:themeColor="text1"/>
          <w:szCs w:val="21"/>
          <w:highlight w:val="none"/>
          <w:lang w:val="en-US" w:eastAsia="zh-CN"/>
          <w14:textFill>
            <w14:solidFill>
              <w14:schemeClr w14:val="tx1"/>
            </w14:solidFill>
          </w14:textFill>
        </w:rPr>
        <w:t>8</w:t>
      </w:r>
      <w:r>
        <w:rPr>
          <w:rFonts w:hint="eastAsia" w:hAnsi="宋体"/>
          <w:color w:val="000000" w:themeColor="text1"/>
          <w:szCs w:val="21"/>
          <w:highlight w:val="none"/>
          <w14:textFill>
            <w14:solidFill>
              <w14:schemeClr w14:val="tx1"/>
            </w14:solidFill>
          </w14:textFill>
        </w:rPr>
        <w:t>. 深圳市人民政府办公厅印发关于进一步改善环卫工人待遇实施细则的通知（深府办[2017]4号）；</w:t>
      </w:r>
    </w:p>
    <w:p>
      <w:pPr>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 xml:space="preserve">    附件</w:t>
      </w:r>
      <w:r>
        <w:rPr>
          <w:rFonts w:hint="eastAsia" w:hAnsi="宋体"/>
          <w:color w:val="000000" w:themeColor="text1"/>
          <w:szCs w:val="21"/>
          <w:highlight w:val="none"/>
          <w:lang w:val="en-US" w:eastAsia="zh-CN"/>
          <w14:textFill>
            <w14:solidFill>
              <w14:schemeClr w14:val="tx1"/>
            </w14:solidFill>
          </w14:textFill>
        </w:rPr>
        <w:t>9</w:t>
      </w:r>
      <w:r>
        <w:rPr>
          <w:rFonts w:hint="eastAsia" w:hAnsi="宋体"/>
          <w:color w:val="000000" w:themeColor="text1"/>
          <w:szCs w:val="21"/>
          <w:highlight w:val="none"/>
          <w14:textFill>
            <w14:solidFill>
              <w14:schemeClr w14:val="tx1"/>
            </w14:solidFill>
          </w14:textFill>
        </w:rPr>
        <w:t>.深圳市城市管理局关于印发《深圳市生活垃圾转运站清洁作业指引（试行)》及垃圾转运站管理规定的通知（深城管规[2019]13号）；</w:t>
      </w:r>
    </w:p>
    <w:p>
      <w:pPr>
        <w:rPr>
          <w:rFonts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 xml:space="preserve">    附件1</w:t>
      </w:r>
      <w:r>
        <w:rPr>
          <w:rFonts w:hint="eastAsia" w:hAnsi="宋体"/>
          <w:color w:val="000000" w:themeColor="text1"/>
          <w:szCs w:val="21"/>
          <w:highlight w:val="none"/>
          <w:lang w:val="en-US" w:eastAsia="zh-CN"/>
          <w14:textFill>
            <w14:solidFill>
              <w14:schemeClr w14:val="tx1"/>
            </w14:solidFill>
          </w14:textFill>
        </w:rPr>
        <w:t>0</w:t>
      </w:r>
      <w:r>
        <w:rPr>
          <w:rFonts w:hint="eastAsia" w:hAnsi="宋体"/>
          <w:color w:val="000000" w:themeColor="text1"/>
          <w:szCs w:val="21"/>
          <w:highlight w:val="none"/>
          <w14:textFill>
            <w14:solidFill>
              <w14:schemeClr w14:val="tx1"/>
            </w14:solidFill>
          </w14:textFill>
        </w:rPr>
        <w:t>. 其他。</w:t>
      </w:r>
    </w:p>
    <w:p>
      <w:pPr>
        <w:rPr>
          <w:color w:val="000000" w:themeColor="text1"/>
          <w:highlight w:val="none"/>
          <w14:textFill>
            <w14:solidFill>
              <w14:schemeClr w14:val="tx1"/>
            </w14:solidFill>
          </w14:textFill>
        </w:rPr>
      </w:pPr>
    </w:p>
    <w:p>
      <w:pPr>
        <w:pStyle w:val="5"/>
        <w:spacing w:before="120" w:beforeLines="50" w:after="120" w:afterLines="50"/>
        <w:jc w:val="center"/>
        <w:rPr>
          <w:rFonts w:hint="eastAsia" w:cs="Times New Roman"/>
          <w:color w:val="000000" w:themeColor="text1"/>
          <w:szCs w:val="24"/>
          <w:highlight w:val="none"/>
          <w:lang w:val="en-US" w:eastAsia="zh-CN"/>
          <w14:textFill>
            <w14:solidFill>
              <w14:schemeClr w14:val="tx1"/>
            </w14:solidFill>
          </w14:textFill>
        </w:rPr>
      </w:pPr>
      <w:r>
        <w:rPr>
          <w:rFonts w:hint="eastAsia" w:cs="Times New Roman"/>
          <w:color w:val="000000" w:themeColor="text1"/>
          <w:szCs w:val="24"/>
          <w:highlight w:val="none"/>
          <w:lang w:val="en-US" w:eastAsia="zh-CN"/>
          <w14:textFill>
            <w14:solidFill>
              <w14:schemeClr w14:val="tx1"/>
            </w14:solidFill>
          </w14:textFill>
        </w:rPr>
        <w:t>十、投标报价</w:t>
      </w:r>
    </w:p>
    <w:p>
      <w:pPr>
        <w:pStyle w:val="9"/>
        <w:spacing w:before="60" w:beforeLines="25" w:after="60" w:afterLines="25"/>
        <w:ind w:firstLine="392" w:firstLineChars="18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1.本项目服务费采用包干制，应包括服务成本、法定税费和企业的利润。由企业根据招标文件所提供的资料自行测算投标报价；一经中标，投标报价总价作为</w:t>
      </w:r>
      <w:r>
        <w:rPr>
          <w:rFonts w:hint="eastAsia" w:ascii="宋体" w:hAnsi="宋体"/>
          <w:color w:val="000000" w:themeColor="text1"/>
          <w:szCs w:val="21"/>
          <w:highlight w:val="none"/>
          <w:lang w:eastAsia="zh-CN"/>
          <w14:textFill>
            <w14:solidFill>
              <w14:schemeClr w14:val="tx1"/>
            </w14:solidFill>
          </w14:textFill>
        </w:rPr>
        <w:t>中标人</w:t>
      </w:r>
      <w:r>
        <w:rPr>
          <w:rFonts w:hint="eastAsia" w:ascii="宋体" w:hAnsi="宋体"/>
          <w:color w:val="000000" w:themeColor="text1"/>
          <w:szCs w:val="21"/>
          <w:highlight w:val="none"/>
          <w14:textFill>
            <w14:solidFill>
              <w14:schemeClr w14:val="tx1"/>
            </w14:solidFill>
          </w14:textFill>
        </w:rPr>
        <w:t>与采购人签定的合同金额，合同期限内不做调整。</w:t>
      </w:r>
    </w:p>
    <w:p>
      <w:pPr>
        <w:pStyle w:val="9"/>
        <w:spacing w:before="60" w:beforeLines="25" w:after="60" w:afterLines="25"/>
        <w:ind w:firstLine="392" w:firstLineChars="18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投标人应根据本企业的成本自行决定报价，但不得以低于其企业成本的报价投标；评标时，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pStyle w:val="9"/>
        <w:spacing w:before="60" w:beforeLines="25" w:after="60" w:afterLines="25"/>
        <w:ind w:firstLine="392" w:firstLineChars="18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3.投标人的投标报价，应是本项目招标范围和招标文件及合同条款上所列的各项内容中所述的全部，不得以任何理由予以重复，并以投标人在投标文件中提出的综合单价或总价为依据。</w:t>
      </w:r>
    </w:p>
    <w:p>
      <w:pPr>
        <w:pStyle w:val="9"/>
        <w:spacing w:before="60" w:beforeLines="25" w:after="60" w:afterLines="25"/>
        <w:ind w:firstLine="392" w:firstLineChars="18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除非政府集中采购机构通过修改招标文件予以更正，否则，投标人应毫无例外地按招标文件所列的清单中项目和数量填报综合单价或总价。投标人未填综合单价或总价的项目，在实施后，将不得以支付，并视作该项费用已包括在其它有价款的综合单价或总价内。</w:t>
      </w:r>
    </w:p>
    <w:p>
      <w:pPr>
        <w:pStyle w:val="9"/>
        <w:spacing w:before="60" w:beforeLines="25" w:after="60" w:afterLines="25"/>
        <w:ind w:firstLine="392" w:firstLineChars="187"/>
        <w:rPr>
          <w:rFonts w:hint="eastAsia" w:ascii="宋体" w:hAnsi="宋体" w:cs="Times New Roman"/>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5.投标</w:t>
      </w:r>
      <w:r>
        <w:rPr>
          <w:rFonts w:hint="eastAsia" w:ascii="宋体" w:hAnsi="宋体" w:cs="Times New Roman"/>
          <w:color w:val="000000" w:themeColor="text1"/>
          <w:szCs w:val="21"/>
          <w:highlight w:val="none"/>
          <w14:textFill>
            <w14:solidFill>
              <w14:schemeClr w14:val="tx1"/>
            </w14:solidFill>
          </w14:textFill>
        </w:rPr>
        <w:t>人应充分了解项目的位置、情况、道路及任何其它足以影响投标报价的情况，任何因忽视或误解项目情况而导致的索赔或服务期限延长申请将不获批准。</w:t>
      </w:r>
    </w:p>
    <w:p>
      <w:pPr>
        <w:pStyle w:val="9"/>
        <w:spacing w:before="60" w:beforeLines="25" w:after="60" w:afterLines="25"/>
        <w:ind w:firstLine="392" w:firstLineChars="187"/>
        <w:rPr>
          <w:rFonts w:hint="eastAsia" w:ascii="宋体" w:hAnsi="宋体" w:cs="Times New Roman"/>
          <w:color w:val="000000" w:themeColor="text1"/>
          <w:szCs w:val="21"/>
          <w:highlight w:val="none"/>
          <w14:textFill>
            <w14:solidFill>
              <w14:schemeClr w14:val="tx1"/>
            </w14:solidFill>
          </w14:textFill>
        </w:rPr>
      </w:pPr>
      <w:r>
        <w:rPr>
          <w:rFonts w:hint="eastAsia" w:ascii="宋体" w:hAnsi="宋体" w:cs="Times New Roman"/>
          <w:color w:val="000000" w:themeColor="text1"/>
          <w:szCs w:val="21"/>
          <w:highlight w:val="none"/>
          <w14:textFill>
            <w14:solidFill>
              <w14:schemeClr w14:val="tx1"/>
            </w14:solidFill>
          </w14:textFill>
        </w:rPr>
        <w:t>6.投标人不得期望通过索赔等方式获取补偿，否则，除可能遭到拒绝外，还可能将被作为不良行为记录在案，并可能影响其以后参加政府采购的项目投标。各投标人在投标报价时，应充分考虑投标报价的风险。</w:t>
      </w:r>
    </w:p>
    <w:p>
      <w:pPr>
        <w:pStyle w:val="9"/>
        <w:spacing w:before="60" w:beforeLines="25" w:after="60" w:afterLines="25"/>
        <w:ind w:firstLine="392" w:firstLineChars="187"/>
        <w:rPr>
          <w:rFonts w:hint="eastAsia" w:ascii="宋体" w:hAnsi="宋体" w:cs="Times New Roman"/>
          <w:color w:val="000000" w:themeColor="text1"/>
          <w:szCs w:val="21"/>
          <w:highlight w:val="none"/>
          <w14:textFill>
            <w14:solidFill>
              <w14:schemeClr w14:val="tx1"/>
            </w14:solidFill>
          </w14:textFill>
        </w:rPr>
      </w:pPr>
      <w:r>
        <w:rPr>
          <w:rFonts w:hint="eastAsia" w:ascii="宋体" w:hAnsi="宋体" w:cs="Times New Roman"/>
          <w:color w:val="000000" w:themeColor="text1"/>
          <w:szCs w:val="21"/>
          <w:highlight w:val="none"/>
          <w:lang w:val="en-US" w:eastAsia="zh-CN"/>
          <w14:textFill>
            <w14:solidFill>
              <w14:schemeClr w14:val="tx1"/>
            </w14:solidFill>
          </w14:textFill>
        </w:rPr>
        <w:t>7</w:t>
      </w:r>
      <w:r>
        <w:rPr>
          <w:rFonts w:hint="eastAsia" w:ascii="宋体" w:hAnsi="宋体" w:cs="Times New Roman"/>
          <w:color w:val="000000" w:themeColor="text1"/>
          <w:szCs w:val="21"/>
          <w:highlight w:val="none"/>
          <w14:textFill>
            <w14:solidFill>
              <w14:schemeClr w14:val="tx1"/>
            </w14:solidFill>
          </w14:textFill>
        </w:rPr>
        <w:t>.除政府采购合同继续履行将损害国家利益和社会公共利益外，双方当事人不得擅自变更、中止或者终止合同。</w:t>
      </w:r>
    </w:p>
    <w:p>
      <w:pPr>
        <w:pStyle w:val="9"/>
        <w:spacing w:before="60" w:beforeLines="25" w:after="60" w:afterLines="25"/>
        <w:ind w:firstLine="392" w:firstLineChars="187"/>
        <w:rPr>
          <w:rFonts w:hint="eastAsia" w:ascii="宋体" w:hAnsi="宋体" w:cs="Times New Roman"/>
          <w:color w:val="000000" w:themeColor="text1"/>
          <w:szCs w:val="21"/>
          <w:highlight w:val="none"/>
          <w14:textFill>
            <w14:solidFill>
              <w14:schemeClr w14:val="tx1"/>
            </w14:solidFill>
          </w14:textFill>
        </w:rPr>
      </w:pPr>
      <w:r>
        <w:rPr>
          <w:rFonts w:hint="eastAsia" w:ascii="宋体" w:hAnsi="宋体" w:cs="Times New Roman"/>
          <w:color w:val="000000" w:themeColor="text1"/>
          <w:szCs w:val="21"/>
          <w:highlight w:val="none"/>
          <w:lang w:val="en-US" w:eastAsia="zh-CN"/>
          <w14:textFill>
            <w14:solidFill>
              <w14:schemeClr w14:val="tx1"/>
            </w14:solidFill>
          </w14:textFill>
        </w:rPr>
        <w:t>8</w:t>
      </w:r>
      <w:r>
        <w:rPr>
          <w:rFonts w:hint="eastAsia" w:ascii="宋体" w:hAnsi="宋体" w:cs="Times New Roman"/>
          <w:color w:val="000000" w:themeColor="text1"/>
          <w:szCs w:val="21"/>
          <w:highlight w:val="none"/>
          <w14:textFill>
            <w14:solidFill>
              <w14:schemeClr w14:val="tx1"/>
            </w14:solidFill>
          </w14:textFill>
        </w:rPr>
        <w:t>.“信用中国”中“信用服务”栏的“重大税收违法失信主体”“失信被执行人”，“中国政府采购网”中的“政府采购严重违法失信行为记录名单”，“深圳市政府采购监管网”以及深圳市、区财政部门认可的“供应商诚信档案库”为供应商信用信息的查询渠道，相关信息以开标当日的查询结果为准。如开标当日网站出现网站无法打开的特殊情况，相关信息则以中标通知书发出前的查询结果为准。</w:t>
      </w:r>
    </w:p>
    <w:p>
      <w:pPr>
        <w:pStyle w:val="9"/>
        <w:spacing w:before="60" w:beforeLines="25" w:after="60" w:afterLines="25"/>
        <w:ind w:firstLine="392" w:firstLineChars="187"/>
        <w:rPr>
          <w:rFonts w:hint="eastAsia" w:ascii="宋体" w:hAnsi="宋体" w:cs="Times New Roman"/>
          <w:color w:val="000000" w:themeColor="text1"/>
          <w:szCs w:val="21"/>
          <w:highlight w:val="none"/>
          <w14:textFill>
            <w14:solidFill>
              <w14:schemeClr w14:val="tx1"/>
            </w14:solidFill>
          </w14:textFill>
        </w:rPr>
      </w:pPr>
      <w:r>
        <w:rPr>
          <w:rFonts w:hint="eastAsia" w:ascii="宋体" w:hAnsi="宋体" w:cs="Times New Roman"/>
          <w:color w:val="000000" w:themeColor="text1"/>
          <w:szCs w:val="21"/>
          <w:highlight w:val="none"/>
          <w:lang w:val="en-US" w:eastAsia="zh-CN"/>
          <w14:textFill>
            <w14:solidFill>
              <w14:schemeClr w14:val="tx1"/>
            </w14:solidFill>
          </w14:textFill>
        </w:rPr>
        <w:t>9</w:t>
      </w:r>
      <w:r>
        <w:rPr>
          <w:rFonts w:hint="eastAsia" w:ascii="宋体" w:hAnsi="宋体" w:cs="Times New Roman"/>
          <w:color w:val="000000" w:themeColor="text1"/>
          <w:szCs w:val="21"/>
          <w:highlight w:val="none"/>
          <w14:textFill>
            <w14:solidFill>
              <w14:schemeClr w14:val="tx1"/>
            </w14:solidFill>
          </w14:textFill>
        </w:rPr>
        <w:t>、供应商提供报价合理性、澄清、说明、补正或者错误的修正的方式，包括但不限于现场提交（地址：深圳市盐田区海景二路1025号壹海国际中心9楼901）、电邮提交（邮箱：</w:t>
      </w:r>
      <w:r>
        <w:rPr>
          <w:rFonts w:hint="eastAsia" w:ascii="宋体" w:hAnsi="宋体" w:cs="Times New Roman"/>
          <w:color w:val="000000" w:themeColor="text1"/>
          <w:szCs w:val="21"/>
          <w:highlight w:val="none"/>
          <w:lang w:val="en-US" w:eastAsia="zh-CN"/>
          <w14:textFill>
            <w14:solidFill>
              <w14:schemeClr w14:val="tx1"/>
            </w14:solidFill>
          </w14:textFill>
        </w:rPr>
        <w:t>yantian</w:t>
      </w:r>
      <w:r>
        <w:rPr>
          <w:rFonts w:hint="eastAsia" w:ascii="宋体" w:hAnsi="宋体" w:cs="Times New Roman"/>
          <w:color w:val="000000" w:themeColor="text1"/>
          <w:szCs w:val="21"/>
          <w:highlight w:val="none"/>
          <w14:textFill>
            <w14:solidFill>
              <w14:schemeClr w14:val="tx1"/>
            </w14:solidFill>
          </w14:textFill>
        </w:rPr>
        <w:t>fgs@szexgrp.com）等便捷方式。</w:t>
      </w:r>
    </w:p>
    <w:p>
      <w:pPr>
        <w:pStyle w:val="9"/>
        <w:spacing w:before="60" w:beforeLines="25" w:after="60" w:afterLines="25"/>
        <w:ind w:firstLine="392" w:firstLineChars="187"/>
        <w:rPr>
          <w:rFonts w:hint="eastAsia" w:ascii="宋体" w:hAnsi="宋体"/>
          <w:color w:val="000000" w:themeColor="text1"/>
          <w:szCs w:val="21"/>
          <w:highlight w:val="none"/>
          <w14:textFill>
            <w14:solidFill>
              <w14:schemeClr w14:val="tx1"/>
            </w14:solidFill>
          </w14:textFill>
        </w:rPr>
      </w:pPr>
    </w:p>
    <w:p>
      <w:pPr>
        <w:pStyle w:val="9"/>
        <w:spacing w:before="60" w:beforeLines="25" w:after="60" w:afterLines="25"/>
        <w:ind w:firstLine="392" w:firstLineChars="187"/>
        <w:rPr>
          <w:rFonts w:ascii="宋体" w:hAnsi="宋体"/>
          <w:szCs w:val="21"/>
        </w:rPr>
      </w:pPr>
    </w:p>
    <w:p>
      <w:pPr>
        <w:pStyle w:val="9"/>
        <w:spacing w:before="60" w:beforeLines="25" w:after="60" w:afterLines="25"/>
        <w:ind w:firstLine="392" w:firstLineChars="187"/>
        <w:rPr>
          <w:rFonts w:ascii="宋体" w:hAnsi="宋体"/>
          <w:szCs w:val="21"/>
        </w:rPr>
      </w:pPr>
    </w:p>
    <w:p>
      <w:pPr>
        <w:pStyle w:val="9"/>
        <w:spacing w:before="60" w:beforeLines="25" w:after="60" w:afterLines="25"/>
        <w:ind w:firstLine="392" w:firstLineChars="187"/>
        <w:rPr>
          <w:rFonts w:ascii="宋体" w:hAnsi="宋体"/>
          <w:szCs w:val="21"/>
        </w:rPr>
      </w:pPr>
    </w:p>
    <w:p>
      <w:r>
        <w:rPr>
          <w:rFonts w:hint="eastAsia"/>
        </w:rPr>
        <w:br w:type="page"/>
      </w:r>
    </w:p>
    <w:p>
      <w:pPr>
        <w:pStyle w:val="7"/>
        <w:rPr>
          <w:kern w:val="2"/>
        </w:rPr>
      </w:pPr>
      <w:r>
        <w:rPr>
          <w:rFonts w:hint="eastAsia"/>
          <w:kern w:val="2"/>
        </w:rPr>
        <w:t>第四章 投标文件组成要求及格式</w:t>
      </w:r>
    </w:p>
    <w:p>
      <w:pPr>
        <w:rPr>
          <w:rStyle w:val="57"/>
          <w:sz w:val="24"/>
        </w:rPr>
      </w:pPr>
      <w:r>
        <w:rPr>
          <w:rStyle w:val="57"/>
          <w:rFonts w:hint="eastAsia"/>
          <w:sz w:val="24"/>
        </w:rPr>
        <w:t>特别提醒：</w:t>
      </w:r>
    </w:p>
    <w:p>
      <w:pPr>
        <w:ind w:firstLine="480" w:firstLineChars="200"/>
        <w:rPr>
          <w:rFonts w:ascii="仿宋_GB2312" w:eastAsia="仿宋_GB2312"/>
          <w:sz w:val="24"/>
        </w:rPr>
      </w:pPr>
      <w:r>
        <w:rPr>
          <w:rFonts w:hint="eastAsia" w:ascii="仿宋_GB2312" w:eastAsia="仿宋_GB2312"/>
          <w:sz w:val="24"/>
        </w:rPr>
        <w:t>中标（成交）供应商的投标文件正文将对外公开，投标文件附件不公开；未中标（成交）供应商的投标文件一律不公开。投标人在编辑投标文件时，在投标文件目录中属于本节点内容的必须在本节点中填写，填写到其他节点或附件的将可能导致投标无效，一切后果由供应商自行承担。</w:t>
      </w:r>
    </w:p>
    <w:p>
      <w:pPr>
        <w:rPr>
          <w:rFonts w:ascii="仿宋_GB2312" w:eastAsia="仿宋_GB2312"/>
          <w:sz w:val="24"/>
        </w:rPr>
      </w:pPr>
      <w:r>
        <w:rPr>
          <w:rFonts w:hint="eastAsia" w:ascii="仿宋_GB2312" w:eastAsia="仿宋_GB2312"/>
          <w:sz w:val="24"/>
        </w:rPr>
        <w:t xml:space="preserve">    投标文件正文（信息公开部分）必须编制于“正文（公开部分）”，投标文件附件（非信息公开部分）必须编制于“附件（不公开部分）”，如下图所示。</w:t>
      </w:r>
    </w:p>
    <w:p>
      <w:pPr>
        <w:widowControl/>
        <w:jc w:val="left"/>
        <w:rPr>
          <w:rFonts w:ascii="宋体" w:hAnsi="宋体" w:cs="宋体"/>
          <w:kern w:val="0"/>
          <w:sz w:val="24"/>
        </w:rPr>
      </w:pPr>
      <w:r>
        <w:drawing>
          <wp:inline distT="0" distB="0" distL="114300" distR="114300">
            <wp:extent cx="5203190" cy="4043045"/>
            <wp:effectExtent l="0" t="0" r="8890" b="10795"/>
            <wp:docPr id="8" name="图片 1" descr="c66f322b8feee32c1a3f0d48f365c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c66f322b8feee32c1a3f0d48f365c82"/>
                    <pic:cNvPicPr>
                      <a:picLocks noChangeAspect="1"/>
                    </pic:cNvPicPr>
                  </pic:nvPicPr>
                  <pic:blipFill>
                    <a:blip r:embed="rId8"/>
                    <a:stretch>
                      <a:fillRect/>
                    </a:stretch>
                  </pic:blipFill>
                  <pic:spPr>
                    <a:xfrm>
                      <a:off x="0" y="0"/>
                      <a:ext cx="5203190" cy="4043045"/>
                    </a:xfrm>
                    <a:prstGeom prst="rect">
                      <a:avLst/>
                    </a:prstGeom>
                  </pic:spPr>
                </pic:pic>
              </a:graphicData>
            </a:graphic>
          </wp:inline>
        </w:drawing>
      </w:r>
    </w:p>
    <w:p>
      <w:pPr>
        <w:ind w:firstLine="480" w:firstLineChars="200"/>
        <w:rPr>
          <w:rFonts w:ascii="仿宋_GB2312" w:eastAsia="仿宋_GB2312"/>
          <w:sz w:val="24"/>
        </w:rPr>
      </w:pPr>
      <w:r>
        <w:rPr>
          <w:rFonts w:hint="eastAsia" w:ascii="仿宋_GB2312" w:eastAsia="仿宋_GB2312"/>
          <w:sz w:val="24"/>
        </w:rPr>
        <w:t>政府集中采购机构公布投标文件正文（信息公开部分）时为计算机截取信息自动公布，供应商登录深圳政府采购智慧平台后下载附件。</w:t>
      </w:r>
      <w:r>
        <w:rPr>
          <w:rFonts w:hint="eastAsia" w:ascii="仿宋_GB2312" w:eastAsia="仿宋_GB2312"/>
          <w:b/>
          <w:bCs/>
          <w:sz w:val="24"/>
        </w:rPr>
        <w:t>如投标人误将涉及个人隐私的信息放入投标文件正文，相关后果由投标人自负；</w:t>
      </w:r>
      <w:r>
        <w:rPr>
          <w:rFonts w:hint="eastAsia" w:ascii="仿宋_GB2312" w:eastAsia="仿宋_GB2312"/>
          <w:sz w:val="24"/>
          <w:highlight w:val="yellow"/>
        </w:rPr>
        <w:t>如投标人将必须放于投标文件正文（信息公开部分）的内容放入投标文件附件（非信息公开部分），将作投标无效处理。</w:t>
      </w:r>
    </w:p>
    <w:p>
      <w:pPr>
        <w:ind w:firstLine="480" w:firstLineChars="200"/>
        <w:rPr>
          <w:rFonts w:ascii="仿宋_GB2312" w:eastAsia="仿宋_GB2312"/>
          <w:sz w:val="24"/>
        </w:rPr>
      </w:pPr>
    </w:p>
    <w:p>
      <w:pPr>
        <w:ind w:firstLine="481" w:firstLineChars="200"/>
        <w:rPr>
          <w:rFonts w:ascii="宋体" w:hAnsi="宋体"/>
          <w:b/>
          <w:sz w:val="24"/>
        </w:rPr>
      </w:pPr>
    </w:p>
    <w:p>
      <w:pPr>
        <w:rPr>
          <w:rFonts w:ascii="宋体" w:hAnsi="宋体"/>
          <w:sz w:val="24"/>
        </w:rPr>
      </w:pPr>
      <w:r>
        <w:rPr>
          <w:rFonts w:hint="eastAsia" w:ascii="宋体" w:hAnsi="宋体"/>
          <w:sz w:val="24"/>
        </w:rPr>
        <w:br w:type="page"/>
      </w:r>
    </w:p>
    <w:p>
      <w:pPr>
        <w:rPr>
          <w:rFonts w:ascii="宋体" w:hAnsi="宋体"/>
          <w:sz w:val="24"/>
        </w:rPr>
      </w:pPr>
      <w:r>
        <w:rPr>
          <w:rFonts w:hint="eastAsia" w:ascii="宋体" w:hAnsi="宋体"/>
          <w:sz w:val="24"/>
        </w:rPr>
        <w:t>投标文件组成：</w:t>
      </w:r>
    </w:p>
    <w:p>
      <w:pPr>
        <w:ind w:firstLine="1200" w:firstLineChars="500"/>
        <w:rPr>
          <w:rFonts w:ascii="宋体" w:hAnsi="宋体"/>
          <w:sz w:val="24"/>
        </w:rPr>
      </w:pPr>
      <w:r>
        <w:rPr>
          <w:rFonts w:hint="eastAsia" w:ascii="宋体" w:hAnsi="宋体"/>
          <w:sz w:val="24"/>
        </w:rPr>
        <w:t>1.投标文件正文</w:t>
      </w:r>
      <w:r>
        <w:rPr>
          <w:rFonts w:hint="eastAsia" w:ascii="宋体" w:hAnsi="宋体"/>
          <w:b/>
          <w:color w:val="FF0000"/>
          <w:sz w:val="24"/>
        </w:rPr>
        <w:t>（信息公开部分）</w:t>
      </w:r>
      <w:r>
        <w:rPr>
          <w:rFonts w:hint="eastAsia" w:ascii="宋体" w:hAnsi="宋体"/>
          <w:sz w:val="24"/>
        </w:rPr>
        <w:t>，主要包括以下内容：</w:t>
      </w:r>
    </w:p>
    <w:p>
      <w:pPr>
        <w:ind w:left="718" w:leftChars="342" w:firstLine="1417" w:firstLineChars="675"/>
        <w:rPr>
          <w:szCs w:val="21"/>
        </w:rPr>
      </w:pPr>
      <w:r>
        <w:rPr>
          <w:rFonts w:hint="eastAsia"/>
          <w:szCs w:val="21"/>
        </w:rPr>
        <w:t>（1）</w:t>
      </w:r>
      <w:bookmarkStart w:id="38" w:name="_Hlk72070784"/>
      <w:r>
        <w:rPr>
          <w:rFonts w:hint="eastAsia"/>
          <w:szCs w:val="21"/>
        </w:rPr>
        <w:t>投标函</w:t>
      </w:r>
      <w:bookmarkEnd w:id="38"/>
    </w:p>
    <w:p>
      <w:pPr>
        <w:ind w:left="718" w:leftChars="342" w:firstLine="1417" w:firstLineChars="675"/>
        <w:rPr>
          <w:szCs w:val="21"/>
        </w:rPr>
      </w:pPr>
      <w:r>
        <w:rPr>
          <w:rFonts w:hint="eastAsia"/>
          <w:szCs w:val="21"/>
        </w:rPr>
        <w:t>（2）</w:t>
      </w:r>
      <w:bookmarkStart w:id="39" w:name="_Hlk72062521"/>
      <w:r>
        <w:rPr>
          <w:rFonts w:hint="eastAsia"/>
          <w:szCs w:val="21"/>
        </w:rPr>
        <w:t>政府采购投标及履约承诺函</w:t>
      </w:r>
      <w:bookmarkEnd w:id="39"/>
    </w:p>
    <w:p>
      <w:pPr>
        <w:ind w:left="718" w:leftChars="342" w:firstLine="1417" w:firstLineChars="675"/>
        <w:rPr>
          <w:rFonts w:hint="eastAsia"/>
          <w:szCs w:val="21"/>
        </w:rPr>
      </w:pPr>
      <w:r>
        <w:rPr>
          <w:rFonts w:hint="eastAsia"/>
          <w:szCs w:val="21"/>
        </w:rPr>
        <w:t>（</w:t>
      </w:r>
      <w:r>
        <w:rPr>
          <w:szCs w:val="21"/>
        </w:rPr>
        <w:t>3</w:t>
      </w:r>
      <w:r>
        <w:rPr>
          <w:rFonts w:hint="eastAsia"/>
          <w:szCs w:val="21"/>
        </w:rPr>
        <w:t>）投标人情况及资格证明文件体系认证情况</w:t>
      </w:r>
    </w:p>
    <w:p>
      <w:pPr>
        <w:ind w:left="718" w:leftChars="342" w:firstLine="1417" w:firstLineChars="675"/>
        <w:rPr>
          <w:rFonts w:hint="eastAsia"/>
          <w:szCs w:val="21"/>
        </w:rPr>
      </w:pPr>
      <w:r>
        <w:rPr>
          <w:rFonts w:hint="eastAsia"/>
          <w:szCs w:val="21"/>
          <w:lang w:eastAsia="zh-CN"/>
        </w:rPr>
        <w:t>（</w:t>
      </w:r>
      <w:r>
        <w:rPr>
          <w:rFonts w:hint="eastAsia"/>
          <w:szCs w:val="21"/>
          <w:lang w:val="en-US" w:eastAsia="zh-CN"/>
        </w:rPr>
        <w:t>4</w:t>
      </w:r>
      <w:r>
        <w:rPr>
          <w:rFonts w:hint="eastAsia"/>
          <w:szCs w:val="21"/>
          <w:lang w:eastAsia="zh-CN"/>
        </w:rPr>
        <w:t>）</w:t>
      </w:r>
      <w:r>
        <w:rPr>
          <w:rFonts w:hint="eastAsia"/>
          <w:szCs w:val="21"/>
        </w:rPr>
        <w:t>投标人获奖（荣誉）情况</w:t>
      </w:r>
    </w:p>
    <w:p>
      <w:pPr>
        <w:ind w:left="718" w:leftChars="342" w:firstLine="1417" w:firstLineChars="675"/>
        <w:rPr>
          <w:rFonts w:hint="eastAsia"/>
          <w:szCs w:val="21"/>
        </w:rPr>
      </w:pPr>
      <w:r>
        <w:rPr>
          <w:rFonts w:hint="eastAsia"/>
          <w:szCs w:val="21"/>
          <w:lang w:eastAsia="zh-CN"/>
        </w:rPr>
        <w:t>（</w:t>
      </w:r>
      <w:r>
        <w:rPr>
          <w:rFonts w:hint="eastAsia"/>
          <w:szCs w:val="21"/>
          <w:lang w:val="en-US" w:eastAsia="zh-CN"/>
        </w:rPr>
        <w:t>5</w:t>
      </w:r>
      <w:r>
        <w:rPr>
          <w:rFonts w:hint="eastAsia"/>
          <w:szCs w:val="21"/>
          <w:lang w:eastAsia="zh-CN"/>
        </w:rPr>
        <w:t>）</w:t>
      </w:r>
      <w:r>
        <w:rPr>
          <w:rFonts w:hint="eastAsia"/>
          <w:szCs w:val="21"/>
        </w:rPr>
        <w:t>投标人自主知识产权产品（创新、设计）情况</w:t>
      </w:r>
    </w:p>
    <w:p>
      <w:pPr>
        <w:ind w:left="718" w:leftChars="342" w:firstLine="1417" w:firstLineChars="675"/>
        <w:rPr>
          <w:szCs w:val="21"/>
        </w:rPr>
      </w:pPr>
      <w:r>
        <w:rPr>
          <w:rFonts w:hint="eastAsia"/>
          <w:szCs w:val="21"/>
          <w:lang w:eastAsia="zh-CN"/>
        </w:rPr>
        <w:t>（</w:t>
      </w:r>
      <w:r>
        <w:rPr>
          <w:rFonts w:hint="eastAsia"/>
          <w:szCs w:val="21"/>
          <w:lang w:val="en-US" w:eastAsia="zh-CN"/>
        </w:rPr>
        <w:t>6</w:t>
      </w:r>
      <w:r>
        <w:rPr>
          <w:rFonts w:hint="eastAsia"/>
          <w:szCs w:val="21"/>
          <w:lang w:eastAsia="zh-CN"/>
        </w:rPr>
        <w:t>）</w:t>
      </w:r>
      <w:r>
        <w:rPr>
          <w:rFonts w:hint="eastAsia"/>
          <w:szCs w:val="21"/>
        </w:rPr>
        <w:t>本地化服务能力</w:t>
      </w:r>
    </w:p>
    <w:p>
      <w:pPr>
        <w:ind w:firstLine="1200" w:firstLineChars="500"/>
        <w:rPr>
          <w:rFonts w:ascii="宋体" w:hAnsi="宋体"/>
          <w:sz w:val="24"/>
        </w:rPr>
      </w:pPr>
      <w:r>
        <w:rPr>
          <w:rFonts w:hint="eastAsia" w:ascii="宋体" w:hAnsi="宋体"/>
          <w:sz w:val="24"/>
        </w:rPr>
        <w:t>2.投标文件附件</w:t>
      </w:r>
      <w:r>
        <w:rPr>
          <w:rFonts w:hint="eastAsia" w:ascii="宋体" w:hAnsi="宋体"/>
          <w:b/>
          <w:color w:val="FF0000"/>
          <w:sz w:val="24"/>
        </w:rPr>
        <w:t>（信息不公开部分）</w:t>
      </w:r>
      <w:r>
        <w:rPr>
          <w:rFonts w:hint="eastAsia" w:ascii="宋体" w:hAnsi="宋体"/>
          <w:sz w:val="24"/>
        </w:rPr>
        <w:t>：主要包括以下内容：</w:t>
      </w:r>
    </w:p>
    <w:p>
      <w:pPr>
        <w:ind w:firstLine="2100" w:firstLineChars="1000"/>
        <w:rPr>
          <w:szCs w:val="21"/>
        </w:rPr>
      </w:pPr>
      <w:r>
        <w:rPr>
          <w:rFonts w:hint="eastAsia"/>
          <w:szCs w:val="21"/>
        </w:rPr>
        <w:t>（1）供应商基本情况表</w:t>
      </w:r>
    </w:p>
    <w:p>
      <w:pPr>
        <w:ind w:firstLine="2100" w:firstLineChars="1000"/>
        <w:rPr>
          <w:szCs w:val="21"/>
        </w:rPr>
      </w:pPr>
      <w:r>
        <w:rPr>
          <w:rFonts w:hint="eastAsia"/>
          <w:szCs w:val="21"/>
        </w:rPr>
        <w:t>（2）法定代表人（负责人）证明书</w:t>
      </w:r>
    </w:p>
    <w:p>
      <w:pPr>
        <w:ind w:left="718" w:leftChars="342" w:firstLine="1417" w:firstLineChars="675"/>
        <w:rPr>
          <w:szCs w:val="21"/>
        </w:rPr>
      </w:pPr>
      <w:r>
        <w:rPr>
          <w:rFonts w:hint="eastAsia"/>
          <w:szCs w:val="21"/>
        </w:rPr>
        <w:t>（3）投标文件签署授权委托书</w:t>
      </w:r>
    </w:p>
    <w:p>
      <w:pPr>
        <w:ind w:left="718" w:leftChars="342" w:firstLine="1417" w:firstLineChars="675"/>
        <w:rPr>
          <w:szCs w:val="21"/>
        </w:rPr>
      </w:pPr>
      <w:r>
        <w:rPr>
          <w:rFonts w:hint="eastAsia"/>
          <w:szCs w:val="21"/>
        </w:rPr>
        <w:t>（4）项目详细报价</w:t>
      </w:r>
    </w:p>
    <w:p>
      <w:pPr>
        <w:ind w:left="718" w:leftChars="342" w:firstLine="1417" w:firstLineChars="675"/>
        <w:rPr>
          <w:szCs w:val="21"/>
        </w:rPr>
      </w:pPr>
      <w:r>
        <w:rPr>
          <w:rFonts w:hint="eastAsia"/>
          <w:szCs w:val="21"/>
        </w:rPr>
        <w:t>（5）</w:t>
      </w:r>
      <w:r>
        <w:rPr>
          <w:szCs w:val="21"/>
        </w:rPr>
        <w:t>实质性条款响应情况表</w:t>
      </w:r>
    </w:p>
    <w:p>
      <w:pPr>
        <w:ind w:left="718" w:leftChars="342" w:firstLine="1417" w:firstLineChars="675"/>
        <w:rPr>
          <w:rFonts w:hint="eastAsia"/>
          <w:szCs w:val="21"/>
        </w:rPr>
      </w:pPr>
      <w:r>
        <w:rPr>
          <w:rFonts w:hint="eastAsia"/>
          <w:szCs w:val="21"/>
          <w:lang w:eastAsia="zh-CN"/>
        </w:rPr>
        <w:t>（</w:t>
      </w:r>
      <w:r>
        <w:rPr>
          <w:rFonts w:hint="eastAsia"/>
          <w:szCs w:val="21"/>
          <w:lang w:val="en-US" w:eastAsia="zh-CN"/>
        </w:rPr>
        <w:t>6</w:t>
      </w:r>
      <w:r>
        <w:rPr>
          <w:rFonts w:hint="eastAsia"/>
          <w:szCs w:val="21"/>
          <w:lang w:eastAsia="zh-CN"/>
        </w:rPr>
        <w:t>）</w:t>
      </w:r>
      <w:r>
        <w:rPr>
          <w:rFonts w:hint="eastAsia"/>
          <w:szCs w:val="21"/>
        </w:rPr>
        <w:t>实施方案</w:t>
      </w:r>
    </w:p>
    <w:p>
      <w:pPr>
        <w:ind w:left="718" w:leftChars="342" w:firstLine="1417" w:firstLineChars="675"/>
        <w:rPr>
          <w:rFonts w:hint="eastAsia"/>
          <w:szCs w:val="21"/>
        </w:rPr>
      </w:pPr>
      <w:r>
        <w:rPr>
          <w:rFonts w:hint="eastAsia"/>
          <w:szCs w:val="21"/>
          <w:lang w:eastAsia="zh-CN"/>
        </w:rPr>
        <w:t>（</w:t>
      </w:r>
      <w:r>
        <w:rPr>
          <w:rFonts w:hint="eastAsia"/>
          <w:szCs w:val="21"/>
          <w:lang w:val="en-US" w:eastAsia="zh-CN"/>
        </w:rPr>
        <w:t>7</w:t>
      </w:r>
      <w:r>
        <w:rPr>
          <w:rFonts w:hint="eastAsia"/>
          <w:szCs w:val="21"/>
          <w:lang w:eastAsia="zh-CN"/>
        </w:rPr>
        <w:t>）</w:t>
      </w:r>
      <w:r>
        <w:rPr>
          <w:rFonts w:hint="eastAsia"/>
          <w:szCs w:val="21"/>
        </w:rPr>
        <w:t>项目重点难点分析、应对措施及相关的合理化建议</w:t>
      </w:r>
    </w:p>
    <w:p>
      <w:pPr>
        <w:ind w:left="718" w:leftChars="342" w:firstLine="1417" w:firstLineChars="675"/>
        <w:rPr>
          <w:rFonts w:hint="eastAsia"/>
          <w:szCs w:val="21"/>
        </w:rPr>
      </w:pPr>
      <w:r>
        <w:rPr>
          <w:rFonts w:hint="eastAsia"/>
          <w:szCs w:val="21"/>
          <w:lang w:eastAsia="zh-CN"/>
        </w:rPr>
        <w:t>（</w:t>
      </w:r>
      <w:r>
        <w:rPr>
          <w:rFonts w:hint="eastAsia"/>
          <w:szCs w:val="21"/>
          <w:lang w:val="en-US" w:eastAsia="zh-CN"/>
        </w:rPr>
        <w:t>8</w:t>
      </w:r>
      <w:r>
        <w:rPr>
          <w:rFonts w:hint="eastAsia"/>
          <w:szCs w:val="21"/>
          <w:lang w:eastAsia="zh-CN"/>
        </w:rPr>
        <w:t>）</w:t>
      </w:r>
      <w:r>
        <w:rPr>
          <w:rFonts w:hint="eastAsia"/>
          <w:szCs w:val="21"/>
        </w:rPr>
        <w:t>质量（完成时间、安全、环保）保障措施及方案</w:t>
      </w:r>
    </w:p>
    <w:p>
      <w:pPr>
        <w:ind w:left="718" w:leftChars="342" w:firstLine="1417" w:firstLineChars="675"/>
        <w:rPr>
          <w:rFonts w:hint="eastAsia"/>
          <w:szCs w:val="21"/>
        </w:rPr>
      </w:pPr>
      <w:r>
        <w:rPr>
          <w:rFonts w:hint="eastAsia"/>
          <w:szCs w:val="21"/>
          <w:lang w:eastAsia="zh-CN"/>
        </w:rPr>
        <w:t>（</w:t>
      </w:r>
      <w:r>
        <w:rPr>
          <w:rFonts w:hint="eastAsia"/>
          <w:szCs w:val="21"/>
          <w:lang w:val="en-US" w:eastAsia="zh-CN"/>
        </w:rPr>
        <w:t>9</w:t>
      </w:r>
      <w:r>
        <w:rPr>
          <w:rFonts w:hint="eastAsia"/>
          <w:szCs w:val="21"/>
          <w:lang w:eastAsia="zh-CN"/>
        </w:rPr>
        <w:t>）</w:t>
      </w:r>
      <w:r>
        <w:rPr>
          <w:rFonts w:hint="eastAsia"/>
          <w:szCs w:val="21"/>
        </w:rPr>
        <w:t>违约及清洁环保承诺</w:t>
      </w:r>
    </w:p>
    <w:p>
      <w:pPr>
        <w:ind w:left="718" w:leftChars="342" w:firstLine="1417" w:firstLineChars="675"/>
        <w:rPr>
          <w:rFonts w:hint="eastAsia"/>
          <w:szCs w:val="21"/>
        </w:rPr>
      </w:pPr>
      <w:r>
        <w:rPr>
          <w:rFonts w:hint="eastAsia"/>
          <w:szCs w:val="21"/>
          <w:lang w:eastAsia="zh-CN"/>
        </w:rPr>
        <w:t>（</w:t>
      </w:r>
      <w:r>
        <w:rPr>
          <w:rFonts w:hint="eastAsia"/>
          <w:szCs w:val="21"/>
          <w:lang w:val="en-US" w:eastAsia="zh-CN"/>
        </w:rPr>
        <w:t>10</w:t>
      </w:r>
      <w:r>
        <w:rPr>
          <w:rFonts w:hint="eastAsia"/>
          <w:szCs w:val="21"/>
          <w:lang w:eastAsia="zh-CN"/>
        </w:rPr>
        <w:t>）</w:t>
      </w:r>
      <w:r>
        <w:rPr>
          <w:rFonts w:hint="eastAsia"/>
          <w:szCs w:val="21"/>
        </w:rPr>
        <w:t>投标人具有车辆设备情况</w:t>
      </w:r>
    </w:p>
    <w:p>
      <w:pPr>
        <w:ind w:left="718" w:leftChars="342" w:firstLine="1417" w:firstLineChars="675"/>
        <w:rPr>
          <w:rFonts w:hint="eastAsia"/>
          <w:szCs w:val="21"/>
        </w:rPr>
      </w:pPr>
      <w:r>
        <w:rPr>
          <w:rFonts w:hint="eastAsia"/>
          <w:szCs w:val="21"/>
          <w:lang w:eastAsia="zh-CN"/>
        </w:rPr>
        <w:t>（</w:t>
      </w:r>
      <w:r>
        <w:rPr>
          <w:rFonts w:hint="eastAsia"/>
          <w:szCs w:val="21"/>
          <w:lang w:val="en-US" w:eastAsia="zh-CN"/>
        </w:rPr>
        <w:t>11</w:t>
      </w:r>
      <w:r>
        <w:rPr>
          <w:rFonts w:hint="eastAsia"/>
          <w:szCs w:val="21"/>
          <w:lang w:eastAsia="zh-CN"/>
        </w:rPr>
        <w:t>）</w:t>
      </w:r>
      <w:r>
        <w:rPr>
          <w:rFonts w:hint="eastAsia"/>
          <w:szCs w:val="21"/>
        </w:rPr>
        <w:t>拟安排的项目负责人情况（仅限一人）</w:t>
      </w:r>
    </w:p>
    <w:p>
      <w:pPr>
        <w:ind w:left="718" w:leftChars="342" w:firstLine="1417" w:firstLineChars="675"/>
        <w:rPr>
          <w:rFonts w:hint="eastAsia"/>
          <w:szCs w:val="21"/>
        </w:rPr>
      </w:pPr>
      <w:r>
        <w:rPr>
          <w:rFonts w:hint="eastAsia"/>
          <w:szCs w:val="21"/>
          <w:lang w:eastAsia="zh-CN"/>
        </w:rPr>
        <w:t>（</w:t>
      </w:r>
      <w:r>
        <w:rPr>
          <w:rFonts w:hint="eastAsia"/>
          <w:szCs w:val="21"/>
          <w:lang w:val="en-US" w:eastAsia="zh-CN"/>
        </w:rPr>
        <w:t>12</w:t>
      </w:r>
      <w:r>
        <w:rPr>
          <w:rFonts w:hint="eastAsia"/>
          <w:szCs w:val="21"/>
          <w:lang w:eastAsia="zh-CN"/>
        </w:rPr>
        <w:t>）</w:t>
      </w:r>
      <w:r>
        <w:rPr>
          <w:rFonts w:hint="eastAsia"/>
          <w:szCs w:val="21"/>
        </w:rPr>
        <w:t>拟安排的项目团队成员（主要技术人员）情况（项目负责人除外）</w:t>
      </w:r>
    </w:p>
    <w:p>
      <w:pPr>
        <w:ind w:left="718" w:leftChars="342" w:firstLine="1417" w:firstLineChars="675"/>
        <w:rPr>
          <w:rFonts w:hint="eastAsia"/>
          <w:szCs w:val="21"/>
        </w:rPr>
      </w:pPr>
      <w:r>
        <w:rPr>
          <w:rFonts w:hint="eastAsia"/>
          <w:szCs w:val="21"/>
          <w:lang w:eastAsia="zh-CN"/>
        </w:rPr>
        <w:t>（</w:t>
      </w:r>
      <w:r>
        <w:rPr>
          <w:rFonts w:hint="eastAsia"/>
          <w:szCs w:val="21"/>
          <w:lang w:val="en-US" w:eastAsia="zh-CN"/>
        </w:rPr>
        <w:t>13</w:t>
      </w:r>
      <w:r>
        <w:rPr>
          <w:rFonts w:hint="eastAsia"/>
          <w:szCs w:val="21"/>
          <w:lang w:eastAsia="zh-CN"/>
        </w:rPr>
        <w:t>）</w:t>
      </w:r>
      <w:r>
        <w:rPr>
          <w:rFonts w:hint="eastAsia"/>
          <w:szCs w:val="21"/>
        </w:rPr>
        <w:t>拟投入本项目一线作业人员工资水平评价</w:t>
      </w:r>
    </w:p>
    <w:p>
      <w:pPr>
        <w:ind w:left="718" w:leftChars="342" w:firstLine="1417" w:firstLineChars="675"/>
        <w:rPr>
          <w:rFonts w:hint="eastAsia"/>
          <w:szCs w:val="21"/>
        </w:rPr>
      </w:pPr>
      <w:r>
        <w:rPr>
          <w:rFonts w:hint="eastAsia"/>
          <w:szCs w:val="21"/>
          <w:lang w:eastAsia="zh-CN"/>
        </w:rPr>
        <w:t>（</w:t>
      </w:r>
      <w:r>
        <w:rPr>
          <w:rFonts w:hint="eastAsia"/>
          <w:szCs w:val="21"/>
          <w:lang w:val="en-US" w:eastAsia="zh-CN"/>
        </w:rPr>
        <w:t>14</w:t>
      </w:r>
      <w:r>
        <w:rPr>
          <w:rFonts w:hint="eastAsia"/>
          <w:szCs w:val="21"/>
          <w:lang w:eastAsia="zh-CN"/>
        </w:rPr>
        <w:t>）</w:t>
      </w:r>
      <w:r>
        <w:rPr>
          <w:rFonts w:hint="eastAsia"/>
          <w:szCs w:val="21"/>
        </w:rPr>
        <w:t>投标人停车场、维修场地、应急工作能力情况评价</w:t>
      </w:r>
    </w:p>
    <w:p>
      <w:pPr>
        <w:ind w:left="718" w:leftChars="342" w:firstLine="1417" w:firstLineChars="675"/>
        <w:rPr>
          <w:szCs w:val="21"/>
        </w:rPr>
      </w:pPr>
      <w:r>
        <w:rPr>
          <w:rFonts w:hint="eastAsia"/>
          <w:szCs w:val="21"/>
          <w:lang w:eastAsia="zh-CN"/>
        </w:rPr>
        <w:t>（</w:t>
      </w:r>
      <w:r>
        <w:rPr>
          <w:rFonts w:hint="eastAsia"/>
          <w:szCs w:val="21"/>
          <w:lang w:val="en-US" w:eastAsia="zh-CN"/>
        </w:rPr>
        <w:t>15</w:t>
      </w:r>
      <w:r>
        <w:rPr>
          <w:rFonts w:hint="eastAsia"/>
          <w:szCs w:val="21"/>
          <w:lang w:eastAsia="zh-CN"/>
        </w:rPr>
        <w:t>）</w:t>
      </w:r>
      <w:r>
        <w:rPr>
          <w:rFonts w:hint="eastAsia"/>
          <w:szCs w:val="21"/>
        </w:rPr>
        <w:t>投标人同类项目业绩情况</w:t>
      </w:r>
    </w:p>
    <w:p>
      <w:pPr>
        <w:ind w:left="718" w:leftChars="342" w:firstLine="1417" w:firstLineChars="675"/>
        <w:rPr>
          <w:rFonts w:ascii="宋体" w:hAnsi="宋体"/>
          <w:szCs w:val="21"/>
        </w:rPr>
      </w:pPr>
      <w:r>
        <w:rPr>
          <w:rFonts w:hint="eastAsia"/>
          <w:szCs w:val="21"/>
        </w:rPr>
        <w:t>（</w:t>
      </w:r>
      <w:r>
        <w:rPr>
          <w:rFonts w:hint="eastAsia"/>
          <w:szCs w:val="21"/>
          <w:lang w:val="en-US" w:eastAsia="zh-CN"/>
        </w:rPr>
        <w:t>1</w:t>
      </w:r>
      <w:r>
        <w:rPr>
          <w:rFonts w:hint="eastAsia"/>
          <w:szCs w:val="21"/>
        </w:rPr>
        <w:t>6）投标人认为需要加以说明的其他内容</w:t>
      </w:r>
    </w:p>
    <w:p>
      <w:pPr>
        <w:pStyle w:val="2"/>
      </w:pPr>
    </w:p>
    <w:p>
      <w:pPr>
        <w:pStyle w:val="9"/>
        <w:ind w:firstLine="0"/>
        <w:rPr>
          <w:rFonts w:ascii="宋体" w:hAnsi="宋体"/>
          <w:szCs w:val="21"/>
        </w:rPr>
      </w:pPr>
    </w:p>
    <w:p>
      <w:pPr>
        <w:rPr>
          <w:rFonts w:ascii="仿宋_GB2312" w:eastAsia="仿宋_GB2312"/>
          <w:sz w:val="24"/>
        </w:rPr>
      </w:pPr>
    </w:p>
    <w:p>
      <w:pPr>
        <w:ind w:firstLine="425" w:firstLineChars="202"/>
        <w:rPr>
          <w:rFonts w:ascii="宋体" w:hAnsi="宋体"/>
          <w:b/>
          <w:szCs w:val="21"/>
        </w:rPr>
      </w:pPr>
      <w:r>
        <w:rPr>
          <w:rFonts w:hint="eastAsia" w:ascii="宋体" w:hAnsi="宋体"/>
          <w:b/>
          <w:szCs w:val="21"/>
        </w:rPr>
        <w:t>备注：</w:t>
      </w:r>
    </w:p>
    <w:p>
      <w:pPr>
        <w:ind w:firstLine="425" w:firstLineChars="202"/>
        <w:rPr>
          <w:rFonts w:ascii="宋体" w:hAnsi="宋体"/>
          <w:b/>
          <w:szCs w:val="21"/>
        </w:rPr>
      </w:pPr>
      <w:r>
        <w:rPr>
          <w:rFonts w:hint="eastAsia" w:ascii="宋体" w:hAnsi="宋体"/>
          <w:b/>
          <w:szCs w:val="21"/>
        </w:rPr>
        <w:t>1.本项目为网上电子投标项目，投标文件不需法人或授权委托人另行签字，无需加盖单位公章，招标文件另有规定的除外。</w:t>
      </w:r>
    </w:p>
    <w:p>
      <w:pPr>
        <w:ind w:firstLine="425" w:firstLineChars="202"/>
        <w:rPr>
          <w:rFonts w:ascii="宋体" w:hAnsi="宋体"/>
          <w:b/>
          <w:szCs w:val="21"/>
        </w:rPr>
      </w:pPr>
      <w:r>
        <w:rPr>
          <w:rFonts w:hint="eastAsia" w:ascii="宋体" w:hAnsi="宋体"/>
          <w:b/>
          <w:szCs w:val="21"/>
        </w:rPr>
        <w:t>2.关于填写“开标一览表”的说明：“开标一览表”中除“投标总价”外，其他信息不作评审依据。</w:t>
      </w:r>
    </w:p>
    <w:p>
      <w:pPr>
        <w:rPr>
          <w:rFonts w:ascii="仿宋_GB2312" w:eastAsia="仿宋_GB2312"/>
          <w:sz w:val="24"/>
        </w:rPr>
      </w:pPr>
    </w:p>
    <w:p>
      <w:pPr>
        <w:rPr>
          <w:rFonts w:ascii="宋体" w:hAnsi="宋体"/>
          <w:b/>
          <w:szCs w:val="21"/>
        </w:rPr>
      </w:pPr>
    </w:p>
    <w:p>
      <w:pPr>
        <w:rPr>
          <w:rFonts w:ascii="宋体" w:hAnsi="宋体"/>
          <w:b/>
          <w:szCs w:val="21"/>
        </w:rPr>
      </w:pPr>
    </w:p>
    <w:p>
      <w:pPr>
        <w:jc w:val="left"/>
        <w:rPr>
          <w:rFonts w:ascii="宋体" w:hAnsi="宋体"/>
          <w:b/>
          <w:color w:val="FF0000"/>
          <w:sz w:val="36"/>
          <w:szCs w:val="36"/>
        </w:rPr>
      </w:pPr>
      <w:r>
        <w:rPr>
          <w:rFonts w:hint="eastAsia" w:ascii="宋体" w:hAnsi="宋体"/>
          <w:b/>
          <w:color w:val="FF0000"/>
          <w:sz w:val="36"/>
          <w:szCs w:val="36"/>
        </w:rPr>
        <w:br w:type="page"/>
      </w:r>
    </w:p>
    <w:p>
      <w:pPr>
        <w:outlineLvl w:val="1"/>
        <w:rPr>
          <w:rFonts w:ascii="宋体" w:hAnsi="宋体"/>
          <w:b/>
          <w:color w:val="FF0000"/>
          <w:sz w:val="28"/>
          <w:szCs w:val="28"/>
        </w:rPr>
      </w:pPr>
      <w:r>
        <w:rPr>
          <w:rFonts w:hint="eastAsia" w:ascii="宋体" w:hAnsi="宋体"/>
          <w:b/>
          <w:color w:val="FF0000"/>
          <w:sz w:val="28"/>
          <w:szCs w:val="28"/>
        </w:rPr>
        <w:t>投标文件正文（信息公开部分）</w:t>
      </w:r>
    </w:p>
    <w:p>
      <w:pPr>
        <w:pStyle w:val="5"/>
        <w:jc w:val="center"/>
        <w:rPr>
          <w:rFonts w:ascii="黑体" w:eastAsia="黑体"/>
          <w:b w:val="0"/>
          <w:kern w:val="0"/>
          <w:sz w:val="24"/>
        </w:rPr>
      </w:pPr>
      <w:r>
        <w:rPr>
          <w:rFonts w:hint="eastAsia" w:ascii="黑体" w:eastAsia="黑体"/>
          <w:b w:val="0"/>
          <w:kern w:val="0"/>
          <w:sz w:val="24"/>
        </w:rPr>
        <w:t>一、投标函</w:t>
      </w:r>
    </w:p>
    <w:p>
      <w:pPr>
        <w:spacing w:line="360" w:lineRule="auto"/>
        <w:rPr>
          <w:rFonts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color w:val="FF0000"/>
          <w:szCs w:val="21"/>
          <w:u w:val="single"/>
        </w:rPr>
        <w:t>深圳公共资源交易中心</w:t>
      </w:r>
      <w:r>
        <w:rPr>
          <w:rFonts w:hint="eastAsia" w:ascii="宋体" w:hAnsi="宋体"/>
          <w:szCs w:val="21"/>
          <w:u w:val="single"/>
        </w:rPr>
        <w:t xml:space="preserve">  </w:t>
      </w:r>
    </w:p>
    <w:p>
      <w:pPr>
        <w:ind w:firstLine="420" w:firstLineChars="200"/>
        <w:rPr>
          <w:rFonts w:ascii="宋体" w:hAnsi="宋体"/>
          <w:szCs w:val="21"/>
        </w:rPr>
      </w:pPr>
      <w:bookmarkStart w:id="40" w:name="_Hlk73818812"/>
      <w:r>
        <w:rPr>
          <w:rFonts w:hint="eastAsia"/>
          <w:szCs w:val="21"/>
        </w:rPr>
        <w:t>1.根据已收到贵单位的项目编号为</w:t>
      </w:r>
      <w:r>
        <w:rPr>
          <w:rFonts w:hint="eastAsia"/>
          <w:szCs w:val="21"/>
          <w:u w:val="thick"/>
        </w:rPr>
        <w:t xml:space="preserve">        </w:t>
      </w:r>
      <w:r>
        <w:rPr>
          <w:rFonts w:hint="eastAsia"/>
          <w:szCs w:val="21"/>
        </w:rPr>
        <w:t>的</w:t>
      </w:r>
      <w:r>
        <w:rPr>
          <w:rFonts w:hint="eastAsia"/>
          <w:szCs w:val="21"/>
          <w:u w:val="thick"/>
        </w:rPr>
        <w:t xml:space="preserve">    （项目名称）       </w:t>
      </w:r>
      <w:r>
        <w:rPr>
          <w:rFonts w:hint="eastAsia"/>
          <w:szCs w:val="21"/>
        </w:rPr>
        <w:t>项目的招标文件，遵照《深圳经济特区政府采购条例》和《深圳网上政府采购管理暂行办法》等有关规定，我单位经研究上述招标文件的专用条款及通用条款后，</w:t>
      </w:r>
      <w:bookmarkStart w:id="41" w:name="_Hlk72263588"/>
      <w:r>
        <w:rPr>
          <w:rFonts w:hint="eastAsia"/>
          <w:szCs w:val="21"/>
        </w:rPr>
        <w:t>愿意按照招标文件要求承包上述项目并修补其任何缺陷。</w:t>
      </w:r>
      <w:bookmarkEnd w:id="41"/>
    </w:p>
    <w:p>
      <w:pPr>
        <w:ind w:firstLine="420" w:firstLineChars="200"/>
        <w:rPr>
          <w:rFonts w:ascii="宋体" w:hAnsi="宋体"/>
          <w:szCs w:val="21"/>
        </w:rPr>
      </w:pPr>
      <w:r>
        <w:rPr>
          <w:rFonts w:hint="eastAsia" w:ascii="宋体" w:hAnsi="宋体"/>
          <w:szCs w:val="21"/>
        </w:rPr>
        <w:t>2.投标价格见</w:t>
      </w:r>
      <w:r>
        <w:rPr>
          <w:rFonts w:hint="eastAsia"/>
          <w:szCs w:val="21"/>
        </w:rPr>
        <w:t>投标书编制软件中《开标一览表》中填写的投标总价。</w:t>
      </w:r>
    </w:p>
    <w:p>
      <w:pPr>
        <w:ind w:firstLine="420" w:firstLineChars="200"/>
        <w:rPr>
          <w:rFonts w:ascii="宋体" w:hAnsi="宋体"/>
          <w:szCs w:val="21"/>
        </w:rPr>
      </w:pPr>
      <w:r>
        <w:rPr>
          <w:rFonts w:hint="eastAsia" w:ascii="宋体" w:hAnsi="宋体"/>
          <w:szCs w:val="21"/>
        </w:rPr>
        <w:t>3.如果我单位中标，我单位将按照招标文件的要求足额提交履约担保。</w:t>
      </w:r>
    </w:p>
    <w:p>
      <w:pPr>
        <w:ind w:firstLine="420" w:firstLineChars="200"/>
        <w:rPr>
          <w:rFonts w:ascii="宋体" w:hAnsi="宋体"/>
          <w:szCs w:val="21"/>
        </w:rPr>
      </w:pPr>
      <w:r>
        <w:rPr>
          <w:rFonts w:hint="eastAsia" w:ascii="宋体" w:hAnsi="宋体"/>
          <w:szCs w:val="21"/>
        </w:rPr>
        <w:t>4.我单位同意所递交的投标文件在“对通用条款的补充内容”中明确的投标有效期内有效，在此期间内我单位的投标有可能中标，我方将受此约束。</w:t>
      </w:r>
    </w:p>
    <w:p>
      <w:pPr>
        <w:ind w:firstLine="420" w:firstLineChars="200"/>
        <w:rPr>
          <w:rFonts w:ascii="宋体" w:hAnsi="宋体"/>
          <w:szCs w:val="21"/>
        </w:rPr>
      </w:pPr>
      <w:r>
        <w:rPr>
          <w:rFonts w:hint="eastAsia" w:ascii="宋体" w:hAnsi="宋体"/>
          <w:szCs w:val="21"/>
        </w:rPr>
        <w:t>5.除非另外达成协议并生效，贵单位的中标通知书和本投标文件将构成合同的重要内容。</w:t>
      </w:r>
    </w:p>
    <w:p>
      <w:pPr>
        <w:ind w:left="420" w:leftChars="200"/>
        <w:rPr>
          <w:rFonts w:ascii="宋体" w:hAnsi="宋体"/>
          <w:szCs w:val="21"/>
        </w:rPr>
      </w:pPr>
      <w:r>
        <w:rPr>
          <w:rFonts w:hint="eastAsia" w:ascii="宋体" w:hAnsi="宋体"/>
          <w:szCs w:val="21"/>
        </w:rPr>
        <w:t>6.我单位理解贵单位将不受必须接受所收到的最低报价或其它任何投标文件的约束。</w:t>
      </w:r>
      <w:bookmarkEnd w:id="40"/>
    </w:p>
    <w:p>
      <w:pPr>
        <w:ind w:firstLine="421" w:firstLineChars="200"/>
        <w:rPr>
          <w:rFonts w:ascii="宋体" w:hAnsi="宋体"/>
          <w:b/>
          <w:szCs w:val="21"/>
        </w:rPr>
      </w:pPr>
      <w:r>
        <w:rPr>
          <w:rFonts w:hint="eastAsia" w:ascii="宋体" w:hAnsi="宋体"/>
          <w:b/>
          <w:szCs w:val="21"/>
        </w:rPr>
        <w:t>7.</w:t>
      </w:r>
      <w:r>
        <w:rPr>
          <w:rFonts w:ascii="宋体" w:hAnsi="宋体"/>
          <w:b/>
          <w:szCs w:val="21"/>
        </w:rPr>
        <w:t>如我单位提交样品，且未在规定时间内取回样品的，视</w:t>
      </w:r>
      <w:r>
        <w:rPr>
          <w:rFonts w:hint="eastAsia" w:ascii="宋体" w:hAnsi="宋体"/>
          <w:b/>
          <w:szCs w:val="21"/>
        </w:rPr>
        <w:t>为</w:t>
      </w:r>
      <w:r>
        <w:rPr>
          <w:rFonts w:ascii="宋体" w:hAnsi="宋体"/>
          <w:b/>
          <w:szCs w:val="21"/>
        </w:rPr>
        <w:t>放弃</w:t>
      </w:r>
      <w:r>
        <w:rPr>
          <w:rFonts w:hint="eastAsia" w:ascii="宋体" w:hAnsi="宋体"/>
          <w:b/>
          <w:szCs w:val="21"/>
        </w:rPr>
        <w:t>对样品的所有权</w:t>
      </w:r>
      <w:r>
        <w:rPr>
          <w:rFonts w:ascii="宋体" w:hAnsi="宋体"/>
          <w:b/>
          <w:szCs w:val="21"/>
        </w:rPr>
        <w:t>，同意深圳公共资源交易中心对我单位提交的样品进行清理</w:t>
      </w:r>
      <w:r>
        <w:rPr>
          <w:rFonts w:hint="eastAsia" w:ascii="宋体" w:hAnsi="宋体"/>
          <w:b/>
          <w:szCs w:val="21"/>
        </w:rPr>
        <w:t>处置</w:t>
      </w:r>
      <w:r>
        <w:rPr>
          <w:rFonts w:ascii="宋体" w:hAnsi="宋体"/>
          <w:b/>
          <w:szCs w:val="21"/>
        </w:rPr>
        <w:t>。</w:t>
      </w:r>
    </w:p>
    <w:p>
      <w:pPr>
        <w:ind w:firstLine="421" w:firstLineChars="200"/>
        <w:rPr>
          <w:rFonts w:ascii="宋体" w:hAnsi="宋体"/>
          <w:b/>
          <w:szCs w:val="21"/>
        </w:rPr>
      </w:pPr>
      <w:bookmarkStart w:id="42" w:name="OLE_LINK40"/>
      <w:r>
        <w:rPr>
          <w:rFonts w:hint="eastAsia" w:ascii="宋体" w:hAnsi="宋体"/>
          <w:b/>
          <w:szCs w:val="21"/>
        </w:rPr>
        <w:t>8、如果我方中标，我方保证在中标（成交）结果公示结束之日的次日起7个工作日内向深圳公共资源交易中心（深圳交易集团有限公司</w:t>
      </w:r>
      <w:r>
        <w:rPr>
          <w:rFonts w:hint="eastAsia" w:ascii="宋体" w:hAnsi="宋体"/>
          <w:b/>
          <w:szCs w:val="21"/>
          <w:lang w:eastAsia="zh-CN"/>
        </w:rPr>
        <w:t>盐田</w:t>
      </w:r>
      <w:r>
        <w:rPr>
          <w:rFonts w:hint="eastAsia" w:ascii="宋体" w:hAnsi="宋体"/>
          <w:b/>
          <w:szCs w:val="21"/>
        </w:rPr>
        <w:t>分公司）交纳代理服务费。</w:t>
      </w:r>
    </w:p>
    <w:bookmarkEnd w:id="42"/>
    <w:p>
      <w:pPr>
        <w:ind w:left="420" w:leftChars="200"/>
        <w:rPr>
          <w:rFonts w:ascii="宋体" w:hAnsi="宋体"/>
          <w:b/>
          <w:szCs w:val="21"/>
        </w:rPr>
      </w:pPr>
    </w:p>
    <w:p>
      <w:pPr>
        <w:ind w:left="420" w:leftChars="200" w:firstLine="210" w:firstLineChars="100"/>
        <w:rPr>
          <w:szCs w:val="21"/>
        </w:rPr>
      </w:pPr>
      <w:r>
        <w:rPr>
          <w:rFonts w:hint="eastAsia"/>
          <w:szCs w:val="21"/>
        </w:rPr>
        <w:t>投标人：</w:t>
      </w:r>
      <w:r>
        <w:rPr>
          <w:rFonts w:hint="eastAsia"/>
          <w:szCs w:val="21"/>
          <w:u w:val="thick"/>
        </w:rPr>
        <w:t xml:space="preserve">       </w:t>
      </w:r>
      <w:r>
        <w:rPr>
          <w:rFonts w:hint="eastAsia"/>
          <w:szCs w:val="21"/>
        </w:rPr>
        <w:t>；  单位地址：</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法定代表人（负责人）或其授权委托代理人：</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电话：</w:t>
      </w:r>
      <w:r>
        <w:rPr>
          <w:rFonts w:hint="eastAsia"/>
          <w:szCs w:val="21"/>
          <w:u w:val="thick"/>
        </w:rPr>
        <w:t xml:space="preserve">         </w:t>
      </w:r>
      <w:r>
        <w:rPr>
          <w:rFonts w:hint="eastAsia"/>
          <w:szCs w:val="21"/>
        </w:rPr>
        <w:t xml:space="preserve"> ；     </w:t>
      </w:r>
    </w:p>
    <w:p>
      <w:pPr>
        <w:ind w:left="420" w:leftChars="200" w:firstLine="210" w:firstLineChars="100"/>
        <w:rPr>
          <w:sz w:val="24"/>
        </w:rPr>
      </w:pPr>
      <w:r>
        <w:rPr>
          <w:rFonts w:hint="eastAsia" w:ascii="宋体" w:hAnsi="宋体"/>
          <w:szCs w:val="21"/>
        </w:rPr>
        <w:t>日期：</w:t>
      </w:r>
      <w:r>
        <w:rPr>
          <w:rFonts w:hint="eastAsia" w:ascii="宋体" w:hAnsi="宋体"/>
          <w:szCs w:val="21"/>
          <w:u w:val="thick"/>
        </w:rPr>
        <w:t xml:space="preserve">       </w:t>
      </w:r>
      <w:r>
        <w:rPr>
          <w:rFonts w:hint="eastAsia" w:ascii="宋体" w:hAnsi="宋体"/>
          <w:szCs w:val="21"/>
        </w:rPr>
        <w:t>年</w:t>
      </w:r>
      <w:r>
        <w:rPr>
          <w:rFonts w:hint="eastAsia" w:ascii="宋体" w:hAnsi="宋体"/>
          <w:szCs w:val="21"/>
          <w:u w:val="thick"/>
        </w:rPr>
        <w:t xml:space="preserve">     </w:t>
      </w:r>
      <w:r>
        <w:rPr>
          <w:rFonts w:hint="eastAsia" w:ascii="宋体" w:hAnsi="宋体"/>
          <w:szCs w:val="21"/>
        </w:rPr>
        <w:t>月</w:t>
      </w:r>
      <w:r>
        <w:rPr>
          <w:rFonts w:hint="eastAsia" w:ascii="宋体" w:hAnsi="宋体"/>
          <w:szCs w:val="21"/>
          <w:u w:val="thick"/>
        </w:rPr>
        <w:t xml:space="preserve">    </w:t>
      </w:r>
      <w:r>
        <w:rPr>
          <w:rFonts w:hint="eastAsia" w:ascii="宋体" w:hAnsi="宋体"/>
          <w:szCs w:val="21"/>
        </w:rPr>
        <w:t>日</w:t>
      </w:r>
      <w:r>
        <w:rPr>
          <w:rFonts w:hint="eastAsia"/>
          <w:sz w:val="24"/>
        </w:rPr>
        <w:t xml:space="preserve">                                </w:t>
      </w:r>
    </w:p>
    <w:p>
      <w:pPr>
        <w:ind w:left="420" w:leftChars="200"/>
        <w:rPr>
          <w:sz w:val="24"/>
        </w:rPr>
      </w:pPr>
      <w:r>
        <w:rPr>
          <w:rFonts w:hint="eastAsia"/>
          <w:sz w:val="24"/>
        </w:rPr>
        <w:t xml:space="preserve">                       </w:t>
      </w:r>
    </w:p>
    <w:p>
      <w:pPr>
        <w:rPr>
          <w:rFonts w:ascii="黑体" w:hAnsi="宋体" w:eastAsia="黑体"/>
        </w:rPr>
      </w:pPr>
      <w:r>
        <w:rPr>
          <w:rFonts w:hint="eastAsia" w:ascii="黑体" w:hAnsi="宋体" w:eastAsia="黑体"/>
          <w:color w:val="FF0000"/>
          <w:highlight w:val="yellow"/>
        </w:rPr>
        <w:t>备注：如联合体投标，投标人一栏须填写联合体所有成员单位的名称。</w:t>
      </w:r>
    </w:p>
    <w:p>
      <w:pPr>
        <w:rPr>
          <w:rFonts w:ascii="黑体" w:hAnsi="宋体" w:eastAsia="黑体"/>
        </w:rPr>
      </w:pPr>
    </w:p>
    <w:p>
      <w:pPr>
        <w:rPr>
          <w:rFonts w:ascii="宋体" w:hAnsi="宋体"/>
          <w:szCs w:val="21"/>
        </w:rPr>
      </w:pPr>
    </w:p>
    <w:p>
      <w:pPr>
        <w:pStyle w:val="5"/>
        <w:jc w:val="center"/>
        <w:rPr>
          <w:rFonts w:ascii="黑体" w:eastAsia="黑体"/>
          <w:b w:val="0"/>
          <w:kern w:val="0"/>
          <w:sz w:val="24"/>
        </w:rPr>
      </w:pPr>
      <w:r>
        <w:rPr>
          <w:rFonts w:hint="eastAsia" w:ascii="黑体" w:eastAsia="黑体"/>
          <w:b w:val="0"/>
          <w:kern w:val="0"/>
          <w:sz w:val="24"/>
        </w:rPr>
        <w:t>二、政府采购投标及履约承诺函</w:t>
      </w:r>
    </w:p>
    <w:p>
      <w:pPr>
        <w:rPr>
          <w:rFonts w:ascii="宋体" w:hAnsi="宋体"/>
          <w:sz w:val="24"/>
        </w:rPr>
      </w:pPr>
    </w:p>
    <w:p>
      <w:pPr>
        <w:rPr>
          <w:rFonts w:ascii="宋体" w:hAnsi="宋体"/>
          <w:color w:val="FF0000"/>
          <w:szCs w:val="21"/>
        </w:rPr>
      </w:pPr>
      <w:r>
        <w:rPr>
          <w:rFonts w:hint="eastAsia" w:ascii="宋体" w:hAnsi="宋体"/>
          <w:color w:val="FF0000"/>
          <w:szCs w:val="21"/>
        </w:rPr>
        <w:t>致：</w:t>
      </w:r>
      <w:r>
        <w:rPr>
          <w:rFonts w:hint="eastAsia" w:ascii="宋体" w:hAnsi="宋体"/>
          <w:color w:val="FF0000"/>
          <w:szCs w:val="21"/>
          <w:u w:val="single"/>
        </w:rPr>
        <w:t>深圳公共资源交易中心</w:t>
      </w:r>
    </w:p>
    <w:p>
      <w:pPr>
        <w:ind w:right="-815" w:firstLine="420" w:firstLineChars="200"/>
        <w:rPr>
          <w:rFonts w:ascii="宋体" w:hAnsi="宋体"/>
          <w:szCs w:val="21"/>
        </w:rPr>
      </w:pPr>
      <w:r>
        <w:rPr>
          <w:rFonts w:hint="eastAsia" w:ascii="宋体" w:hAnsi="宋体"/>
          <w:szCs w:val="21"/>
        </w:rPr>
        <w:t>我单位承诺：</w:t>
      </w:r>
    </w:p>
    <w:p>
      <w:pPr>
        <w:ind w:firstLine="420" w:firstLineChars="200"/>
      </w:pPr>
      <w:r>
        <w:rPr>
          <w:rFonts w:hint="eastAsia" w:ascii="宋体" w:hAnsi="宋体"/>
          <w:bCs/>
          <w:szCs w:val="21"/>
        </w:rPr>
        <w:t>1.我单位参与本项目符合资格条件关于联合体、进口产品的要求</w:t>
      </w:r>
      <w:r>
        <w:rPr>
          <w:rFonts w:hint="eastAsia"/>
        </w:rPr>
        <w:t>。</w:t>
      </w:r>
    </w:p>
    <w:p>
      <w:pPr>
        <w:ind w:firstLine="420" w:firstLineChars="200"/>
        <w:rPr>
          <w:rFonts w:ascii="宋体" w:hAnsi="宋体"/>
          <w:szCs w:val="21"/>
        </w:rPr>
      </w:pPr>
      <w:r>
        <w:rPr>
          <w:rFonts w:hint="eastAsia" w:ascii="宋体" w:hAnsi="宋体"/>
          <w:szCs w:val="21"/>
        </w:rPr>
        <w:t>2.我单位参与本项目</w:t>
      </w:r>
      <w:r>
        <w:rPr>
          <w:rFonts w:hint="eastAsia" w:ascii="宋体" w:hAnsi="宋体"/>
        </w:rPr>
        <w:t>所投标（响应）的货物、工程或服务，不存在侵犯知识产权的情况。</w:t>
      </w:r>
    </w:p>
    <w:p>
      <w:pPr>
        <w:ind w:firstLine="420" w:firstLineChars="200"/>
        <w:rPr>
          <w:rFonts w:ascii="宋体" w:hAnsi="宋体"/>
          <w:szCs w:val="21"/>
        </w:rPr>
      </w:pPr>
      <w:r>
        <w:rPr>
          <w:rFonts w:hint="eastAsia" w:ascii="宋体" w:hAnsi="宋体"/>
          <w:szCs w:val="21"/>
        </w:rPr>
        <w:t>3.我单位参与本项目</w:t>
      </w:r>
      <w:r>
        <w:rPr>
          <w:rFonts w:hint="eastAsia"/>
        </w:rPr>
        <w:t>政府采购活动时不存在被有关部门禁止参与政府采购活动且在有效期内的情况。</w:t>
      </w:r>
    </w:p>
    <w:p>
      <w:pPr>
        <w:ind w:firstLine="420" w:firstLineChars="200"/>
        <w:rPr>
          <w:rFonts w:ascii="宋体" w:hAnsi="宋体"/>
          <w:szCs w:val="21"/>
        </w:rPr>
      </w:pPr>
      <w:r>
        <w:rPr>
          <w:rFonts w:hint="eastAsia" w:ascii="宋体" w:hAnsi="宋体"/>
          <w:szCs w:val="21"/>
        </w:rPr>
        <w:t>4.我单位具备《中华人民共和国政府采购法》第二十二条第一款规定的六项条件。</w:t>
      </w:r>
    </w:p>
    <w:p>
      <w:pPr>
        <w:ind w:firstLine="420" w:firstLineChars="200"/>
      </w:pPr>
      <w:r>
        <w:rPr>
          <w:rFonts w:hint="eastAsia" w:ascii="宋体" w:hAnsi="宋体"/>
          <w:szCs w:val="21"/>
        </w:rPr>
        <w:t>5.我单位</w:t>
      </w:r>
      <w:r>
        <w:rPr>
          <w:rFonts w:hint="eastAsia"/>
        </w:rPr>
        <w:t>未被列入失信被执行人、重大税收违法案件当事人名单、政府采购严重违法失信行为记录名单。</w:t>
      </w:r>
    </w:p>
    <w:p>
      <w:pPr>
        <w:ind w:firstLine="420" w:firstLineChars="200"/>
      </w:pPr>
      <w:r>
        <w:rPr>
          <w:rFonts w:hint="eastAsia"/>
          <w:color w:val="FF0000"/>
        </w:rPr>
        <w:t>6.我单位不存在《深圳市财政局政府采购供应商信用信息管理办法》（深财规〔2023〕3号）列明的严重违法失信行为。</w:t>
      </w:r>
    </w:p>
    <w:p>
      <w:pPr>
        <w:ind w:firstLine="420" w:firstLineChars="200"/>
        <w:rPr>
          <w:rFonts w:ascii="宋体" w:hAnsi="宋体"/>
          <w:szCs w:val="21"/>
        </w:rPr>
      </w:pPr>
      <w:r>
        <w:rPr>
          <w:rFonts w:hint="eastAsia" w:ascii="宋体" w:hAnsi="宋体"/>
          <w:szCs w:val="21"/>
        </w:rPr>
        <w:t>7.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pPr>
        <w:ind w:firstLine="420" w:firstLineChars="200"/>
        <w:rPr>
          <w:rFonts w:ascii="宋体" w:hAnsi="宋体"/>
          <w:szCs w:val="21"/>
        </w:rPr>
      </w:pPr>
      <w:r>
        <w:rPr>
          <w:rFonts w:hint="eastAsia" w:ascii="宋体" w:hAnsi="宋体"/>
          <w:szCs w:val="21"/>
        </w:rPr>
        <w:t>8.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pPr>
        <w:ind w:firstLine="420" w:firstLineChars="200"/>
        <w:rPr>
          <w:rFonts w:ascii="宋体" w:hAnsi="宋体"/>
          <w:szCs w:val="21"/>
        </w:rPr>
      </w:pPr>
      <w:r>
        <w:rPr>
          <w:rFonts w:hint="eastAsia" w:ascii="宋体" w:hAnsi="宋体"/>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ind w:firstLine="420" w:firstLineChars="200"/>
        <w:rPr>
          <w:rFonts w:ascii="宋体" w:hAnsi="宋体"/>
          <w:szCs w:val="21"/>
        </w:rPr>
      </w:pPr>
      <w:r>
        <w:rPr>
          <w:rFonts w:hint="eastAsia" w:ascii="宋体" w:hAnsi="宋体"/>
          <w:szCs w:val="21"/>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ind w:firstLine="420" w:firstLineChars="200"/>
        <w:rPr>
          <w:rFonts w:ascii="宋体" w:hAnsi="宋体"/>
          <w:szCs w:val="21"/>
        </w:rPr>
      </w:pPr>
      <w:r>
        <w:rPr>
          <w:rFonts w:hint="eastAsia" w:ascii="宋体" w:hAnsi="宋体"/>
          <w:szCs w:val="21"/>
        </w:rPr>
        <w:t>10.我单位承诺中标后项目不转包，未经采购人同意不进行分包。</w:t>
      </w:r>
    </w:p>
    <w:p>
      <w:pPr>
        <w:ind w:firstLine="420" w:firstLineChars="200"/>
        <w:rPr>
          <w:rFonts w:ascii="宋体" w:hAnsi="宋体"/>
        </w:rPr>
      </w:pPr>
      <w:r>
        <w:rPr>
          <w:rFonts w:hint="eastAsia" w:ascii="宋体" w:hAnsi="宋体"/>
          <w:szCs w:val="21"/>
        </w:rPr>
        <w:t>11</w:t>
      </w:r>
      <w:r>
        <w:rPr>
          <w:rFonts w:ascii="宋体" w:hAnsi="宋体"/>
          <w:szCs w:val="21"/>
        </w:rPr>
        <w:t>.</w:t>
      </w:r>
      <w:r>
        <w:rPr>
          <w:rFonts w:hint="eastAsia" w:ascii="宋体" w:hAnsi="宋体"/>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pPr>
        <w:ind w:firstLine="420" w:firstLineChars="200"/>
        <w:rPr>
          <w:rFonts w:ascii="宋体" w:hAnsi="宋体" w:cs="宋体"/>
          <w:b/>
          <w:kern w:val="0"/>
          <w:szCs w:val="21"/>
        </w:rPr>
      </w:pPr>
      <w:r>
        <w:rPr>
          <w:rFonts w:hint="eastAsia" w:ascii="宋体" w:hAnsi="宋体"/>
        </w:rPr>
        <w:t>12</w:t>
      </w:r>
      <w:r>
        <w:rPr>
          <w:rFonts w:ascii="宋体" w:hAnsi="宋体"/>
        </w:rPr>
        <w:t>.</w:t>
      </w:r>
      <w:r>
        <w:rPr>
          <w:rFonts w:hint="eastAsia" w:ascii="宋体" w:hAnsi="宋体"/>
        </w:rPr>
        <w:t>我单位保证，若所投货物涉及</w:t>
      </w:r>
      <w:r>
        <w:rPr>
          <w:rFonts w:ascii="宋体" w:hAnsi="宋体"/>
        </w:rPr>
        <w:t>《</w:t>
      </w:r>
      <w:r>
        <w:rPr>
          <w:rFonts w:hint="eastAsia" w:ascii="宋体" w:hAnsi="宋体"/>
        </w:rPr>
        <w:t>关于印发节能产品政府采购品目清单的通知》（财库〔20</w:t>
      </w:r>
      <w:r>
        <w:rPr>
          <w:rFonts w:ascii="宋体" w:hAnsi="宋体"/>
        </w:rPr>
        <w:t>19</w:t>
      </w:r>
      <w:r>
        <w:rPr>
          <w:rFonts w:hint="eastAsia" w:ascii="宋体" w:hAnsi="宋体"/>
        </w:rPr>
        <w:t>〕</w:t>
      </w:r>
      <w:r>
        <w:rPr>
          <w:rFonts w:ascii="宋体" w:hAnsi="宋体"/>
        </w:rPr>
        <w:t>19</w:t>
      </w:r>
      <w:r>
        <w:rPr>
          <w:rFonts w:hint="eastAsia" w:ascii="宋体" w:hAnsi="宋体"/>
        </w:rPr>
        <w:t>号）列明的政府采购强制产品，则所投该产品符合节能产品的认证要求。若所投产品包括数据中心相关设备的，应满足</w:t>
      </w:r>
      <w:r>
        <w:rPr>
          <w:rFonts w:hint="eastAsia"/>
        </w:rPr>
        <w:t>《财政部 生态环境部 工业和信息化部关于印发&lt;绿色数据中心政府采购需求标准（试行）&gt;的通知》（财库〔2023〕7号）要求。若所投产品涉及国家强制性标准的，所投产品应符合国家强制性标准相关要求。</w:t>
      </w:r>
    </w:p>
    <w:p>
      <w:pPr>
        <w:ind w:firstLine="420" w:firstLineChars="200"/>
        <w:rPr>
          <w:rFonts w:ascii="宋体" w:hAnsi="宋体"/>
          <w:bCs/>
        </w:rPr>
      </w:pPr>
      <w:r>
        <w:rPr>
          <w:rFonts w:hint="eastAsia" w:ascii="宋体" w:hAnsi="宋体" w:cs="宋体"/>
          <w:bCs/>
          <w:kern w:val="0"/>
          <w:szCs w:val="21"/>
        </w:rPr>
        <w:t>13.</w:t>
      </w:r>
      <w:r>
        <w:rPr>
          <w:rFonts w:hint="eastAsia" w:ascii="宋体" w:hAnsi="宋体"/>
          <w:bCs/>
        </w:rPr>
        <w:t>我单位已知悉并同意中标（成交）结果信息公示（公开）的内容。</w:t>
      </w:r>
    </w:p>
    <w:p>
      <w:pPr>
        <w:ind w:firstLine="420" w:firstLineChars="200"/>
        <w:rPr>
          <w:rFonts w:ascii="宋体" w:hAnsi="宋体"/>
          <w:bCs/>
        </w:rPr>
      </w:pPr>
      <w:r>
        <w:rPr>
          <w:rFonts w:hint="eastAsia" w:ascii="宋体" w:hAnsi="宋体"/>
          <w:bCs/>
        </w:rPr>
        <w:t>14.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pPr>
        <w:ind w:firstLine="421" w:firstLineChars="200"/>
        <w:rPr>
          <w:rFonts w:ascii="宋体" w:hAnsi="宋体"/>
          <w:b/>
        </w:rPr>
      </w:pPr>
      <w:r>
        <w:rPr>
          <w:rFonts w:hint="eastAsia" w:ascii="宋体" w:hAnsi="宋体"/>
          <w:b/>
        </w:rPr>
        <w:t>15.我单位清楚，如存在违反投标承诺行为情节严重的，将根据《深圳市财政局关于印发&lt;深圳市财政局政府采购供应商信用信息管理办法&gt;的通知》，依法被列入失信信息。</w:t>
      </w:r>
    </w:p>
    <w:p>
      <w:pPr>
        <w:pStyle w:val="2"/>
        <w:ind w:firstLine="481" w:firstLineChars="200"/>
        <w:rPr>
          <w:rFonts w:ascii="宋体" w:hAnsi="宋体"/>
        </w:rPr>
      </w:pPr>
    </w:p>
    <w:p>
      <w:pPr>
        <w:ind w:firstLine="420" w:firstLineChars="200"/>
        <w:rPr>
          <w:rFonts w:ascii="宋体" w:hAnsi="宋体"/>
          <w:szCs w:val="21"/>
        </w:rPr>
      </w:pPr>
      <w:r>
        <w:rPr>
          <w:rFonts w:hint="eastAsia" w:ascii="宋体" w:hAnsi="宋体"/>
          <w:szCs w:val="21"/>
        </w:rPr>
        <w:t>以上承诺，如有违反，愿依照国家相关法律法规处理，并承担由此给采购人带来的损失。</w:t>
      </w:r>
    </w:p>
    <w:p>
      <w:pPr>
        <w:spacing w:before="60" w:beforeLines="25" w:after="60" w:afterLines="25"/>
        <w:ind w:firstLine="5460" w:firstLineChars="2600"/>
        <w:rPr>
          <w:rFonts w:ascii="宋体" w:hAnsi="宋体"/>
          <w:szCs w:val="21"/>
        </w:rPr>
      </w:pPr>
      <w:r>
        <w:rPr>
          <w:rFonts w:hint="eastAsia" w:ascii="宋体" w:hAnsi="宋体"/>
          <w:szCs w:val="21"/>
        </w:rPr>
        <w:t xml:space="preserve">                                    </w:t>
      </w:r>
    </w:p>
    <w:p>
      <w:pPr>
        <w:spacing w:before="60" w:beforeLines="25" w:after="60" w:afterLines="25"/>
        <w:ind w:firstLine="5460" w:firstLineChars="2600"/>
        <w:rPr>
          <w:color w:val="FF0000"/>
        </w:rPr>
      </w:pPr>
      <w:r>
        <w:rPr>
          <w:rFonts w:hint="eastAsia"/>
          <w:color w:val="FF0000"/>
          <w:szCs w:val="21"/>
        </w:rPr>
        <w:t>投标人：</w:t>
      </w:r>
      <w:r>
        <w:rPr>
          <w:rFonts w:hint="eastAsia"/>
          <w:color w:val="FF0000"/>
          <w:szCs w:val="21"/>
          <w:u w:val="single"/>
        </w:rPr>
        <w:t xml:space="preserve">              </w:t>
      </w:r>
    </w:p>
    <w:p>
      <w:pPr>
        <w:ind w:firstLine="645"/>
        <w:rPr>
          <w:rFonts w:ascii="宋体" w:hAnsi="宋体"/>
          <w:color w:val="FF0000"/>
          <w:szCs w:val="21"/>
        </w:rPr>
      </w:pPr>
      <w:r>
        <w:rPr>
          <w:rFonts w:hint="eastAsia" w:ascii="宋体" w:hAnsi="宋体"/>
          <w:color w:val="FF0000"/>
          <w:szCs w:val="21"/>
        </w:rPr>
        <w:t xml:space="preserve">                                              日期：</w:t>
      </w:r>
      <w:r>
        <w:rPr>
          <w:rFonts w:hint="eastAsia" w:ascii="宋体" w:hAnsi="宋体"/>
          <w:color w:val="FF0000"/>
          <w:szCs w:val="21"/>
          <w:u w:val="single"/>
        </w:rPr>
        <w:t xml:space="preserve">    </w:t>
      </w:r>
      <w:r>
        <w:rPr>
          <w:rFonts w:hint="eastAsia" w:ascii="宋体" w:hAnsi="宋体"/>
          <w:color w:val="FF0000"/>
          <w:szCs w:val="21"/>
        </w:rPr>
        <w:t>年</w:t>
      </w:r>
      <w:r>
        <w:rPr>
          <w:rFonts w:hint="eastAsia" w:ascii="宋体" w:hAnsi="宋体"/>
          <w:color w:val="FF0000"/>
          <w:szCs w:val="21"/>
          <w:u w:val="single"/>
        </w:rPr>
        <w:t xml:space="preserve">   </w:t>
      </w:r>
      <w:r>
        <w:rPr>
          <w:rFonts w:hint="eastAsia" w:ascii="宋体" w:hAnsi="宋体"/>
          <w:color w:val="FF0000"/>
          <w:szCs w:val="21"/>
        </w:rPr>
        <w:t>月</w:t>
      </w:r>
      <w:r>
        <w:rPr>
          <w:rFonts w:hint="eastAsia" w:ascii="宋体" w:hAnsi="宋体"/>
          <w:color w:val="FF0000"/>
          <w:szCs w:val="21"/>
          <w:u w:val="single"/>
        </w:rPr>
        <w:t xml:space="preserve">   </w:t>
      </w:r>
      <w:r>
        <w:rPr>
          <w:rFonts w:hint="eastAsia" w:ascii="宋体" w:hAnsi="宋体"/>
          <w:color w:val="FF0000"/>
          <w:szCs w:val="21"/>
        </w:rPr>
        <w:t>日</w:t>
      </w:r>
    </w:p>
    <w:p>
      <w:pPr>
        <w:rPr>
          <w:rFonts w:ascii="宋体" w:hAnsi="宋体"/>
          <w:szCs w:val="21"/>
        </w:rPr>
      </w:pPr>
    </w:p>
    <w:p>
      <w:pPr>
        <w:rPr>
          <w:rFonts w:ascii="黑体" w:hAnsi="宋体" w:eastAsia="黑体"/>
        </w:rPr>
      </w:pPr>
      <w:r>
        <w:rPr>
          <w:rFonts w:hint="eastAsia" w:ascii="黑体" w:hAnsi="宋体" w:eastAsia="黑体"/>
          <w:color w:val="FF0000"/>
          <w:highlight w:val="yellow"/>
        </w:rPr>
        <w:t>备注：如联合体投标，投标人一栏须填写联合体所有成员单位的名称。</w:t>
      </w:r>
    </w:p>
    <w:p>
      <w:pPr>
        <w:rPr>
          <w:rFonts w:ascii="宋体" w:hAnsi="宋体"/>
          <w:szCs w:val="21"/>
        </w:rPr>
      </w:pPr>
    </w:p>
    <w:p>
      <w:pPr>
        <w:pStyle w:val="2"/>
      </w:pPr>
    </w:p>
    <w:p>
      <w:pPr>
        <w:pStyle w:val="5"/>
        <w:spacing w:before="120" w:after="120"/>
        <w:jc w:val="center"/>
        <w:rPr>
          <w:rFonts w:ascii="黑体" w:eastAsia="黑体"/>
          <w:b w:val="0"/>
          <w:kern w:val="0"/>
          <w:sz w:val="24"/>
        </w:rPr>
      </w:pPr>
      <w:r>
        <w:rPr>
          <w:rFonts w:hint="eastAsia" w:ascii="黑体" w:eastAsia="黑体"/>
          <w:b w:val="0"/>
          <w:kern w:val="0"/>
          <w:sz w:val="24"/>
        </w:rPr>
        <w:t>三、投标人情况及资格证明文件</w:t>
      </w:r>
    </w:p>
    <w:p>
      <w:pPr>
        <w:ind w:firstLine="2640" w:firstLineChars="1100"/>
        <w:rPr>
          <w:rFonts w:ascii="黑体" w:hAnsi="宋体" w:eastAsia="黑体"/>
          <w:bCs/>
          <w:kern w:val="0"/>
          <w:sz w:val="24"/>
          <w:szCs w:val="32"/>
        </w:rPr>
      </w:pPr>
      <w:r>
        <w:rPr>
          <w:rFonts w:hint="eastAsia" w:ascii="黑体" w:hAnsi="宋体" w:eastAsia="黑体"/>
          <w:bCs/>
          <w:kern w:val="0"/>
          <w:sz w:val="24"/>
          <w:szCs w:val="32"/>
        </w:rPr>
        <w:t>（一）投标人资格证明文件</w:t>
      </w:r>
    </w:p>
    <w:p>
      <w:pPr>
        <w:spacing w:before="120" w:beforeLines="50"/>
        <w:ind w:firstLine="421" w:firstLineChars="200"/>
        <w:rPr>
          <w:b/>
          <w:bCs/>
          <w:color w:val="FF0000"/>
        </w:rPr>
      </w:pPr>
      <w:r>
        <w:rPr>
          <w:rFonts w:hint="eastAsia"/>
          <w:b/>
          <w:bCs/>
          <w:color w:val="FF0000"/>
        </w:rPr>
        <w:t>（特别提示：投标人须按本招标文件第一册第一章招标公告“申请人的资格要求”（即投标人资格要求）提供相关的资格证明资料，未提供或提供不完整、不符合要求的，将作投标无效处理，其中要求提供《政府采购投标及履约承诺函》《供应商基本情况表》且已在规定章节中提供的，此处不重复提供。）</w:t>
      </w:r>
    </w:p>
    <w:p>
      <w:pPr>
        <w:ind w:firstLine="481" w:firstLineChars="200"/>
        <w:rPr>
          <w:b/>
          <w:sz w:val="24"/>
        </w:rPr>
      </w:pPr>
    </w:p>
    <w:p>
      <w:pPr>
        <w:ind w:firstLine="480" w:firstLineChars="200"/>
        <w:rPr>
          <w:rFonts w:ascii="黑体" w:hAnsi="宋体" w:eastAsia="黑体"/>
          <w:bCs/>
          <w:kern w:val="0"/>
          <w:sz w:val="24"/>
          <w:szCs w:val="32"/>
        </w:rPr>
      </w:pPr>
      <w:r>
        <w:rPr>
          <w:rFonts w:hint="eastAsia" w:ascii="黑体" w:hAnsi="宋体" w:eastAsia="黑体"/>
          <w:bCs/>
          <w:kern w:val="0"/>
          <w:sz w:val="24"/>
          <w:szCs w:val="32"/>
        </w:rPr>
        <w:t>（二）中小企业声明函、残疾人福利性单位声明函及监狱企业声明函</w:t>
      </w:r>
    </w:p>
    <w:p>
      <w:pPr>
        <w:jc w:val="left"/>
        <w:rPr>
          <w:rFonts w:ascii="黑体" w:hAnsi="宋体" w:eastAsia="黑体"/>
          <w:bCs/>
          <w:kern w:val="0"/>
          <w:sz w:val="24"/>
          <w:szCs w:val="32"/>
        </w:rPr>
      </w:pP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填写指引：</w:t>
      </w:r>
    </w:p>
    <w:p>
      <w:pPr>
        <w:ind w:firstLine="420" w:firstLineChars="200"/>
        <w:rPr>
          <w:rFonts w:ascii="黑体" w:hAnsi="黑体" w:eastAsia="黑体"/>
          <w:color w:val="FF0000"/>
          <w:szCs w:val="21"/>
        </w:rPr>
      </w:pPr>
      <w:r>
        <w:rPr>
          <w:rFonts w:hint="eastAsia" w:ascii="黑体" w:hAnsi="宋体" w:eastAsia="黑体"/>
          <w:bCs/>
          <w:color w:val="FF0000"/>
          <w:kern w:val="0"/>
          <w:szCs w:val="21"/>
        </w:rPr>
        <w:t>1.该部分内容由投标人根据自身实际情况填写，不符合要求的投标人可以不填写或直接删除相应的声明函。</w:t>
      </w:r>
      <w:r>
        <w:rPr>
          <w:rFonts w:hint="eastAsia" w:ascii="黑体" w:hAnsi="黑体" w:eastAsia="黑体"/>
          <w:color w:val="FF0000"/>
          <w:szCs w:val="21"/>
        </w:rPr>
        <w:t>投标人提供的声明函不属实的，属于提供虚假资料谋取中标，依照《中华人民共和国政府采购法》等国家有关规定追究相应责任。</w:t>
      </w:r>
    </w:p>
    <w:p>
      <w:pPr>
        <w:ind w:firstLine="420" w:firstLineChars="200"/>
        <w:rPr>
          <w:rFonts w:ascii="黑体" w:hAnsi="黑体" w:eastAsia="黑体"/>
          <w:color w:val="FF0000"/>
          <w:szCs w:val="21"/>
        </w:rPr>
      </w:pPr>
      <w:r>
        <w:rPr>
          <w:rFonts w:hint="eastAsia" w:ascii="黑体" w:hAnsi="黑体" w:eastAsia="黑体"/>
          <w:color w:val="FF0000"/>
          <w:szCs w:val="21"/>
        </w:rPr>
        <w:t>2.该部分内容填写需要参考的相关文件：</w:t>
      </w:r>
    </w:p>
    <w:p>
      <w:pPr>
        <w:ind w:firstLine="420" w:firstLineChars="200"/>
        <w:rPr>
          <w:rFonts w:ascii="黑体" w:hAnsi="黑体" w:eastAsia="黑体"/>
          <w:color w:val="FF0000"/>
          <w:szCs w:val="21"/>
        </w:rPr>
      </w:pPr>
      <w:r>
        <w:rPr>
          <w:rFonts w:hint="eastAsia" w:ascii="黑体" w:hAnsi="黑体" w:eastAsia="黑体"/>
          <w:color w:val="FF0000"/>
          <w:szCs w:val="21"/>
        </w:rPr>
        <w:t>(</w:t>
      </w:r>
      <w:r>
        <w:rPr>
          <w:rFonts w:ascii="黑体" w:hAnsi="黑体" w:eastAsia="黑体"/>
          <w:color w:val="FF0000"/>
          <w:szCs w:val="21"/>
        </w:rPr>
        <w:t>1</w:t>
      </w:r>
      <w:r>
        <w:rPr>
          <w:rFonts w:hint="eastAsia" w:ascii="黑体" w:hAnsi="黑体" w:eastAsia="黑体"/>
          <w:color w:val="FF0000"/>
          <w:szCs w:val="21"/>
        </w:rPr>
        <w:t>)财政部《政府采购促进中小企业发展管理办法》（财库〔2020〕46号）</w:t>
      </w:r>
    </w:p>
    <w:p>
      <w:pPr>
        <w:ind w:firstLine="420" w:firstLineChars="200"/>
        <w:rPr>
          <w:rFonts w:ascii="黑体" w:hAnsi="黑体" w:eastAsia="黑体"/>
          <w:color w:val="FF0000"/>
          <w:szCs w:val="21"/>
        </w:rPr>
      </w:pPr>
      <w:r>
        <w:rPr>
          <w:rFonts w:hint="eastAsia" w:ascii="黑体" w:hAnsi="黑体" w:eastAsia="黑体"/>
          <w:color w:val="FF0000"/>
          <w:szCs w:val="21"/>
        </w:rPr>
        <w:t>(</w:t>
      </w:r>
      <w:r>
        <w:rPr>
          <w:rFonts w:ascii="黑体" w:hAnsi="黑体" w:eastAsia="黑体"/>
          <w:color w:val="FF0000"/>
          <w:szCs w:val="21"/>
        </w:rPr>
        <w:t>2</w:t>
      </w:r>
      <w:r>
        <w:rPr>
          <w:rFonts w:hint="eastAsia" w:ascii="黑体" w:hAnsi="黑体" w:eastAsia="黑体"/>
          <w:color w:val="FF0000"/>
          <w:szCs w:val="21"/>
        </w:rPr>
        <w:t>)</w:t>
      </w:r>
      <w:bookmarkStart w:id="43" w:name="_Hlk71925120"/>
      <w:r>
        <w:rPr>
          <w:rFonts w:hint="eastAsia" w:ascii="黑体" w:hAnsi="黑体" w:eastAsia="黑体"/>
          <w:color w:val="FF0000"/>
          <w:szCs w:val="21"/>
        </w:rPr>
        <w:t>《工业和信息化部、国家统计局、国家发展和改革委员会、财政部关于印发中小企业划型标准规定的通知》（工信部联企业〔2011〕300号</w:t>
      </w:r>
      <w:bookmarkEnd w:id="43"/>
      <w:r>
        <w:rPr>
          <w:rFonts w:hint="eastAsia" w:ascii="黑体" w:hAnsi="黑体" w:eastAsia="黑体"/>
          <w:color w:val="FF0000"/>
          <w:szCs w:val="21"/>
        </w:rPr>
        <w:t>）</w:t>
      </w:r>
    </w:p>
    <w:p>
      <w:pPr>
        <w:ind w:firstLine="420" w:firstLineChars="200"/>
        <w:rPr>
          <w:rFonts w:ascii="黑体" w:hAnsi="黑体" w:eastAsia="黑体"/>
          <w:color w:val="FF0000"/>
          <w:szCs w:val="21"/>
        </w:rPr>
      </w:pPr>
      <w:r>
        <w:rPr>
          <w:rFonts w:hint="eastAsia" w:ascii="黑体" w:hAnsi="黑体" w:eastAsia="黑体"/>
          <w:color w:val="FF0000"/>
          <w:szCs w:val="21"/>
        </w:rPr>
        <w:t>(3)《统计上大中小微型企业划分办法(2017)》（国统字〔2017〕213号）</w:t>
      </w:r>
    </w:p>
    <w:p>
      <w:pPr>
        <w:ind w:firstLine="420" w:firstLineChars="200"/>
        <w:rPr>
          <w:rFonts w:ascii="黑体" w:hAnsi="黑体" w:eastAsia="黑体"/>
          <w:color w:val="FF0000"/>
          <w:szCs w:val="21"/>
        </w:rPr>
      </w:pPr>
      <w:r>
        <w:rPr>
          <w:rFonts w:hint="eastAsia" w:ascii="黑体" w:hAnsi="黑体" w:eastAsia="黑体"/>
          <w:color w:val="FF0000"/>
          <w:szCs w:val="21"/>
        </w:rPr>
        <w:t>(4)《关于促进残疾人就业政府采购政策的通知》（财库〔2017〕141号）</w:t>
      </w:r>
    </w:p>
    <w:p>
      <w:pPr>
        <w:ind w:firstLine="420" w:firstLineChars="200"/>
        <w:rPr>
          <w:rFonts w:ascii="黑体" w:hAnsi="黑体" w:eastAsia="黑体"/>
          <w:color w:val="FF0000"/>
          <w:szCs w:val="21"/>
        </w:rPr>
      </w:pPr>
      <w:r>
        <w:rPr>
          <w:rFonts w:hint="eastAsia" w:ascii="黑体" w:hAnsi="黑体" w:eastAsia="黑体"/>
          <w:color w:val="FF0000"/>
          <w:szCs w:val="21"/>
        </w:rPr>
        <w:t>(5)《关于政府采购支持监狱企业发展有关问题的通知》（财库〔2014〕68号）</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3.请依照提供的格式和内容填写声明函，不要随意变更格式；声明函不需要盖章或签字</w:t>
      </w:r>
      <w:r>
        <w:rPr>
          <w:rFonts w:hint="eastAsia" w:ascii="黑体" w:hAnsi="黑体" w:eastAsia="黑体"/>
          <w:color w:val="FF0000"/>
          <w:szCs w:val="21"/>
        </w:rPr>
        <w:t>。</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4.声明函具体填写要求：</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（1）声明是中小企业须填写《中小企业声明函》的以下内容：</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第一处，在“单位名称”下划线处如实填写采购人名称（深圳公共资源交易中心不是本项目的采购人，而是组织实施机构）；</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二处，在“项目名称”下划线处如实填写采购文件中确定的项目名称。对于分包方式面向中小企业采购的项目，应标明中小企业的具体分包内容；对于以联合体方式面向中小企业采购的项目，应标明联合体中中小企业所承担的具体内容；</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三处，在“标的名称”下划线处填写所采购标的具体名称（以招标文件第一册第三章用户需求书“服务需求明细”的“服务需求名称（标的名称）”一栏为准）；如果涉及多项服务（标的）为同一企业承接的，“标的名称”下划线处可以如实填写多项服务；对于分包方式面向中小企业采购的项目，“标的名称”应填写采购文件中注明的分包给中小企业的采购标的名称；对于以联合体方式面向中小企业采购的项目“标的名称”应填写采购文件中注明的联合体中中小企业承担的采购标的名称。</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四处，在“采购文件中明确的所属行业”下划线处填写采购标的对应的中小企业划分标准所属行业（所属行业以招标文件第一册第三章用户需求书“服务需求明细”的“标的所属行业”一栏为准），并应确保与采购标的涉及的服务承接商本身的所属行业保持一致。对于分包方式面向中小企业采购的项目，“采购文件中明确的所属行业”应按照采购文件中注明的分包给中小企业的采购标的所属行业填写，并应确保与该分包部分采购标的涉及的服务承接商本身的所属行业保持一致；对于以联合体方式面向中小企业采购的项目，“采购文件中明确的所属行业”应按照采购文件中注明的联合体中中小企业承担的采购标的所属行业填写，并应确保与该分包部分采购标的涉及的服务承接商本身的所属行业保持一致；</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第五处，在“企业名称”下划线处如实填写</w:t>
      </w:r>
      <w:r>
        <w:rPr>
          <w:rFonts w:hint="eastAsia" w:ascii="黑体" w:hAnsi="宋体" w:eastAsia="黑体"/>
          <w:b/>
          <w:color w:val="FF0000"/>
          <w:kern w:val="0"/>
          <w:szCs w:val="21"/>
        </w:rPr>
        <w:t>服务承接商名称。</w:t>
      </w:r>
      <w:r>
        <w:rPr>
          <w:rFonts w:hint="eastAsia" w:ascii="黑体" w:hAnsi="宋体" w:eastAsia="黑体"/>
          <w:bCs/>
          <w:color w:val="FF0000"/>
          <w:kern w:val="0"/>
          <w:szCs w:val="21"/>
        </w:rPr>
        <w:t>对于分包方式面向中小企业采购的项目，“企业名称”应填写分包部分采购标的对应的服务承接商；对于以联合体方式面向中小企业采购的项目，“企业名称”应填写联合体中中小企业承担采购标的对应的服务承接商；</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六、七、八处，在“从业人员”“营业收入”“资产总额”下划线处如实填写从业人员、营业收入、资产总额。从业人员、资产总额指标以上年度末数据为依据，营业收入指标以上年度累计数据为依据。无上年度数据的新成立企业可不填报。</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九处，在“中型企业、小型企业、微型企业”下划线处应依据企业上年度从业人员、营业收入、资产总额等指标，按照《中小企业划型标准规定》（工信部联企业〔2011〕300号）、《金融业企业划型标准规定》（银发〔2015〕309号），判断《中小企业声明函》载明的服务承接商是否属于采购文件所属行业的中型企业/小型企业/微型企业。</w:t>
      </w:r>
    </w:p>
    <w:p>
      <w:pPr>
        <w:pStyle w:val="194"/>
        <w:ind w:firstLine="420" w:firstLineChars="200"/>
        <w:rPr>
          <w:rFonts w:ascii="黑体" w:hAnsi="宋体" w:eastAsia="黑体"/>
          <w:bCs/>
          <w:color w:val="FF0000"/>
          <w:kern w:val="0"/>
          <w:szCs w:val="21"/>
        </w:rPr>
      </w:pPr>
      <w:r>
        <w:rPr>
          <w:rFonts w:hint="eastAsia" w:ascii="黑体" w:hAnsi="宋体" w:eastAsia="黑体"/>
          <w:bCs/>
          <w:color w:val="FF0000"/>
          <w:kern w:val="0"/>
          <w:szCs w:val="21"/>
        </w:rPr>
        <w:t>（2）对于已纳入统计部门统计范围的企业，所属行业、从业人员、营业收入、资产总额、规模类型应与统计部门报表保持一致。对于未纳入统计部门统计范围的企业，应对照《国民经济行业分类》确定所属行业，当企业从事两种以上的经济活动时，按照企业从事的主要活动确定所属行业；从业人员、营业收入、资产总额应按照上年度末实际情况填报，并应确保在争议纠纷处理时，可提供相关数据的来源依据。</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（3）事业单位、社会组织等非企业主体不享受中小企业扶持政策。</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（4）声明是残疾人福利性单位须填写《残疾人福利性单位声明函》的相关内容，具体参照以上《中小企业声明函》填写要求执行。</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（5）声明是监狱企业须填写《监狱企业声明函》的三项内容（填写位置的字体已加粗），具体参照以上《中小企业声明函》填写要求执行。</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5.本项目属于服务类项目，如包含硬件设备、产品等货物采购的，不再对其中涉及的货物制造商作出要求。</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6.若本项目属于专门面向中小企业、残疾人福利性单位或监狱企业，则声明函有效性由采购人或代理机构判定，如判定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7.采购人、代理机构、评审委员会在依法进行资格审查、评审过程中，发现《中小企业声明函》存在明显笔误或含义不明确的，应按规定要求供应商进行澄清、说明或补正。澄清修改后符合中小企业条件的供应商，可以享受中小企业扶持政策。</w:t>
      </w:r>
    </w:p>
    <w:p>
      <w:pPr>
        <w:pStyle w:val="2"/>
      </w:pPr>
    </w:p>
    <w:p>
      <w:pPr>
        <w:numPr>
          <w:ilvl w:val="0"/>
          <w:numId w:val="14"/>
        </w:numPr>
        <w:jc w:val="center"/>
        <w:rPr>
          <w:b/>
          <w:sz w:val="24"/>
        </w:rPr>
      </w:pPr>
      <w:r>
        <w:rPr>
          <w:b/>
          <w:sz w:val="24"/>
        </w:rPr>
        <w:t>中小企业声明函（</w:t>
      </w:r>
      <w:r>
        <w:rPr>
          <w:rFonts w:hint="eastAsia"/>
          <w:b/>
          <w:sz w:val="24"/>
        </w:rPr>
        <w:t>服务</w:t>
      </w:r>
      <w:r>
        <w:rPr>
          <w:b/>
          <w:sz w:val="24"/>
        </w:rPr>
        <w:t>）</w:t>
      </w:r>
    </w:p>
    <w:p>
      <w:pPr>
        <w:pStyle w:val="2"/>
      </w:pP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本公司（联合体）郑重声明，根据《政府采购促进中小企业发展管理办法》（财库﹝2020﹞46号）的规定，本公司（联合体）参加</w:t>
      </w:r>
      <w:r>
        <w:rPr>
          <w:rFonts w:hint="eastAsia" w:asciiTheme="minorEastAsia" w:hAnsiTheme="minorEastAsia" w:eastAsiaTheme="minorEastAsia" w:cstheme="minorEastAsia"/>
          <w:b/>
          <w:bCs/>
          <w:i/>
          <w:iCs/>
          <w:szCs w:val="21"/>
          <w:u w:val="single"/>
        </w:rPr>
        <w:t xml:space="preserve">    （单位名称）    </w:t>
      </w:r>
      <w:r>
        <w:rPr>
          <w:rFonts w:hint="eastAsia" w:asciiTheme="minorEastAsia" w:hAnsiTheme="minorEastAsia" w:eastAsiaTheme="minorEastAsia" w:cstheme="minorEastAsia"/>
          <w:szCs w:val="21"/>
        </w:rPr>
        <w:t>的</w:t>
      </w:r>
      <w:r>
        <w:rPr>
          <w:rFonts w:hint="eastAsia" w:asciiTheme="minorEastAsia" w:hAnsiTheme="minorEastAsia" w:eastAsiaTheme="minorEastAsia" w:cstheme="minorEastAsia"/>
          <w:b/>
          <w:bCs/>
          <w:i/>
          <w:iCs/>
          <w:szCs w:val="21"/>
          <w:u w:val="single"/>
        </w:rPr>
        <w:t xml:space="preserve">    （项目名称）    </w:t>
      </w:r>
      <w:r>
        <w:rPr>
          <w:rFonts w:hint="eastAsia" w:asciiTheme="minorEastAsia" w:hAnsiTheme="minorEastAsia" w:eastAsiaTheme="minorEastAsia" w:cstheme="minorEastAsia"/>
          <w:szCs w:val="21"/>
        </w:rPr>
        <w:t>采购活动，服务全部由符合政策要求的中小企业承接。相关企业（含联合体中的中小企业、签订分包意向协议的中小企业）的具体情况如下：</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r>
        <w:rPr>
          <w:rFonts w:hint="eastAsia" w:asciiTheme="minorEastAsia" w:hAnsiTheme="minorEastAsia" w:eastAsiaTheme="minorEastAsia" w:cstheme="minorEastAsia"/>
          <w:b/>
          <w:bCs/>
          <w:i/>
          <w:iCs/>
          <w:szCs w:val="21"/>
          <w:u w:val="single"/>
        </w:rPr>
        <w:t xml:space="preserve">    （标的名称）     </w:t>
      </w:r>
      <w:r>
        <w:rPr>
          <w:rFonts w:hint="eastAsia" w:asciiTheme="minorEastAsia" w:hAnsiTheme="minorEastAsia" w:eastAsiaTheme="minorEastAsia" w:cstheme="minorEastAsia"/>
          <w:szCs w:val="21"/>
        </w:rPr>
        <w:t>，属于</w:t>
      </w:r>
      <w:r>
        <w:rPr>
          <w:rFonts w:hint="eastAsia" w:asciiTheme="minorEastAsia" w:hAnsiTheme="minorEastAsia" w:eastAsiaTheme="minorEastAsia" w:cstheme="minorEastAsia"/>
          <w:b/>
          <w:bCs/>
          <w:i/>
          <w:iCs/>
          <w:szCs w:val="21"/>
          <w:u w:val="single"/>
        </w:rPr>
        <w:t xml:space="preserve">    （采购文件中明确的所属行业）    </w:t>
      </w:r>
      <w:r>
        <w:rPr>
          <w:rFonts w:hint="eastAsia" w:asciiTheme="minorEastAsia" w:hAnsiTheme="minorEastAsia" w:eastAsiaTheme="minorEastAsia" w:cstheme="minorEastAsia"/>
          <w:szCs w:val="21"/>
        </w:rPr>
        <w:t>行业；承接企业为</w:t>
      </w:r>
      <w:r>
        <w:rPr>
          <w:rFonts w:hint="eastAsia" w:asciiTheme="minorEastAsia" w:hAnsiTheme="minorEastAsia" w:eastAsiaTheme="minorEastAsia" w:cstheme="minorEastAsia"/>
          <w:b/>
          <w:bCs/>
          <w:i/>
          <w:iCs/>
          <w:szCs w:val="21"/>
          <w:u w:val="single"/>
        </w:rPr>
        <w:t xml:space="preserve">    （企业名称，要求承接企业本身所属行业应当与招标文件要求的行业相一致）    </w:t>
      </w:r>
      <w:r>
        <w:rPr>
          <w:rFonts w:hint="eastAsia" w:asciiTheme="minorEastAsia" w:hAnsiTheme="minorEastAsia" w:eastAsiaTheme="minorEastAsia" w:cstheme="minorEastAsia"/>
          <w:szCs w:val="21"/>
        </w:rPr>
        <w:t>，从业人员</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人，营业收入为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万元，资产总额为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万元，属于</w:t>
      </w:r>
      <w:r>
        <w:rPr>
          <w:rFonts w:hint="eastAsia" w:asciiTheme="minorEastAsia" w:hAnsiTheme="minorEastAsia" w:eastAsiaTheme="minorEastAsia" w:cstheme="minorEastAsia"/>
          <w:b/>
          <w:bCs/>
          <w:i/>
          <w:iCs/>
          <w:szCs w:val="21"/>
          <w:u w:val="single"/>
        </w:rPr>
        <w:t xml:space="preserve">    （中型企业、小型企业、微型企业）    </w:t>
      </w:r>
      <w:r>
        <w:rPr>
          <w:rFonts w:hint="eastAsia" w:asciiTheme="minorEastAsia" w:hAnsiTheme="minorEastAsia" w:eastAsiaTheme="minorEastAsia" w:cstheme="minorEastAsia"/>
          <w:szCs w:val="21"/>
        </w:rPr>
        <w:t>；</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b/>
          <w:bCs/>
          <w:i/>
          <w:iCs/>
          <w:szCs w:val="21"/>
          <w:u w:val="single"/>
        </w:rPr>
        <w:t xml:space="preserve">    （标的名称）     </w:t>
      </w:r>
      <w:r>
        <w:rPr>
          <w:rFonts w:hint="eastAsia" w:asciiTheme="minorEastAsia" w:hAnsiTheme="minorEastAsia" w:eastAsiaTheme="minorEastAsia" w:cstheme="minorEastAsia"/>
          <w:szCs w:val="21"/>
        </w:rPr>
        <w:t>，属于</w:t>
      </w:r>
      <w:r>
        <w:rPr>
          <w:rFonts w:hint="eastAsia" w:asciiTheme="minorEastAsia" w:hAnsiTheme="minorEastAsia" w:eastAsiaTheme="minorEastAsia" w:cstheme="minorEastAsia"/>
          <w:b/>
          <w:bCs/>
          <w:i/>
          <w:iCs/>
          <w:szCs w:val="21"/>
          <w:u w:val="single"/>
        </w:rPr>
        <w:t xml:space="preserve">    （采购文件中明确的所属行业）    </w:t>
      </w:r>
      <w:r>
        <w:rPr>
          <w:rFonts w:hint="eastAsia" w:asciiTheme="minorEastAsia" w:hAnsiTheme="minorEastAsia" w:eastAsiaTheme="minorEastAsia" w:cstheme="minorEastAsia"/>
          <w:szCs w:val="21"/>
        </w:rPr>
        <w:t>行业；承接企业为</w:t>
      </w:r>
      <w:r>
        <w:rPr>
          <w:rFonts w:hint="eastAsia" w:asciiTheme="minorEastAsia" w:hAnsiTheme="minorEastAsia" w:eastAsiaTheme="minorEastAsia" w:cstheme="minorEastAsia"/>
          <w:b/>
          <w:bCs/>
          <w:i/>
          <w:iCs/>
          <w:szCs w:val="21"/>
          <w:u w:val="single"/>
        </w:rPr>
        <w:t xml:space="preserve">    （企业名称，要求承接企业本身所属行业应当与招标文件要求的行业相一致）    </w:t>
      </w:r>
      <w:r>
        <w:rPr>
          <w:rFonts w:hint="eastAsia" w:asciiTheme="minorEastAsia" w:hAnsiTheme="minorEastAsia" w:eastAsiaTheme="minorEastAsia" w:cstheme="minorEastAsia"/>
          <w:szCs w:val="21"/>
        </w:rPr>
        <w:t>，从业人员</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人，营业收入为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万元，资产总额为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万元，属于</w:t>
      </w:r>
      <w:r>
        <w:rPr>
          <w:rFonts w:hint="eastAsia" w:asciiTheme="minorEastAsia" w:hAnsiTheme="minorEastAsia" w:eastAsiaTheme="minorEastAsia" w:cstheme="minorEastAsia"/>
          <w:b/>
          <w:bCs/>
          <w:i/>
          <w:iCs/>
          <w:szCs w:val="21"/>
          <w:u w:val="single"/>
        </w:rPr>
        <w:t xml:space="preserve">    （中型企业、小型企业、微型企业）    </w:t>
      </w:r>
      <w:r>
        <w:rPr>
          <w:rFonts w:hint="eastAsia" w:asciiTheme="minorEastAsia" w:hAnsiTheme="minorEastAsia" w:eastAsiaTheme="minorEastAsia" w:cstheme="minorEastAsia"/>
          <w:szCs w:val="21"/>
        </w:rPr>
        <w:t>；</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以上企业，不属于大企业的分支机构，不存在控股股东为大企业的情形，也不存在与大企业的负责人为同一人的情形。</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本企业对上述声明内容的真实性负责。如有虚假，将依法承担相应责任。</w:t>
      </w:r>
    </w:p>
    <w:p>
      <w:pPr>
        <w:spacing w:line="360" w:lineRule="auto"/>
        <w:ind w:firstLine="420" w:firstLineChars="200"/>
        <w:rPr>
          <w:rFonts w:asciiTheme="minorEastAsia" w:hAnsiTheme="minorEastAsia" w:eastAsiaTheme="minorEastAsia" w:cstheme="minorEastAsia"/>
          <w:szCs w:val="21"/>
        </w:rPr>
      </w:pPr>
      <w:bookmarkStart w:id="44" w:name="_Hlk73562275"/>
      <w:r>
        <w:rPr>
          <w:rFonts w:hint="eastAsia" w:asciiTheme="minorEastAsia" w:hAnsiTheme="minorEastAsia" w:eastAsiaTheme="minorEastAsia" w:cstheme="minorEastAsia"/>
          <w:szCs w:val="21"/>
        </w:rPr>
        <w:t>本投标人已知悉《政府采购促进中小企业发展管理办法》（财库〔2020〕 46 号）、《中小企业划型标准规定》（工信部联企〔2011〕 300 号）、《统计上大中小微型企业划分办法（2017）》等规定，承诺提供的声明函内容是真实的，并知悉根据《政府采购促进中小企业发展管理办法》（财库〔2020〕46 号）第二十条规定，投标人按照本办法规定提供声明函内容不实的，属于提供虚假材料谋取中标，依照《政府采购法》等政府采购有关法律法规规定追究相应责任。</w:t>
      </w:r>
      <w:bookmarkEnd w:id="44"/>
    </w:p>
    <w:p>
      <w:pPr>
        <w:ind w:firstLine="420" w:firstLineChars="200"/>
      </w:pPr>
    </w:p>
    <w:p>
      <w:pPr>
        <w:jc w:val="center"/>
        <w:rPr>
          <w:b/>
          <w:sz w:val="24"/>
        </w:rPr>
      </w:pPr>
      <w:r>
        <w:rPr>
          <w:rFonts w:hint="eastAsia"/>
          <w:b/>
          <w:sz w:val="24"/>
        </w:rPr>
        <w:t>2.残疾人福利性单位声明函（服务类）</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本单位郑重声明，根据《财政部 民政部 中国残疾人联合会关于促进残疾人就业政府采购政策的通知》（财库〔2017〕141号）的规定，本单位为符合条件的残疾人福利性单位，且本单位参加</w:t>
      </w:r>
      <w:r>
        <w:rPr>
          <w:rFonts w:hint="eastAsia" w:asciiTheme="minorEastAsia" w:hAnsiTheme="minorEastAsia" w:eastAsiaTheme="minorEastAsia" w:cstheme="minorEastAsia"/>
          <w:b/>
          <w:bCs/>
          <w:i/>
          <w:iCs/>
          <w:szCs w:val="21"/>
          <w:u w:val="single"/>
        </w:rPr>
        <w:t xml:space="preserve">    （单位名称）    </w:t>
      </w:r>
      <w:r>
        <w:rPr>
          <w:rFonts w:hint="eastAsia" w:asciiTheme="minorEastAsia" w:hAnsiTheme="minorEastAsia" w:eastAsiaTheme="minorEastAsia" w:cstheme="minorEastAsia"/>
          <w:szCs w:val="21"/>
        </w:rPr>
        <w:t>单位的</w:t>
      </w:r>
      <w:r>
        <w:rPr>
          <w:rFonts w:hint="eastAsia" w:asciiTheme="minorEastAsia" w:hAnsiTheme="minorEastAsia" w:eastAsiaTheme="minorEastAsia" w:cstheme="minorEastAsia"/>
          <w:b/>
          <w:bCs/>
          <w:i/>
          <w:iCs/>
          <w:szCs w:val="21"/>
          <w:u w:val="single"/>
        </w:rPr>
        <w:t xml:space="preserve">    （项目名称）    </w:t>
      </w:r>
      <w:r>
        <w:rPr>
          <w:rFonts w:hint="eastAsia" w:asciiTheme="minorEastAsia" w:hAnsiTheme="minorEastAsia" w:eastAsiaTheme="minorEastAsia" w:cstheme="minorEastAsia"/>
          <w:szCs w:val="21"/>
        </w:rPr>
        <w:t>项目采购活动由本单位提供服务。</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本单位对上述声明的真实性负责。如有虚假，将依法承担相应责任。</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本投标人已知悉《财政部民政部中国残疾人联合会关于促进残疾人就业政府采购政策的通知》（财库〔2017〕141号）的规定，承诺提供的声明函内容是真实的，如提供声明函内容不实，则依法追究相关法律责任。</w:t>
      </w:r>
    </w:p>
    <w:p>
      <w:pPr>
        <w:ind w:firstLine="420" w:firstLineChars="200"/>
        <w:rPr>
          <w:rFonts w:ascii="宋体" w:hAnsi="宋体"/>
          <w:szCs w:val="21"/>
        </w:rPr>
      </w:pPr>
    </w:p>
    <w:p>
      <w:pPr>
        <w:ind w:firstLine="420" w:firstLineChars="200"/>
        <w:rPr>
          <w:rFonts w:ascii="宋体" w:hAnsi="宋体"/>
          <w:szCs w:val="21"/>
        </w:rPr>
      </w:pPr>
    </w:p>
    <w:p>
      <w:pPr>
        <w:ind w:firstLine="420" w:firstLineChars="200"/>
        <w:rPr>
          <w:rFonts w:ascii="宋体" w:hAnsi="宋体"/>
          <w:szCs w:val="21"/>
        </w:rPr>
      </w:pPr>
    </w:p>
    <w:p>
      <w:pPr>
        <w:jc w:val="center"/>
        <w:rPr>
          <w:b/>
          <w:sz w:val="24"/>
        </w:rPr>
      </w:pPr>
      <w:r>
        <w:rPr>
          <w:rFonts w:hint="eastAsia"/>
          <w:b/>
          <w:sz w:val="24"/>
        </w:rPr>
        <w:t>3.监狱企业声明函【服务类，监狱企业如需享受优惠政策，还须另行提供省级以上监狱管理局、戒毒管理局（含新疆生产建设兵团）出具的监狱企业证明文件】</w:t>
      </w:r>
    </w:p>
    <w:p>
      <w:pPr>
        <w:ind w:firstLine="420" w:firstLineChars="200"/>
        <w:rPr>
          <w:rFonts w:ascii="宋体" w:hAnsi="宋体"/>
          <w:szCs w:val="21"/>
        </w:rPr>
      </w:pPr>
      <w:r>
        <w:rPr>
          <w:rFonts w:hint="eastAsia" w:ascii="宋体" w:hAnsi="宋体"/>
          <w:szCs w:val="21"/>
        </w:rPr>
        <w:t>本投标人郑重声明，根据《财政部司法部关于政府采购支持监狱企业发展有关问题的通知》（财库〔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号）的规定，本投标人</w:t>
      </w:r>
      <w:r>
        <w:rPr>
          <w:rFonts w:ascii="宋体" w:hAnsi="宋体" w:cstheme="minorBidi"/>
          <w:szCs w:val="21"/>
        </w:rPr>
        <w:t>参加</w:t>
      </w:r>
      <w:r>
        <w:rPr>
          <w:rFonts w:ascii="宋体" w:hAnsi="宋体"/>
          <w:b/>
          <w:bCs/>
          <w:szCs w:val="21"/>
          <w:u w:val="single"/>
        </w:rPr>
        <w:t>（</w:t>
      </w:r>
      <w:r>
        <w:rPr>
          <w:rFonts w:hint="eastAsia" w:ascii="宋体" w:hAnsi="宋体"/>
          <w:b/>
          <w:bCs/>
          <w:szCs w:val="21"/>
          <w:u w:val="single"/>
        </w:rPr>
        <w:t>采购人</w:t>
      </w:r>
      <w:r>
        <w:rPr>
          <w:rFonts w:ascii="宋体" w:hAnsi="宋体"/>
          <w:b/>
          <w:bCs/>
          <w:szCs w:val="21"/>
          <w:u w:val="single"/>
        </w:rPr>
        <w:t>名称）</w:t>
      </w:r>
      <w:r>
        <w:rPr>
          <w:rFonts w:ascii="宋体" w:hAnsi="宋体"/>
          <w:szCs w:val="21"/>
        </w:rPr>
        <w:t>的</w:t>
      </w:r>
      <w:r>
        <w:rPr>
          <w:rFonts w:ascii="宋体" w:hAnsi="宋体"/>
          <w:b/>
          <w:bCs/>
          <w:szCs w:val="21"/>
          <w:u w:val="single"/>
        </w:rPr>
        <w:t>（项目名称）</w:t>
      </w:r>
      <w:r>
        <w:rPr>
          <w:rFonts w:ascii="宋体" w:hAnsi="宋体"/>
          <w:szCs w:val="21"/>
        </w:rPr>
        <w:t>采购活动，</w:t>
      </w:r>
      <w:r>
        <w:rPr>
          <w:rFonts w:hint="eastAsia" w:ascii="宋体" w:hAnsi="宋体"/>
          <w:szCs w:val="21"/>
        </w:rPr>
        <w:t>服务</w:t>
      </w:r>
      <w:r>
        <w:rPr>
          <w:rFonts w:ascii="宋体" w:hAnsi="宋体"/>
          <w:szCs w:val="21"/>
        </w:rPr>
        <w:t>全部由符合政策要求的</w:t>
      </w:r>
      <w:r>
        <w:rPr>
          <w:rFonts w:hint="eastAsia" w:ascii="宋体" w:hAnsi="宋体"/>
          <w:szCs w:val="21"/>
        </w:rPr>
        <w:t>监狱企业承接</w:t>
      </w:r>
      <w:r>
        <w:rPr>
          <w:rFonts w:ascii="宋体" w:hAnsi="宋体"/>
          <w:szCs w:val="21"/>
        </w:rPr>
        <w:t>。相关</w:t>
      </w:r>
      <w:r>
        <w:rPr>
          <w:rFonts w:hint="eastAsia" w:ascii="宋体" w:hAnsi="宋体"/>
          <w:szCs w:val="21"/>
        </w:rPr>
        <w:t>监狱企业</w:t>
      </w:r>
      <w:r>
        <w:rPr>
          <w:rFonts w:ascii="宋体" w:hAnsi="宋体"/>
          <w:szCs w:val="21"/>
        </w:rPr>
        <w:t>的具体情况如下：</w:t>
      </w:r>
    </w:p>
    <w:p>
      <w:pPr>
        <w:ind w:firstLine="420" w:firstLineChars="200"/>
        <w:rPr>
          <w:rFonts w:ascii="宋体" w:hAnsi="宋体"/>
          <w:szCs w:val="21"/>
        </w:rPr>
      </w:pPr>
      <w:r>
        <w:rPr>
          <w:rFonts w:ascii="宋体" w:hAnsi="宋体"/>
          <w:szCs w:val="21"/>
        </w:rPr>
        <w:t>1.</w:t>
      </w:r>
      <w:r>
        <w:rPr>
          <w:rFonts w:ascii="宋体" w:hAnsi="宋体"/>
          <w:b/>
          <w:bCs/>
          <w:szCs w:val="21"/>
          <w:u w:val="single"/>
        </w:rPr>
        <w:t xml:space="preserve"> </w:t>
      </w:r>
      <w:r>
        <w:rPr>
          <w:rFonts w:ascii="宋体" w:hAnsi="宋体"/>
          <w:b/>
          <w:bCs/>
          <w:i/>
          <w:iCs/>
          <w:szCs w:val="21"/>
          <w:u w:val="single"/>
        </w:rPr>
        <w:t>（标的名称</w:t>
      </w:r>
      <w:r>
        <w:rPr>
          <w:rFonts w:ascii="宋体" w:hAnsi="宋体"/>
          <w:b/>
          <w:bCs/>
          <w:szCs w:val="21"/>
          <w:u w:val="single"/>
        </w:rPr>
        <w:t>）</w:t>
      </w:r>
      <w:r>
        <w:rPr>
          <w:rFonts w:ascii="宋体" w:hAnsi="宋体"/>
          <w:szCs w:val="21"/>
        </w:rPr>
        <w:t xml:space="preserve"> </w:t>
      </w:r>
      <w:r>
        <w:rPr>
          <w:rFonts w:hint="eastAsia" w:ascii="宋体" w:hAnsi="宋体"/>
          <w:szCs w:val="21"/>
        </w:rPr>
        <w:t>，承接单位</w:t>
      </w:r>
      <w:r>
        <w:rPr>
          <w:rFonts w:ascii="宋体" w:hAnsi="宋体"/>
          <w:szCs w:val="21"/>
        </w:rPr>
        <w:t>为</w:t>
      </w:r>
      <w:r>
        <w:rPr>
          <w:rFonts w:ascii="宋体" w:hAnsi="宋体"/>
          <w:b/>
          <w:bCs/>
          <w:i/>
          <w:iCs/>
          <w:szCs w:val="21"/>
          <w:u w:val="single"/>
        </w:rPr>
        <w:t>（</w:t>
      </w:r>
      <w:r>
        <w:rPr>
          <w:rFonts w:hint="eastAsia" w:ascii="宋体" w:hAnsi="宋体"/>
          <w:b/>
          <w:bCs/>
          <w:i/>
          <w:iCs/>
          <w:szCs w:val="21"/>
          <w:u w:val="single"/>
        </w:rPr>
        <w:t>企业</w:t>
      </w:r>
      <w:r>
        <w:rPr>
          <w:rFonts w:ascii="宋体" w:hAnsi="宋体"/>
          <w:b/>
          <w:bCs/>
          <w:i/>
          <w:iCs/>
          <w:szCs w:val="21"/>
          <w:u w:val="single"/>
        </w:rPr>
        <w:t>名称）</w:t>
      </w:r>
      <w:r>
        <w:rPr>
          <w:rFonts w:ascii="宋体" w:hAnsi="宋体"/>
          <w:szCs w:val="21"/>
        </w:rPr>
        <w:t>，属于</w:t>
      </w:r>
      <w:r>
        <w:rPr>
          <w:rFonts w:hint="eastAsia" w:ascii="宋体" w:hAnsi="宋体"/>
          <w:b/>
          <w:bCs/>
          <w:i/>
          <w:iCs/>
          <w:szCs w:val="21"/>
          <w:u w:val="single"/>
        </w:rPr>
        <w:t>监狱企业</w:t>
      </w:r>
      <w:r>
        <w:rPr>
          <w:rFonts w:ascii="宋体" w:hAnsi="宋体"/>
          <w:szCs w:val="21"/>
        </w:rPr>
        <w:t>；</w:t>
      </w:r>
    </w:p>
    <w:p>
      <w:pPr>
        <w:ind w:firstLine="420" w:firstLineChars="200"/>
        <w:rPr>
          <w:rFonts w:ascii="宋体" w:hAnsi="宋体"/>
          <w:szCs w:val="21"/>
        </w:rPr>
      </w:pPr>
      <w:r>
        <w:rPr>
          <w:rFonts w:ascii="宋体" w:hAnsi="宋体"/>
          <w:szCs w:val="21"/>
        </w:rPr>
        <w:t>2.</w:t>
      </w:r>
      <w:r>
        <w:rPr>
          <w:rFonts w:ascii="宋体" w:hAnsi="宋体"/>
          <w:b/>
          <w:bCs/>
          <w:szCs w:val="21"/>
          <w:u w:val="single"/>
        </w:rPr>
        <w:t xml:space="preserve"> </w:t>
      </w:r>
      <w:r>
        <w:rPr>
          <w:rFonts w:ascii="宋体" w:hAnsi="宋体"/>
          <w:b/>
          <w:bCs/>
          <w:i/>
          <w:iCs/>
          <w:szCs w:val="21"/>
          <w:u w:val="single"/>
        </w:rPr>
        <w:t>（标的名称）</w:t>
      </w:r>
      <w:r>
        <w:rPr>
          <w:rFonts w:ascii="宋体" w:hAnsi="宋体"/>
          <w:i/>
          <w:iCs/>
          <w:szCs w:val="21"/>
        </w:rPr>
        <w:t xml:space="preserve"> </w:t>
      </w:r>
      <w:r>
        <w:rPr>
          <w:rFonts w:hint="eastAsia" w:ascii="宋体" w:hAnsi="宋体"/>
          <w:szCs w:val="21"/>
        </w:rPr>
        <w:t>，承接单位</w:t>
      </w:r>
      <w:r>
        <w:rPr>
          <w:rFonts w:ascii="宋体" w:hAnsi="宋体"/>
          <w:szCs w:val="21"/>
        </w:rPr>
        <w:t>为</w:t>
      </w:r>
      <w:r>
        <w:rPr>
          <w:rFonts w:ascii="宋体" w:hAnsi="宋体"/>
          <w:b/>
          <w:bCs/>
          <w:i/>
          <w:iCs/>
          <w:szCs w:val="21"/>
          <w:u w:val="single"/>
        </w:rPr>
        <w:t>（</w:t>
      </w:r>
      <w:r>
        <w:rPr>
          <w:rFonts w:hint="eastAsia" w:ascii="宋体" w:hAnsi="宋体"/>
          <w:b/>
          <w:bCs/>
          <w:i/>
          <w:iCs/>
          <w:szCs w:val="21"/>
          <w:u w:val="single"/>
        </w:rPr>
        <w:t>企业</w:t>
      </w:r>
      <w:r>
        <w:rPr>
          <w:rFonts w:ascii="宋体" w:hAnsi="宋体"/>
          <w:b/>
          <w:bCs/>
          <w:i/>
          <w:iCs/>
          <w:szCs w:val="21"/>
          <w:u w:val="single"/>
        </w:rPr>
        <w:t>名称）</w:t>
      </w:r>
      <w:r>
        <w:rPr>
          <w:rFonts w:ascii="宋体" w:hAnsi="宋体"/>
          <w:szCs w:val="21"/>
        </w:rPr>
        <w:t>，属于</w:t>
      </w:r>
      <w:r>
        <w:rPr>
          <w:rFonts w:hint="eastAsia" w:ascii="宋体" w:hAnsi="宋体"/>
          <w:b/>
          <w:bCs/>
          <w:i/>
          <w:iCs/>
          <w:szCs w:val="21"/>
          <w:u w:val="single"/>
        </w:rPr>
        <w:t>监狱企业</w:t>
      </w:r>
      <w:r>
        <w:rPr>
          <w:rFonts w:hint="eastAsia" w:ascii="宋体" w:hAnsi="宋体"/>
          <w:szCs w:val="21"/>
        </w:rPr>
        <w:t>。</w:t>
      </w:r>
    </w:p>
    <w:p>
      <w:pPr>
        <w:ind w:firstLine="420" w:firstLineChars="200"/>
        <w:rPr>
          <w:rFonts w:ascii="宋体" w:hAnsi="宋体"/>
          <w:szCs w:val="21"/>
        </w:rPr>
      </w:pPr>
      <w:r>
        <w:rPr>
          <w:rFonts w:ascii="宋体" w:hAnsi="宋体"/>
          <w:szCs w:val="21"/>
        </w:rPr>
        <w:t xml:space="preserve">…… </w:t>
      </w:r>
    </w:p>
    <w:p>
      <w:pPr>
        <w:ind w:firstLine="420" w:firstLineChars="200"/>
        <w:rPr>
          <w:rFonts w:ascii="宋体" w:hAnsi="宋体"/>
          <w:szCs w:val="21"/>
        </w:rPr>
      </w:pPr>
      <w:r>
        <w:rPr>
          <w:rFonts w:ascii="宋体" w:hAnsi="宋体" w:cstheme="minorBidi"/>
          <w:szCs w:val="21"/>
        </w:rPr>
        <w:t>本</w:t>
      </w:r>
      <w:r>
        <w:rPr>
          <w:rFonts w:hint="eastAsia" w:ascii="宋体" w:hAnsi="宋体" w:cstheme="minorBidi"/>
          <w:szCs w:val="21"/>
        </w:rPr>
        <w:t>投标人</w:t>
      </w:r>
      <w:r>
        <w:rPr>
          <w:rFonts w:ascii="宋体" w:hAnsi="宋体"/>
          <w:szCs w:val="21"/>
        </w:rPr>
        <w:t>对上述声明内容的真实性负责。如有虚假，将依法承担相应责任。</w:t>
      </w:r>
    </w:p>
    <w:p>
      <w:pPr>
        <w:ind w:firstLine="420" w:firstLineChars="200"/>
        <w:rPr>
          <w:rFonts w:ascii="宋体" w:hAnsi="宋体"/>
          <w:szCs w:val="21"/>
        </w:rPr>
      </w:pPr>
      <w:r>
        <w:rPr>
          <w:rFonts w:hint="eastAsia" w:ascii="宋体" w:hAnsi="宋体"/>
          <w:szCs w:val="21"/>
        </w:rPr>
        <w:t>附：省级以上监狱管理局、戒毒管理局（含新疆生产建设兵团）出具的监狱企业证明文件。</w:t>
      </w:r>
    </w:p>
    <w:p>
      <w:pPr>
        <w:ind w:left="723" w:hanging="722" w:hangingChars="300"/>
        <w:rPr>
          <w:b/>
          <w:sz w:val="24"/>
        </w:rPr>
      </w:pPr>
    </w:p>
    <w:p>
      <w:pPr>
        <w:ind w:firstLine="480" w:firstLineChars="200"/>
      </w:pPr>
      <w:r>
        <w:rPr>
          <w:rFonts w:hint="eastAsia" w:ascii="黑体" w:hAnsi="宋体" w:eastAsia="黑体"/>
          <w:bCs/>
          <w:kern w:val="0"/>
          <w:sz w:val="24"/>
          <w:szCs w:val="32"/>
        </w:rPr>
        <w:t>（三）</w:t>
      </w:r>
      <w:bookmarkStart w:id="45" w:name="_Hlk235714562"/>
      <w:r>
        <w:rPr>
          <w:rFonts w:hint="eastAsia" w:ascii="黑体" w:hAnsi="宋体" w:eastAsia="黑体"/>
          <w:bCs/>
          <w:kern w:val="0"/>
          <w:sz w:val="24"/>
          <w:szCs w:val="32"/>
        </w:rPr>
        <w:t>本国产品声明函</w:t>
      </w:r>
      <w:bookmarkEnd w:id="45"/>
    </w:p>
    <w:p>
      <w:pPr>
        <w:pStyle w:val="194"/>
      </w:pPr>
    </w:p>
    <w:p>
      <w:pPr>
        <w:ind w:firstLine="420" w:firstLineChars="200"/>
        <w:rPr>
          <w:rFonts w:ascii="宋体" w:hAnsi="宋体"/>
          <w:color w:val="FF0000"/>
          <w:szCs w:val="21"/>
        </w:rPr>
      </w:pPr>
      <w:r>
        <w:rPr>
          <w:rFonts w:hint="eastAsia" w:ascii="宋体" w:hAnsi="宋体"/>
          <w:color w:val="FF0000"/>
          <w:szCs w:val="21"/>
        </w:rPr>
        <w:t>填写指引：</w:t>
      </w:r>
    </w:p>
    <w:p>
      <w:pPr>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该部分内容由供应商根据自身实际情况填写，不符合要求的供应商可以不填写或直接删除相应的声明函。供应商提供的声明函不属实的，属于提供虚假资料谋取中标，依照《中华人民共和国政府采购法》等国家有关规定追究相应责任。</w:t>
      </w:r>
    </w:p>
    <w:p>
      <w:pPr>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2.该部分内容填写需要参考的相关文件：</w:t>
      </w:r>
    </w:p>
    <w:p>
      <w:pPr>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(1)《国务院办公厅关于在政府采购中实施本国产品标准及相关政策的通知》（国办发〔2025〕34号）</w:t>
      </w:r>
    </w:p>
    <w:p>
      <w:pPr>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(2)《关于贯彻落实&lt;国务院办公厅关于在政府采购中实施本国产品标准及相关政策的通知&gt;的意见》（财库〔2025〕30号）</w:t>
      </w:r>
    </w:p>
    <w:p>
      <w:pPr>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3.请依照提供的格式和内容填写声明函，不要随意变更格式；声明函可以不盖章或签字。</w:t>
      </w:r>
    </w:p>
    <w:p>
      <w:pPr>
        <w:ind w:firstLine="420" w:firstLineChars="200"/>
        <w:rPr>
          <w:rFonts w:ascii="宋体" w:hAnsi="宋体"/>
          <w:color w:val="FF0000"/>
          <w:szCs w:val="21"/>
        </w:rPr>
      </w:pPr>
      <w:r>
        <w:rPr>
          <w:rFonts w:hint="eastAsia" w:ascii="宋体" w:hAnsi="宋体"/>
          <w:color w:val="FF0000"/>
          <w:szCs w:val="21"/>
        </w:rPr>
        <w:t>4.声明函具体填写要求：</w:t>
      </w:r>
    </w:p>
    <w:p>
      <w:pPr>
        <w:ind w:firstLine="420" w:firstLineChars="200"/>
        <w:rPr>
          <w:rFonts w:ascii="宋体" w:hAnsi="宋体"/>
          <w:color w:val="FF0000"/>
          <w:szCs w:val="21"/>
        </w:rPr>
      </w:pPr>
      <w:r>
        <w:rPr>
          <w:rFonts w:hint="eastAsia" w:ascii="宋体" w:hAnsi="宋体"/>
          <w:color w:val="FF0000"/>
          <w:szCs w:val="21"/>
        </w:rPr>
        <w:t>（1）产品如有型号，请在“产品名称”栏一并填写。</w:t>
      </w:r>
    </w:p>
    <w:p>
      <w:pPr>
        <w:ind w:firstLine="420" w:firstLineChars="200"/>
        <w:rPr>
          <w:rFonts w:ascii="宋体" w:hAnsi="宋体"/>
          <w:color w:val="FF0000"/>
          <w:szCs w:val="21"/>
        </w:rPr>
      </w:pPr>
    </w:p>
    <w:p>
      <w:pPr>
        <w:ind w:firstLine="420" w:firstLineChars="200"/>
        <w:rPr>
          <w:rFonts w:ascii="宋体" w:hAnsi="宋体"/>
          <w:color w:val="FF0000"/>
          <w:szCs w:val="21"/>
        </w:rPr>
      </w:pPr>
      <w:r>
        <w:rPr>
          <w:rFonts w:hint="eastAsia" w:ascii="宋体" w:hAnsi="宋体"/>
          <w:color w:val="FF0000"/>
          <w:szCs w:val="21"/>
        </w:rPr>
        <w:t>（2）生产厂名与厂址应与生产厂营业执照载明的相关信息保持一致。</w:t>
      </w:r>
    </w:p>
    <w:p>
      <w:pPr>
        <w:ind w:firstLine="420" w:firstLineChars="200"/>
        <w:rPr>
          <w:rFonts w:ascii="宋体" w:hAnsi="宋体"/>
          <w:color w:val="FF0000"/>
          <w:szCs w:val="21"/>
        </w:rPr>
      </w:pPr>
    </w:p>
    <w:p>
      <w:pPr>
        <w:ind w:firstLine="420" w:firstLineChars="200"/>
        <w:rPr>
          <w:rFonts w:ascii="宋体" w:hAnsi="宋体"/>
          <w:color w:val="FF0000"/>
          <w:szCs w:val="21"/>
        </w:rPr>
      </w:pPr>
      <w:r>
        <w:rPr>
          <w:rFonts w:hint="eastAsia" w:ascii="宋体" w:hAnsi="宋体"/>
          <w:color w:val="FF0000"/>
          <w:szCs w:val="21"/>
        </w:rPr>
        <w:t>（3）该产品的中国境内生产的组件成本占比相关要求实施前，“规定比例”栏可不填，下同。</w:t>
      </w:r>
    </w:p>
    <w:p>
      <w:pPr>
        <w:ind w:firstLine="420" w:firstLineChars="200"/>
        <w:rPr>
          <w:rFonts w:ascii="宋体" w:hAnsi="宋体"/>
          <w:color w:val="FF0000"/>
          <w:szCs w:val="21"/>
        </w:rPr>
      </w:pPr>
    </w:p>
    <w:p>
      <w:pPr>
        <w:ind w:firstLine="420" w:firstLineChars="200"/>
        <w:rPr>
          <w:rFonts w:ascii="宋体" w:hAnsi="宋体"/>
          <w:color w:val="FF0000"/>
          <w:szCs w:val="21"/>
        </w:rPr>
      </w:pPr>
      <w:r>
        <w:rPr>
          <w:rFonts w:hint="eastAsia" w:ascii="宋体" w:hAnsi="宋体"/>
          <w:color w:val="FF0000"/>
          <w:szCs w:val="21"/>
        </w:rPr>
        <w:t>（4）该产品的关键组件要求实施前，“关键组件”栏可不填，下同。</w:t>
      </w:r>
    </w:p>
    <w:p>
      <w:pPr>
        <w:ind w:firstLine="420" w:firstLineChars="200"/>
        <w:rPr>
          <w:rFonts w:ascii="宋体" w:hAnsi="宋体"/>
          <w:color w:val="FF0000"/>
          <w:szCs w:val="21"/>
        </w:rPr>
      </w:pPr>
    </w:p>
    <w:p>
      <w:pPr>
        <w:ind w:firstLine="420" w:firstLineChars="200"/>
        <w:rPr>
          <w:rFonts w:ascii="宋体" w:hAnsi="宋体"/>
          <w:color w:val="FF0000"/>
          <w:szCs w:val="21"/>
        </w:rPr>
      </w:pPr>
      <w:r>
        <w:rPr>
          <w:rFonts w:hint="eastAsia" w:ascii="宋体" w:hAnsi="宋体"/>
          <w:color w:val="FF0000"/>
          <w:szCs w:val="21"/>
        </w:rPr>
        <w:t>（5）该产品的关键工序要求实施前，“关键工序”栏可不填，下同。</w:t>
      </w:r>
    </w:p>
    <w:p>
      <w:pPr>
        <w:ind w:firstLine="420" w:firstLineChars="200"/>
        <w:rPr>
          <w:rFonts w:ascii="宋体" w:hAnsi="宋体"/>
          <w:color w:val="FF0000"/>
          <w:szCs w:val="21"/>
        </w:rPr>
      </w:pPr>
    </w:p>
    <w:p>
      <w:pPr>
        <w:ind w:firstLine="420" w:firstLineChars="200"/>
        <w:rPr>
          <w:color w:val="FF0000"/>
        </w:rPr>
      </w:pPr>
      <w:r>
        <w:rPr>
          <w:rFonts w:hint="eastAsia" w:ascii="宋体" w:hAnsi="宋体"/>
          <w:color w:val="FF0000"/>
          <w:szCs w:val="21"/>
        </w:rPr>
        <w:t>（6）</w:t>
      </w:r>
      <w:r>
        <w:rPr>
          <w:rFonts w:hint="eastAsia" w:ascii="宋体" w:hAnsi="宋体"/>
          <w:b/>
          <w:bCs/>
          <w:color w:val="FF0000"/>
          <w:szCs w:val="21"/>
        </w:rPr>
        <w:t>必须在“具体比例”栏填写提供所有符合本国产品标准的产品成本之和占提供的全部产品成本之和的比例。</w:t>
      </w:r>
      <w:r>
        <w:rPr>
          <w:rFonts w:hint="eastAsia" w:ascii="宋体" w:hAnsi="宋体"/>
          <w:color w:val="FF0000"/>
          <w:szCs w:val="21"/>
        </w:rPr>
        <w:t>根据《国务院办公厅关于在政府采购中实施本国产品标准及相关政策的通知》（国办发〔2025〕34号）的</w:t>
      </w:r>
      <w:r>
        <w:rPr>
          <w:rFonts w:hint="eastAsia"/>
          <w:color w:val="FF0000"/>
        </w:rPr>
        <w:t>规定，当采购项目或者采购包中含有多种产品，供应商为该采购项目或者采购包提供的符合本国产品标准的产品成本之和占该供应商提供的全部产品成本之和的比例达到</w:t>
      </w:r>
      <w:r>
        <w:rPr>
          <w:rFonts w:hint="eastAsia"/>
          <w:b/>
          <w:bCs/>
          <w:color w:val="FF0000"/>
        </w:rPr>
        <w:t>80%以上</w:t>
      </w:r>
      <w:r>
        <w:rPr>
          <w:rFonts w:hint="eastAsia"/>
          <w:color w:val="FF0000"/>
        </w:rPr>
        <w:t>时，依法对该供应商提供的全部产品给予20%价格评审优惠。</w:t>
      </w:r>
    </w:p>
    <w:p>
      <w:pPr>
        <w:pStyle w:val="194"/>
        <w:ind w:firstLine="420" w:firstLineChars="200"/>
        <w:rPr>
          <w:color w:val="000000" w:themeColor="text1"/>
          <w14:textFill>
            <w14:solidFill>
              <w14:schemeClr w14:val="tx1"/>
            </w14:solidFill>
          </w14:textFill>
        </w:rPr>
      </w:pPr>
      <w:r>
        <w:rPr>
          <w:rFonts w:hint="eastAsia" w:ascii="宋体" w:hAnsi="宋体" w:cs="宋体"/>
          <w:color w:val="000000" w:themeColor="text1"/>
          <w:szCs w:val="21"/>
          <w:shd w:val="clear" w:color="auto" w:fill="FFFFFF"/>
          <w14:textFill>
            <w14:solidFill>
              <w14:schemeClr w14:val="tx1"/>
            </w14:solidFill>
          </w14:textFill>
        </w:rPr>
        <w:t>5.</w:t>
      </w:r>
      <w:r>
        <w:rPr>
          <w:rFonts w:hint="eastAsia"/>
          <w:color w:val="000000" w:themeColor="text1"/>
          <w14:textFill>
            <w14:solidFill>
              <w14:schemeClr w14:val="tx1"/>
            </w14:solidFill>
          </w14:textFill>
        </w:rPr>
        <w:t>争议处理：</w:t>
      </w:r>
    </w:p>
    <w:p>
      <w:pPr>
        <w:pStyle w:val="194"/>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政府采购投诉处理、监督检查中，对产品或组件是否在中国境内生产存在争议的，按照以下原则处理：①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②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pPr>
        <w:pStyle w:val="194"/>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pPr>
        <w:pStyle w:val="194"/>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政府采购投诉处理、监督检查中，对特定产品的关键组件是否在中国境内生产存在争议的，按照《国务院办公厅关于在政府采购中实施本国产品标准及相关政策的通知》第五条第（一）项规定的原则处理；对特定产品的关键工序是否在中国境内完成存在争议的，相关供应商及制造商应当提供关键工序在中国境内完成的记录等材料予以证明。</w:t>
      </w:r>
    </w:p>
    <w:p>
      <w:pPr>
        <w:pStyle w:val="194"/>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pPr>
        <w:pStyle w:val="194"/>
        <w:ind w:firstLine="420" w:firstLineChars="200"/>
        <w:rPr>
          <w:color w:val="000000" w:themeColor="text1"/>
          <w14:textFill>
            <w14:solidFill>
              <w14:schemeClr w14:val="tx1"/>
            </w14:solidFill>
          </w14:textFill>
        </w:rPr>
      </w:pPr>
      <w:r>
        <w:rPr>
          <w:rFonts w:hint="eastAsia" w:ascii="宋体" w:hAnsi="宋体" w:cs="宋体"/>
          <w:color w:val="000000" w:themeColor="text1"/>
          <w:szCs w:val="21"/>
          <w:shd w:val="clear" w:color="auto" w:fill="FFFFFF"/>
          <w14:textFill>
            <w14:solidFill>
              <w14:schemeClr w14:val="tx1"/>
            </w14:solidFill>
          </w14:textFill>
        </w:rPr>
        <w:t>6.</w:t>
      </w:r>
      <w:r>
        <w:rPr>
          <w:rFonts w:hint="eastAsia"/>
          <w:color w:val="000000" w:themeColor="text1"/>
          <w14:textFill>
            <w14:solidFill>
              <w14:schemeClr w14:val="tx1"/>
            </w14:solidFill>
          </w14:textFill>
        </w:rPr>
        <w:t>评审委员会在评审中发现《关于符合本国产品标准的声明函》内容含义不明确、同类事项与投标（响应）文件表述不一致或者有明显文字错误等情况的，应当以书面形式要求供应商作出必要的澄清、说明或者补正。经澄清、说明或者补正的《声明函》仍然不符合《国务院办公厅关于在政府采购中实施本国产品标准及相关政策的通知》规定要求的，供应商提供的相关产品视为不符合本国产品标准，不享受价格扣除，但不作投标无效处理。</w:t>
      </w:r>
    </w:p>
    <w:p>
      <w:pPr>
        <w:pStyle w:val="194"/>
      </w:pPr>
    </w:p>
    <w:p>
      <w:pPr>
        <w:pStyle w:val="194"/>
        <w:jc w:val="center"/>
        <w:rPr>
          <w:rFonts w:ascii="Times New Roman" w:hAnsi="Times New Roman"/>
          <w:b/>
          <w:sz w:val="24"/>
          <w:szCs w:val="24"/>
        </w:rPr>
      </w:pPr>
      <w:r>
        <w:rPr>
          <w:rFonts w:hint="eastAsia" w:ascii="Times New Roman" w:hAnsi="Times New Roman"/>
          <w:b/>
          <w:sz w:val="24"/>
          <w:szCs w:val="24"/>
        </w:rPr>
        <w:t>关于符合本国产品标准的声明函</w:t>
      </w:r>
    </w:p>
    <w:p>
      <w:pPr>
        <w:pStyle w:val="194"/>
      </w:pPr>
    </w:p>
    <w:p>
      <w:pPr>
        <w:pStyle w:val="38"/>
        <w:widowControl/>
        <w:shd w:val="clear" w:color="auto" w:fill="FFFFFF"/>
        <w:ind w:firstLine="420" w:firstLineChars="200"/>
        <w:jc w:val="left"/>
        <w:rPr>
          <w:rFonts w:ascii="宋体" w:hAnsi="宋体" w:cs="宋体"/>
          <w:color w:val="000000"/>
          <w:sz w:val="21"/>
          <w:szCs w:val="21"/>
          <w:shd w:val="clear" w:color="auto" w:fill="FFFFFF"/>
        </w:rPr>
      </w:pPr>
      <w:r>
        <w:rPr>
          <w:rFonts w:hint="eastAsia" w:ascii="宋体" w:hAnsi="宋体" w:cs="宋体"/>
          <w:color w:val="000000"/>
          <w:sz w:val="21"/>
          <w:szCs w:val="21"/>
          <w:shd w:val="clear" w:color="auto" w:fill="FFFFFF"/>
        </w:rPr>
        <w:t>本公司（单位）郑重声明，根据《国务院办公厅关于在政府采购中实施本国产品标准及相关政策的通知》（国办发〔</w:t>
      </w:r>
      <w:r>
        <w:rPr>
          <w:rFonts w:ascii="Calibri" w:hAnsi="Calibri" w:cs="Calibri"/>
          <w:color w:val="000000"/>
          <w:sz w:val="21"/>
          <w:szCs w:val="21"/>
          <w:shd w:val="clear" w:color="auto" w:fill="FFFFFF"/>
        </w:rPr>
        <w:t>2025</w:t>
      </w:r>
      <w:r>
        <w:rPr>
          <w:rFonts w:hint="eastAsia" w:ascii="宋体" w:hAnsi="宋体" w:cs="宋体"/>
          <w:color w:val="000000"/>
          <w:sz w:val="21"/>
          <w:szCs w:val="21"/>
          <w:shd w:val="clear" w:color="auto" w:fill="FFFFFF"/>
        </w:rPr>
        <w:t>〕</w:t>
      </w:r>
      <w:r>
        <w:rPr>
          <w:rFonts w:ascii="Calibri" w:hAnsi="Calibri" w:cs="Calibri"/>
          <w:color w:val="000000"/>
          <w:sz w:val="21"/>
          <w:szCs w:val="21"/>
          <w:shd w:val="clear" w:color="auto" w:fill="FFFFFF"/>
        </w:rPr>
        <w:t>34</w:t>
      </w:r>
      <w:r>
        <w:rPr>
          <w:rFonts w:hint="eastAsia" w:ascii="宋体" w:hAnsi="宋体" w:cs="宋体"/>
          <w:color w:val="000000"/>
          <w:sz w:val="21"/>
          <w:szCs w:val="21"/>
          <w:shd w:val="clear" w:color="auto" w:fill="FFFFFF"/>
        </w:rPr>
        <w:t>号）的规定，本公司（单位）提供的以下产品属于本国产品。具体情况如下：</w:t>
      </w:r>
    </w:p>
    <w:p>
      <w:pPr>
        <w:pStyle w:val="38"/>
        <w:widowControl/>
        <w:shd w:val="clear" w:color="auto" w:fill="FFFFFF"/>
        <w:ind w:firstLine="420" w:firstLineChars="200"/>
        <w:jc w:val="left"/>
        <w:rPr>
          <w:rFonts w:ascii="宋体" w:hAnsi="宋体" w:cs="宋体"/>
          <w:color w:val="000000"/>
          <w:sz w:val="21"/>
          <w:szCs w:val="21"/>
        </w:rPr>
      </w:pPr>
      <w:r>
        <w:rPr>
          <w:rFonts w:ascii="Calibri" w:hAnsi="Calibri" w:cs="Calibri"/>
          <w:color w:val="000000"/>
          <w:sz w:val="21"/>
          <w:szCs w:val="21"/>
          <w:shd w:val="clear" w:color="auto" w:fill="FFFFFF"/>
        </w:rPr>
        <w:t>1.</w:t>
      </w:r>
      <w:r>
        <w:rPr>
          <w:rFonts w:hint="eastAsia" w:ascii="宋体" w:hAnsi="宋体"/>
          <w:b/>
          <w:bCs/>
          <w:i/>
          <w:iCs/>
          <w:sz w:val="21"/>
          <w:szCs w:val="21"/>
          <w:u w:val="single"/>
        </w:rPr>
        <w:t>（产品名称</w:t>
      </w:r>
      <w:r>
        <w:rPr>
          <w:rFonts w:ascii="宋体" w:hAnsi="宋体"/>
          <w:b/>
          <w:bCs/>
          <w:i/>
          <w:iCs/>
          <w:sz w:val="21"/>
          <w:szCs w:val="21"/>
          <w:u w:val="single"/>
        </w:rPr>
        <w:t>1</w:t>
      </w:r>
      <w:r>
        <w:rPr>
          <w:rFonts w:hint="eastAsia" w:ascii="宋体" w:hAnsi="宋体"/>
          <w:b/>
          <w:bCs/>
          <w:i/>
          <w:iCs/>
          <w:sz w:val="21"/>
          <w:szCs w:val="21"/>
          <w:u w:val="single"/>
        </w:rPr>
        <w:t>）</w:t>
      </w:r>
      <w:r>
        <w:rPr>
          <w:rFonts w:ascii="Calibri" w:hAnsi="Calibri" w:cs="Calibri"/>
          <w:color w:val="FF0000"/>
          <w:sz w:val="21"/>
          <w:szCs w:val="21"/>
          <w:shd w:val="clear" w:color="auto" w:fill="FFFFFF"/>
        </w:rPr>
        <w:t>1</w:t>
      </w:r>
      <w:r>
        <w:rPr>
          <w:rFonts w:hint="eastAsia" w:ascii="宋体" w:hAnsi="宋体" w:cs="宋体"/>
          <w:color w:val="000000"/>
          <w:sz w:val="21"/>
          <w:szCs w:val="21"/>
          <w:shd w:val="clear" w:color="auto" w:fill="FFFFFF"/>
        </w:rPr>
        <w:t>，生产厂为</w:t>
      </w:r>
      <w:r>
        <w:rPr>
          <w:rFonts w:hint="eastAsia" w:ascii="宋体" w:hAnsi="宋体"/>
          <w:b/>
          <w:bCs/>
          <w:i/>
          <w:iCs/>
          <w:sz w:val="21"/>
          <w:szCs w:val="21"/>
          <w:u w:val="single"/>
        </w:rPr>
        <w:t>（厂名）</w:t>
      </w:r>
      <w:r>
        <w:rPr>
          <w:rFonts w:ascii="Calibri" w:hAnsi="Calibri" w:cs="Calibri"/>
          <w:color w:val="FF0000"/>
          <w:sz w:val="21"/>
          <w:szCs w:val="21"/>
          <w:shd w:val="clear" w:color="auto" w:fill="FFFFFF"/>
        </w:rPr>
        <w:t>2</w:t>
      </w:r>
      <w:r>
        <w:rPr>
          <w:rFonts w:hint="eastAsia" w:ascii="宋体" w:hAnsi="宋体" w:cs="宋体"/>
          <w:color w:val="000000"/>
          <w:sz w:val="21"/>
          <w:szCs w:val="21"/>
          <w:shd w:val="clear" w:color="auto" w:fill="FFFFFF"/>
        </w:rPr>
        <w:t>，厂址为</w:t>
      </w:r>
      <w:r>
        <w:rPr>
          <w:rFonts w:hint="eastAsia" w:ascii="宋体" w:hAnsi="宋体"/>
          <w:b/>
          <w:bCs/>
          <w:i/>
          <w:iCs/>
          <w:sz w:val="21"/>
          <w:szCs w:val="21"/>
          <w:u w:val="single"/>
        </w:rPr>
        <w:t>（生产厂址）</w:t>
      </w:r>
      <w:r>
        <w:rPr>
          <w:rFonts w:hint="eastAsia" w:ascii="Calibri" w:hAnsi="Calibri" w:cs="Calibri"/>
          <w:color w:val="000000"/>
          <w:sz w:val="21"/>
          <w:szCs w:val="21"/>
          <w:shd w:val="clear" w:color="auto" w:fill="FFFFFF"/>
        </w:rPr>
        <w:t>。</w:t>
      </w:r>
      <w:r>
        <w:rPr>
          <w:rFonts w:hint="eastAsia" w:ascii="宋体" w:hAnsi="宋体"/>
          <w:b/>
          <w:bCs/>
          <w:i/>
          <w:iCs/>
          <w:sz w:val="21"/>
          <w:szCs w:val="21"/>
          <w:u w:val="single"/>
        </w:rPr>
        <w:t>（产品名称</w:t>
      </w:r>
      <w:r>
        <w:rPr>
          <w:rFonts w:ascii="宋体" w:hAnsi="宋体"/>
          <w:b/>
          <w:bCs/>
          <w:i/>
          <w:iCs/>
          <w:sz w:val="21"/>
          <w:szCs w:val="21"/>
          <w:u w:val="single"/>
        </w:rPr>
        <w:t>1</w:t>
      </w:r>
      <w:r>
        <w:rPr>
          <w:rFonts w:hint="eastAsia" w:ascii="宋体" w:hAnsi="宋体"/>
          <w:b/>
          <w:bCs/>
          <w:i/>
          <w:iCs/>
          <w:sz w:val="21"/>
          <w:szCs w:val="21"/>
          <w:u w:val="single"/>
        </w:rPr>
        <w:t>）</w:t>
      </w:r>
      <w:r>
        <w:rPr>
          <w:rFonts w:hint="eastAsia" w:ascii="宋体" w:hAnsi="宋体" w:cs="宋体"/>
          <w:color w:val="000000"/>
          <w:sz w:val="21"/>
          <w:szCs w:val="21"/>
          <w:shd w:val="clear" w:color="auto" w:fill="FFFFFF"/>
        </w:rPr>
        <w:t>的中国境内生产的组件成本占比≥</w:t>
      </w:r>
      <w:r>
        <w:rPr>
          <w:rFonts w:hint="eastAsia" w:ascii="宋体" w:hAnsi="宋体"/>
          <w:b/>
          <w:bCs/>
          <w:i/>
          <w:iCs/>
          <w:sz w:val="21"/>
          <w:szCs w:val="21"/>
          <w:u w:val="single"/>
        </w:rPr>
        <w:t>（规定比例）</w:t>
      </w:r>
      <w:r>
        <w:rPr>
          <w:rFonts w:ascii="Calibri" w:hAnsi="Calibri" w:cs="Calibri"/>
          <w:color w:val="FF0000"/>
          <w:sz w:val="21"/>
          <w:szCs w:val="21"/>
          <w:shd w:val="clear" w:color="auto" w:fill="FFFFFF"/>
        </w:rPr>
        <w:t>3</w:t>
      </w:r>
      <w:r>
        <w:rPr>
          <w:rFonts w:hint="eastAsia" w:ascii="宋体" w:hAnsi="宋体" w:cs="宋体"/>
          <w:color w:val="000000"/>
          <w:sz w:val="21"/>
          <w:szCs w:val="21"/>
          <w:shd w:val="clear" w:color="auto" w:fill="FFFFFF"/>
        </w:rPr>
        <w:t>。</w:t>
      </w:r>
      <w:r>
        <w:rPr>
          <w:rFonts w:hint="eastAsia" w:ascii="宋体" w:hAnsi="宋体"/>
          <w:b/>
          <w:bCs/>
          <w:i/>
          <w:iCs/>
          <w:sz w:val="21"/>
          <w:szCs w:val="21"/>
          <w:u w:val="single"/>
        </w:rPr>
        <w:t>（产品名称</w:t>
      </w:r>
      <w:r>
        <w:rPr>
          <w:rFonts w:ascii="宋体" w:hAnsi="宋体"/>
          <w:b/>
          <w:bCs/>
          <w:i/>
          <w:iCs/>
          <w:sz w:val="21"/>
          <w:szCs w:val="21"/>
          <w:u w:val="single"/>
        </w:rPr>
        <w:t>1</w:t>
      </w:r>
      <w:r>
        <w:rPr>
          <w:rFonts w:hint="eastAsia" w:ascii="宋体" w:hAnsi="宋体"/>
          <w:b/>
          <w:bCs/>
          <w:i/>
          <w:iCs/>
          <w:sz w:val="21"/>
          <w:szCs w:val="21"/>
          <w:u w:val="single"/>
        </w:rPr>
        <w:t>）</w:t>
      </w:r>
      <w:r>
        <w:rPr>
          <w:rFonts w:hint="eastAsia" w:ascii="宋体" w:hAnsi="宋体" w:cs="宋体"/>
          <w:color w:val="000000"/>
          <w:sz w:val="21"/>
          <w:szCs w:val="21"/>
          <w:shd w:val="clear" w:color="auto" w:fill="FFFFFF"/>
        </w:rPr>
        <w:t>的</w:t>
      </w:r>
      <w:r>
        <w:rPr>
          <w:rFonts w:hint="eastAsia" w:ascii="宋体" w:hAnsi="宋体"/>
          <w:b/>
          <w:bCs/>
          <w:i/>
          <w:iCs/>
          <w:sz w:val="21"/>
          <w:szCs w:val="21"/>
          <w:u w:val="single"/>
        </w:rPr>
        <w:t>（关键组件）</w:t>
      </w:r>
      <w:r>
        <w:rPr>
          <w:rFonts w:ascii="Calibri" w:hAnsi="Calibri" w:cs="Calibri"/>
          <w:color w:val="FF0000"/>
          <w:sz w:val="21"/>
          <w:szCs w:val="21"/>
          <w:shd w:val="clear" w:color="auto" w:fill="FFFFFF"/>
        </w:rPr>
        <w:t>4</w:t>
      </w:r>
      <w:r>
        <w:rPr>
          <w:rFonts w:hint="eastAsia" w:ascii="宋体" w:hAnsi="宋体" w:cs="宋体"/>
          <w:color w:val="000000"/>
          <w:sz w:val="21"/>
          <w:szCs w:val="21"/>
          <w:shd w:val="clear" w:color="auto" w:fill="FFFFFF"/>
        </w:rPr>
        <w:t>在中国境内生产。</w:t>
      </w:r>
      <w:r>
        <w:rPr>
          <w:rFonts w:hint="eastAsia" w:ascii="宋体" w:hAnsi="宋体"/>
          <w:b/>
          <w:bCs/>
          <w:i/>
          <w:iCs/>
          <w:sz w:val="21"/>
          <w:szCs w:val="21"/>
          <w:u w:val="single"/>
        </w:rPr>
        <w:t>（产品名称</w:t>
      </w:r>
      <w:r>
        <w:rPr>
          <w:rFonts w:ascii="宋体" w:hAnsi="宋体"/>
          <w:b/>
          <w:bCs/>
          <w:i/>
          <w:iCs/>
          <w:sz w:val="21"/>
          <w:szCs w:val="21"/>
          <w:u w:val="single"/>
        </w:rPr>
        <w:t>1</w:t>
      </w:r>
      <w:r>
        <w:rPr>
          <w:rFonts w:hint="eastAsia" w:ascii="宋体" w:hAnsi="宋体"/>
          <w:b/>
          <w:bCs/>
          <w:i/>
          <w:iCs/>
          <w:sz w:val="21"/>
          <w:szCs w:val="21"/>
          <w:u w:val="single"/>
        </w:rPr>
        <w:t>）</w:t>
      </w:r>
      <w:r>
        <w:rPr>
          <w:rFonts w:hint="eastAsia" w:ascii="宋体" w:hAnsi="宋体" w:cs="宋体"/>
          <w:color w:val="000000"/>
          <w:sz w:val="21"/>
          <w:szCs w:val="21"/>
          <w:shd w:val="clear" w:color="auto" w:fill="FFFFFF"/>
        </w:rPr>
        <w:t>的</w:t>
      </w:r>
      <w:r>
        <w:rPr>
          <w:rFonts w:hint="eastAsia" w:ascii="宋体" w:hAnsi="宋体"/>
          <w:b/>
          <w:bCs/>
          <w:i/>
          <w:iCs/>
          <w:sz w:val="21"/>
          <w:szCs w:val="21"/>
          <w:u w:val="single"/>
        </w:rPr>
        <w:t>（关键工序）</w:t>
      </w:r>
      <w:r>
        <w:rPr>
          <w:rFonts w:ascii="Calibri" w:hAnsi="Calibri" w:cs="Calibri"/>
          <w:color w:val="FF0000"/>
          <w:sz w:val="21"/>
          <w:szCs w:val="21"/>
          <w:shd w:val="clear" w:color="auto" w:fill="FFFFFF"/>
        </w:rPr>
        <w:t>5</w:t>
      </w:r>
      <w:r>
        <w:rPr>
          <w:rFonts w:hint="eastAsia" w:ascii="宋体" w:hAnsi="宋体" w:cs="宋体"/>
          <w:color w:val="000000"/>
          <w:sz w:val="21"/>
          <w:szCs w:val="21"/>
          <w:shd w:val="clear" w:color="auto" w:fill="FFFFFF"/>
        </w:rPr>
        <w:t>在中国境内完成。</w:t>
      </w:r>
    </w:p>
    <w:p>
      <w:pPr>
        <w:pStyle w:val="38"/>
        <w:widowControl/>
        <w:shd w:val="clear" w:color="auto" w:fill="FFFFFF"/>
        <w:ind w:firstLine="420" w:firstLineChars="200"/>
        <w:jc w:val="left"/>
        <w:rPr>
          <w:rFonts w:ascii="宋体" w:hAnsi="宋体" w:cs="宋体"/>
          <w:color w:val="000000"/>
          <w:sz w:val="21"/>
          <w:szCs w:val="21"/>
        </w:rPr>
      </w:pPr>
      <w:r>
        <w:rPr>
          <w:rFonts w:hint="eastAsia" w:ascii="Calibri" w:hAnsi="Calibri" w:cs="Calibri"/>
          <w:color w:val="000000"/>
          <w:sz w:val="21"/>
          <w:szCs w:val="21"/>
          <w:shd w:val="clear" w:color="auto" w:fill="FFFFFF"/>
        </w:rPr>
        <w:t>2</w:t>
      </w:r>
      <w:r>
        <w:rPr>
          <w:rFonts w:ascii="Calibri" w:hAnsi="Calibri" w:cs="Calibri"/>
          <w:color w:val="000000"/>
          <w:sz w:val="21"/>
          <w:szCs w:val="21"/>
          <w:shd w:val="clear" w:color="auto" w:fill="FFFFFF"/>
        </w:rPr>
        <w:t>.</w:t>
      </w:r>
      <w:r>
        <w:rPr>
          <w:rFonts w:hint="eastAsia" w:ascii="宋体" w:hAnsi="宋体"/>
          <w:b/>
          <w:bCs/>
          <w:i/>
          <w:iCs/>
          <w:sz w:val="21"/>
          <w:szCs w:val="21"/>
          <w:u w:val="single"/>
        </w:rPr>
        <w:t>（产品名称2）</w:t>
      </w:r>
      <w:r>
        <w:rPr>
          <w:rFonts w:hint="eastAsia" w:ascii="宋体" w:hAnsi="宋体" w:cs="宋体"/>
          <w:color w:val="000000"/>
          <w:sz w:val="21"/>
          <w:szCs w:val="21"/>
          <w:shd w:val="clear" w:color="auto" w:fill="FFFFFF"/>
        </w:rPr>
        <w:t>，生产厂为</w:t>
      </w:r>
      <w:r>
        <w:rPr>
          <w:rFonts w:hint="eastAsia" w:ascii="宋体" w:hAnsi="宋体"/>
          <w:b/>
          <w:bCs/>
          <w:i/>
          <w:iCs/>
          <w:sz w:val="21"/>
          <w:szCs w:val="21"/>
          <w:u w:val="single"/>
        </w:rPr>
        <w:t>（厂名）</w:t>
      </w:r>
      <w:r>
        <w:rPr>
          <w:rFonts w:hint="eastAsia" w:ascii="宋体" w:hAnsi="宋体" w:cs="宋体"/>
          <w:color w:val="000000"/>
          <w:sz w:val="21"/>
          <w:szCs w:val="21"/>
          <w:shd w:val="clear" w:color="auto" w:fill="FFFFFF"/>
        </w:rPr>
        <w:t>，厂址为</w:t>
      </w:r>
      <w:r>
        <w:rPr>
          <w:rFonts w:hint="eastAsia" w:ascii="宋体" w:hAnsi="宋体"/>
          <w:b/>
          <w:bCs/>
          <w:i/>
          <w:iCs/>
          <w:sz w:val="21"/>
          <w:szCs w:val="21"/>
          <w:u w:val="single"/>
        </w:rPr>
        <w:t>（生产厂址）</w:t>
      </w:r>
      <w:r>
        <w:rPr>
          <w:rFonts w:hint="eastAsia" w:ascii="宋体" w:hAnsi="宋体" w:cs="宋体"/>
          <w:color w:val="000000"/>
          <w:sz w:val="21"/>
          <w:szCs w:val="21"/>
          <w:shd w:val="clear" w:color="auto" w:fill="FFFFFF"/>
        </w:rPr>
        <w:t>。</w:t>
      </w:r>
      <w:r>
        <w:rPr>
          <w:rFonts w:hint="eastAsia" w:ascii="宋体" w:hAnsi="宋体"/>
          <w:b/>
          <w:bCs/>
          <w:i/>
          <w:iCs/>
          <w:sz w:val="21"/>
          <w:szCs w:val="21"/>
          <w:u w:val="single"/>
        </w:rPr>
        <w:t>（产品名称2）</w:t>
      </w:r>
      <w:r>
        <w:rPr>
          <w:rFonts w:hint="eastAsia" w:ascii="宋体" w:hAnsi="宋体" w:cs="宋体"/>
          <w:color w:val="000000"/>
          <w:sz w:val="21"/>
          <w:szCs w:val="21"/>
          <w:shd w:val="clear" w:color="auto" w:fill="FFFFFF"/>
        </w:rPr>
        <w:t>的中国境内生产的组件成本占比≥</w:t>
      </w:r>
      <w:r>
        <w:rPr>
          <w:rFonts w:hint="eastAsia" w:ascii="宋体" w:hAnsi="宋体"/>
          <w:b/>
          <w:bCs/>
          <w:i/>
          <w:iCs/>
          <w:sz w:val="21"/>
          <w:szCs w:val="21"/>
          <w:u w:val="single"/>
        </w:rPr>
        <w:t>（规定比例）</w:t>
      </w:r>
      <w:r>
        <w:rPr>
          <w:rFonts w:hint="eastAsia" w:ascii="宋体" w:hAnsi="宋体" w:cs="宋体"/>
          <w:color w:val="000000"/>
          <w:sz w:val="21"/>
          <w:szCs w:val="21"/>
          <w:shd w:val="clear" w:color="auto" w:fill="FFFFFF"/>
        </w:rPr>
        <w:t>。</w:t>
      </w:r>
      <w:r>
        <w:rPr>
          <w:rFonts w:hint="eastAsia" w:ascii="宋体" w:hAnsi="宋体"/>
          <w:b/>
          <w:bCs/>
          <w:i/>
          <w:iCs/>
          <w:sz w:val="21"/>
          <w:szCs w:val="21"/>
          <w:u w:val="single"/>
        </w:rPr>
        <w:t>（产品名称2）</w:t>
      </w:r>
      <w:r>
        <w:rPr>
          <w:rFonts w:hint="eastAsia" w:ascii="宋体" w:hAnsi="宋体" w:cs="宋体"/>
          <w:color w:val="000000"/>
          <w:sz w:val="21"/>
          <w:szCs w:val="21"/>
          <w:shd w:val="clear" w:color="auto" w:fill="FFFFFF"/>
        </w:rPr>
        <w:t>的</w:t>
      </w:r>
      <w:r>
        <w:rPr>
          <w:rFonts w:hint="eastAsia" w:ascii="宋体" w:hAnsi="宋体"/>
          <w:b/>
          <w:bCs/>
          <w:i/>
          <w:iCs/>
          <w:sz w:val="21"/>
          <w:szCs w:val="21"/>
          <w:u w:val="single"/>
        </w:rPr>
        <w:t>（关键组件）</w:t>
      </w:r>
      <w:r>
        <w:rPr>
          <w:rFonts w:hint="eastAsia" w:ascii="宋体" w:hAnsi="宋体" w:cs="宋体"/>
          <w:color w:val="000000"/>
          <w:sz w:val="21"/>
          <w:szCs w:val="21"/>
          <w:shd w:val="clear" w:color="auto" w:fill="FFFFFF"/>
        </w:rPr>
        <w:t>在中国境内生产。</w:t>
      </w:r>
      <w:r>
        <w:rPr>
          <w:rFonts w:hint="eastAsia" w:ascii="宋体" w:hAnsi="宋体"/>
          <w:b/>
          <w:bCs/>
          <w:i/>
          <w:iCs/>
          <w:sz w:val="21"/>
          <w:szCs w:val="21"/>
          <w:u w:val="single"/>
        </w:rPr>
        <w:t>（产品名称2）</w:t>
      </w:r>
      <w:r>
        <w:rPr>
          <w:rFonts w:hint="eastAsia" w:ascii="宋体" w:hAnsi="宋体" w:cs="宋体"/>
          <w:color w:val="000000"/>
          <w:sz w:val="21"/>
          <w:szCs w:val="21"/>
          <w:shd w:val="clear" w:color="auto" w:fill="FFFFFF"/>
        </w:rPr>
        <w:t>的</w:t>
      </w:r>
      <w:r>
        <w:rPr>
          <w:rFonts w:hint="eastAsia" w:ascii="宋体" w:hAnsi="宋体"/>
          <w:b/>
          <w:bCs/>
          <w:i/>
          <w:iCs/>
          <w:sz w:val="21"/>
          <w:szCs w:val="21"/>
          <w:u w:val="single"/>
        </w:rPr>
        <w:t>（关键工序）</w:t>
      </w:r>
      <w:r>
        <w:rPr>
          <w:rFonts w:hint="eastAsia" w:ascii="宋体" w:hAnsi="宋体" w:cs="宋体"/>
          <w:color w:val="000000"/>
          <w:sz w:val="21"/>
          <w:szCs w:val="21"/>
          <w:shd w:val="clear" w:color="auto" w:fill="FFFFFF"/>
        </w:rPr>
        <w:t>在中国境内完成。</w:t>
      </w:r>
    </w:p>
    <w:p>
      <w:pPr>
        <w:pStyle w:val="38"/>
        <w:widowControl/>
        <w:shd w:val="clear" w:color="auto" w:fill="FFFFFF"/>
        <w:ind w:firstLine="420" w:firstLineChars="200"/>
        <w:jc w:val="left"/>
        <w:rPr>
          <w:rFonts w:ascii="宋体" w:hAnsi="宋体" w:cs="宋体"/>
          <w:color w:val="000000"/>
          <w:sz w:val="21"/>
          <w:szCs w:val="21"/>
          <w:shd w:val="clear" w:color="auto" w:fill="FFFFFF"/>
        </w:rPr>
      </w:pPr>
      <w:r>
        <w:rPr>
          <w:rFonts w:hint="eastAsia" w:ascii="宋体" w:hAnsi="宋体" w:cs="宋体"/>
          <w:color w:val="000000"/>
          <w:sz w:val="21"/>
          <w:szCs w:val="21"/>
          <w:shd w:val="clear" w:color="auto" w:fill="FFFFFF"/>
        </w:rPr>
        <w:t>……</w:t>
      </w:r>
    </w:p>
    <w:p>
      <w:pPr>
        <w:pStyle w:val="38"/>
        <w:widowControl/>
        <w:shd w:val="clear" w:color="auto" w:fill="FFFFFF"/>
        <w:ind w:firstLine="421" w:firstLineChars="200"/>
        <w:jc w:val="left"/>
        <w:rPr>
          <w:rFonts w:ascii="宋体" w:hAnsi="宋体" w:cs="宋体"/>
          <w:color w:val="000000" w:themeColor="text1"/>
          <w:sz w:val="21"/>
          <w:szCs w:val="21"/>
          <w:shd w:val="clear" w:color="auto" w:fill="FFFFFF"/>
          <w14:textFill>
            <w14:solidFill>
              <w14:schemeClr w14:val="tx1"/>
            </w14:solidFill>
          </w14:textFill>
        </w:rPr>
      </w:pPr>
      <w:r>
        <w:rPr>
          <w:rFonts w:hint="eastAsia" w:ascii="宋体" w:hAnsi="宋体" w:cs="宋体"/>
          <w:b/>
          <w:bCs/>
          <w:color w:val="000000" w:themeColor="text1"/>
          <w:sz w:val="21"/>
          <w:szCs w:val="21"/>
          <w:shd w:val="clear" w:color="auto" w:fill="FFFFFF"/>
          <w14:textFill>
            <w14:solidFill>
              <w14:schemeClr w14:val="tx1"/>
            </w14:solidFill>
          </w14:textFill>
        </w:rPr>
        <w:t>本公司（单位）提供上述符合本国产品标准的产品成本之和占本公司（单位）提供的全部产品成本之和的比例达到</w:t>
      </w:r>
      <w:r>
        <w:rPr>
          <w:rFonts w:hint="eastAsia" w:ascii="宋体" w:hAnsi="宋体"/>
          <w:b/>
          <w:bCs/>
          <w:i/>
          <w:iCs/>
          <w:color w:val="000000" w:themeColor="text1"/>
          <w:sz w:val="21"/>
          <w:szCs w:val="21"/>
          <w:u w:val="single"/>
          <w14:textFill>
            <w14:solidFill>
              <w14:schemeClr w14:val="tx1"/>
            </w14:solidFill>
          </w14:textFill>
        </w:rPr>
        <w:t>（具体比例）</w:t>
      </w:r>
      <w:r>
        <w:rPr>
          <w:rFonts w:hint="eastAsia" w:ascii="宋体" w:hAnsi="宋体" w:cs="宋体"/>
          <w:b/>
          <w:bCs/>
          <w:color w:val="FF0000"/>
          <w:sz w:val="21"/>
          <w:szCs w:val="21"/>
          <w:shd w:val="clear" w:color="auto" w:fill="FFFFFF"/>
        </w:rPr>
        <w:t>6</w:t>
      </w:r>
      <w:r>
        <w:rPr>
          <w:rFonts w:hint="eastAsia" w:ascii="宋体" w:hAnsi="宋体" w:cs="宋体"/>
          <w:b/>
          <w:bCs/>
          <w:color w:val="000000" w:themeColor="text1"/>
          <w:sz w:val="21"/>
          <w:szCs w:val="21"/>
          <w:shd w:val="clear" w:color="auto" w:fill="FFFFFF"/>
          <w14:textFill>
            <w14:solidFill>
              <w14:schemeClr w14:val="tx1"/>
            </w14:solidFill>
          </w14:textFill>
        </w:rPr>
        <w:t>。</w:t>
      </w:r>
    </w:p>
    <w:p>
      <w:pPr>
        <w:pStyle w:val="38"/>
        <w:widowControl/>
        <w:shd w:val="clear" w:color="auto" w:fill="FFFFFF"/>
        <w:ind w:firstLine="420" w:firstLineChars="200"/>
        <w:jc w:val="left"/>
        <w:rPr>
          <w:rFonts w:ascii="宋体" w:hAnsi="宋体" w:cs="宋体"/>
          <w:color w:val="000000"/>
          <w:sz w:val="21"/>
          <w:szCs w:val="21"/>
        </w:rPr>
      </w:pPr>
      <w:r>
        <w:rPr>
          <w:rFonts w:hint="eastAsia" w:ascii="宋体" w:hAnsi="宋体" w:cs="宋体"/>
          <w:color w:val="000000"/>
          <w:sz w:val="21"/>
          <w:szCs w:val="21"/>
          <w:shd w:val="clear" w:color="auto" w:fill="FFFFFF"/>
        </w:rPr>
        <w:t>本公司（单位）对上述声明内容的真实性负责。如有虚假，愿承担相应法律责任。</w:t>
      </w:r>
    </w:p>
    <w:p>
      <w:pPr>
        <w:pStyle w:val="38"/>
        <w:widowControl/>
        <w:shd w:val="clear" w:color="auto" w:fill="FFFFFF"/>
        <w:ind w:right="840" w:rightChars="400"/>
        <w:jc w:val="right"/>
        <w:rPr>
          <w:rFonts w:ascii="宋体" w:hAnsi="宋体" w:cs="宋体"/>
          <w:color w:val="000000"/>
          <w:sz w:val="21"/>
          <w:szCs w:val="21"/>
          <w:shd w:val="clear" w:color="auto" w:fill="FFFFFF"/>
        </w:rPr>
      </w:pPr>
    </w:p>
    <w:p>
      <w:pPr>
        <w:pStyle w:val="38"/>
        <w:widowControl/>
        <w:shd w:val="clear" w:color="auto" w:fill="FFFFFF"/>
        <w:ind w:right="840" w:rightChars="400"/>
        <w:jc w:val="right"/>
        <w:rPr>
          <w:rFonts w:ascii="宋体" w:hAnsi="宋体" w:cs="宋体"/>
          <w:color w:val="000000"/>
          <w:sz w:val="21"/>
          <w:szCs w:val="21"/>
        </w:rPr>
      </w:pPr>
      <w:r>
        <w:rPr>
          <w:rFonts w:hint="eastAsia" w:ascii="宋体" w:hAnsi="宋体" w:cs="宋体"/>
          <w:color w:val="000000"/>
          <w:sz w:val="21"/>
          <w:szCs w:val="21"/>
          <w:shd w:val="clear" w:color="auto" w:fill="FFFFFF"/>
        </w:rPr>
        <w:t>公司（单位）名称：</w:t>
      </w:r>
    </w:p>
    <w:p>
      <w:pPr>
        <w:pStyle w:val="38"/>
        <w:widowControl/>
        <w:shd w:val="clear" w:color="auto" w:fill="FFFFFF"/>
        <w:ind w:right="840" w:rightChars="400"/>
        <w:jc w:val="right"/>
        <w:rPr>
          <w:rFonts w:ascii="宋体" w:hAnsi="宋体" w:cs="宋体"/>
          <w:color w:val="000000"/>
          <w:sz w:val="21"/>
          <w:szCs w:val="21"/>
        </w:rPr>
      </w:pPr>
      <w:r>
        <w:rPr>
          <w:rFonts w:hint="eastAsia" w:ascii="宋体" w:hAnsi="宋体" w:cs="宋体"/>
          <w:color w:val="000000"/>
          <w:sz w:val="21"/>
          <w:szCs w:val="21"/>
          <w:shd w:val="clear" w:color="auto" w:fill="FFFFFF"/>
        </w:rPr>
        <w:t>日期：    年  月  日</w:t>
      </w:r>
    </w:p>
    <w:p>
      <w:pPr>
        <w:ind w:left="723" w:hanging="722" w:hangingChars="300"/>
        <w:rPr>
          <w:b/>
          <w:sz w:val="24"/>
        </w:rPr>
      </w:pPr>
    </w:p>
    <w:p>
      <w:pPr>
        <w:jc w:val="both"/>
        <w:outlineLvl w:val="3"/>
        <w:rPr>
          <w:rFonts w:hint="eastAsia" w:ascii="黑体" w:hAnsi="宋体" w:eastAsia="黑体"/>
          <w:bCs/>
          <w:kern w:val="0"/>
          <w:sz w:val="24"/>
          <w:szCs w:val="32"/>
        </w:rPr>
      </w:pPr>
    </w:p>
    <w:p>
      <w:pPr>
        <w:jc w:val="both"/>
        <w:outlineLvl w:val="3"/>
        <w:rPr>
          <w:rFonts w:hint="eastAsia" w:ascii="黑体" w:hAnsi="宋体" w:eastAsia="黑体"/>
          <w:bCs/>
          <w:kern w:val="0"/>
          <w:sz w:val="24"/>
          <w:szCs w:val="32"/>
        </w:rPr>
      </w:pPr>
    </w:p>
    <w:p>
      <w:pPr>
        <w:jc w:val="both"/>
        <w:outlineLvl w:val="3"/>
        <w:rPr>
          <w:rFonts w:hint="eastAsia" w:ascii="黑体" w:hAnsi="宋体" w:eastAsia="黑体"/>
          <w:bCs/>
          <w:kern w:val="0"/>
          <w:sz w:val="24"/>
          <w:szCs w:val="32"/>
        </w:rPr>
      </w:pPr>
    </w:p>
    <w:p>
      <w:pPr>
        <w:jc w:val="both"/>
        <w:outlineLvl w:val="3"/>
        <w:rPr>
          <w:rFonts w:ascii="黑体" w:hAnsi="宋体" w:eastAsia="黑体"/>
          <w:bCs/>
          <w:kern w:val="0"/>
          <w:sz w:val="24"/>
          <w:szCs w:val="32"/>
        </w:rPr>
      </w:pPr>
      <w:r>
        <w:rPr>
          <w:rFonts w:hint="eastAsia" w:ascii="黑体" w:hAnsi="宋体" w:eastAsia="黑体"/>
          <w:bCs/>
          <w:kern w:val="0"/>
          <w:sz w:val="24"/>
          <w:szCs w:val="32"/>
        </w:rPr>
        <w:br w:type="textWrapping"/>
      </w:r>
      <w:r>
        <w:rPr>
          <w:rFonts w:hint="eastAsia" w:ascii="黑体" w:hAnsi="宋体" w:eastAsia="黑体"/>
          <w:bCs/>
          <w:kern w:val="0"/>
          <w:sz w:val="24"/>
          <w:szCs w:val="32"/>
        </w:rPr>
        <w:t>（</w:t>
      </w:r>
      <w:r>
        <w:rPr>
          <w:rFonts w:hint="eastAsia" w:ascii="黑体" w:hAnsi="宋体" w:eastAsia="黑体"/>
          <w:bCs/>
          <w:kern w:val="0"/>
          <w:sz w:val="24"/>
          <w:szCs w:val="32"/>
          <w:lang w:val="en-US" w:eastAsia="zh-CN"/>
        </w:rPr>
        <w:t>四</w:t>
      </w:r>
      <w:r>
        <w:rPr>
          <w:rFonts w:hint="eastAsia" w:ascii="黑体" w:hAnsi="宋体" w:eastAsia="黑体"/>
          <w:bCs/>
          <w:kern w:val="0"/>
          <w:sz w:val="24"/>
          <w:szCs w:val="32"/>
        </w:rPr>
        <w:t>）联合体投标协议（如为联合体投标须提供，格式供参考）</w:t>
      </w:r>
    </w:p>
    <w:p>
      <w:pPr>
        <w:ind w:firstLine="420"/>
      </w:pPr>
    </w:p>
    <w:p>
      <w:pPr>
        <w:widowControl/>
        <w:ind w:firstLine="420"/>
        <w:jc w:val="left"/>
        <w:rPr>
          <w:rFonts w:ascii="宋体" w:hAnsi="宋体"/>
          <w:color w:val="FF0000"/>
          <w:kern w:val="0"/>
          <w:szCs w:val="21"/>
        </w:rPr>
      </w:pPr>
      <w:r>
        <w:rPr>
          <w:rFonts w:hint="eastAsia" w:ascii="宋体" w:hAnsi="宋体"/>
          <w:color w:val="FF0000"/>
          <w:kern w:val="0"/>
          <w:szCs w:val="21"/>
        </w:rPr>
        <w:t>致：</w:t>
      </w:r>
      <w:r>
        <w:rPr>
          <w:rFonts w:hint="eastAsia" w:ascii="宋体" w:hAnsi="宋体"/>
          <w:color w:val="FF0000"/>
          <w:kern w:val="0"/>
          <w:szCs w:val="21"/>
          <w:u w:val="single"/>
        </w:rPr>
        <w:t>深圳公共资源交易中心</w:t>
      </w:r>
    </w:p>
    <w:p>
      <w:pPr>
        <w:widowControl/>
        <w:adjustRightInd w:val="0"/>
        <w:snapToGrid w:val="0"/>
        <w:spacing w:line="360" w:lineRule="auto"/>
        <w:ind w:firstLine="420" w:firstLineChars="200"/>
        <w:jc w:val="left"/>
        <w:rPr>
          <w:rFonts w:ascii="宋体" w:hAnsi="宋体"/>
          <w:snapToGrid w:val="0"/>
          <w:kern w:val="0"/>
          <w:szCs w:val="21"/>
        </w:rPr>
      </w:pPr>
      <w:r>
        <w:rPr>
          <w:rFonts w:hint="eastAsia" w:ascii="宋体" w:hAnsi="宋体"/>
          <w:snapToGrid w:val="0"/>
          <w:kern w:val="0"/>
          <w:szCs w:val="21"/>
        </w:rPr>
        <w:t>（所有成员单位名称）自愿组成（联合体名称：联合体牵头方简称加成员单位简称，下同），共同参加（项目名称/招标编号）的投标。现就联合体投标事宜订立如下协议。</w:t>
      </w:r>
    </w:p>
    <w:p>
      <w:pPr>
        <w:adjustRightInd w:val="0"/>
        <w:snapToGrid w:val="0"/>
        <w:spacing w:line="360" w:lineRule="auto"/>
        <w:ind w:firstLine="420" w:firstLineChars="200"/>
        <w:jc w:val="left"/>
        <w:rPr>
          <w:rFonts w:ascii="宋体" w:hAnsi="宋体"/>
          <w:snapToGrid w:val="0"/>
          <w:kern w:val="0"/>
          <w:szCs w:val="21"/>
        </w:rPr>
      </w:pPr>
      <w:r>
        <w:rPr>
          <w:rFonts w:hint="eastAsia" w:ascii="宋体" w:hAnsi="宋体"/>
          <w:snapToGrid w:val="0"/>
          <w:kern w:val="0"/>
          <w:szCs w:val="21"/>
        </w:rPr>
        <w:t>1.（联合体牵头方名称）为（联合体名称）主办方。</w:t>
      </w:r>
    </w:p>
    <w:p>
      <w:pPr>
        <w:widowControl/>
        <w:adjustRightInd w:val="0"/>
        <w:snapToGrid w:val="0"/>
        <w:spacing w:line="360" w:lineRule="auto"/>
        <w:ind w:firstLine="420" w:firstLineChars="200"/>
        <w:jc w:val="left"/>
        <w:rPr>
          <w:rFonts w:ascii="宋体" w:hAnsi="宋体"/>
          <w:snapToGrid w:val="0"/>
          <w:kern w:val="0"/>
          <w:szCs w:val="21"/>
        </w:rPr>
      </w:pPr>
      <w:r>
        <w:rPr>
          <w:rFonts w:hint="eastAsia" w:ascii="宋体" w:hAnsi="宋体"/>
          <w:snapToGrid w:val="0"/>
          <w:kern w:val="0"/>
          <w:szCs w:val="21"/>
        </w:rPr>
        <w:t>2.联合体牵头方合法代表联合体各成员负责本招标项目投标文件编制和合同谈判活动，并代表联合体提交和接收相关的资料、信息及指示，并处理与之有关的一切事务，负责合同实施阶段的主办、组织和协调工作。</w:t>
      </w:r>
    </w:p>
    <w:p>
      <w:pPr>
        <w:widowControl/>
        <w:adjustRightInd w:val="0"/>
        <w:snapToGrid w:val="0"/>
        <w:spacing w:line="360" w:lineRule="auto"/>
        <w:ind w:firstLine="420" w:firstLineChars="200"/>
        <w:jc w:val="left"/>
        <w:rPr>
          <w:rFonts w:ascii="宋体" w:hAnsi="宋体"/>
          <w:snapToGrid w:val="0"/>
          <w:kern w:val="0"/>
          <w:szCs w:val="21"/>
        </w:rPr>
      </w:pPr>
      <w:r>
        <w:rPr>
          <w:rFonts w:hint="eastAsia" w:ascii="宋体" w:hAnsi="宋体"/>
          <w:snapToGrid w:val="0"/>
          <w:kern w:val="0"/>
          <w:szCs w:val="21"/>
        </w:rPr>
        <w:t>3.联合体将严格按照招标文件的各项要求，递交投标文件，履行合同，并对外承担连带责任。</w:t>
      </w:r>
    </w:p>
    <w:p>
      <w:pPr>
        <w:widowControl/>
        <w:adjustRightInd w:val="0"/>
        <w:snapToGrid w:val="0"/>
        <w:spacing w:line="360" w:lineRule="auto"/>
        <w:ind w:firstLine="420" w:firstLineChars="200"/>
        <w:jc w:val="left"/>
        <w:rPr>
          <w:rFonts w:ascii="宋体" w:hAnsi="宋体"/>
          <w:snapToGrid w:val="0"/>
          <w:kern w:val="0"/>
          <w:szCs w:val="21"/>
        </w:rPr>
      </w:pPr>
      <w:r>
        <w:rPr>
          <w:rFonts w:hint="eastAsia" w:ascii="宋体" w:hAnsi="宋体"/>
          <w:snapToGrid w:val="0"/>
          <w:kern w:val="0"/>
          <w:szCs w:val="21"/>
        </w:rPr>
        <w:t>4.联合体各方承担的工作和义务如下：</w:t>
      </w:r>
    </w:p>
    <w:p>
      <w:pPr>
        <w:widowControl/>
        <w:adjustRightInd w:val="0"/>
        <w:snapToGrid w:val="0"/>
        <w:spacing w:line="360" w:lineRule="auto"/>
        <w:ind w:firstLine="420" w:firstLineChars="200"/>
        <w:jc w:val="left"/>
        <w:rPr>
          <w:rFonts w:ascii="宋体" w:hAnsi="宋体"/>
          <w:snapToGrid w:val="0"/>
          <w:kern w:val="0"/>
          <w:szCs w:val="21"/>
          <w:u w:val="single"/>
        </w:rPr>
      </w:pPr>
    </w:p>
    <w:p>
      <w:pPr>
        <w:widowControl/>
        <w:adjustRightInd w:val="0"/>
        <w:snapToGrid w:val="0"/>
        <w:spacing w:line="360" w:lineRule="auto"/>
        <w:ind w:firstLine="420" w:firstLineChars="200"/>
        <w:jc w:val="left"/>
        <w:rPr>
          <w:rFonts w:ascii="宋体" w:hAnsi="宋体"/>
          <w:snapToGrid w:val="0"/>
          <w:kern w:val="0"/>
          <w:szCs w:val="21"/>
          <w:u w:val="single"/>
        </w:rPr>
      </w:pPr>
      <w:r>
        <w:rPr>
          <w:rFonts w:hint="eastAsia" w:ascii="宋体" w:hAnsi="宋体"/>
          <w:snapToGrid w:val="0"/>
          <w:kern w:val="0"/>
          <w:szCs w:val="21"/>
          <w:u w:val="single"/>
        </w:rPr>
        <w:t xml:space="preserve">                                                                        。</w:t>
      </w:r>
    </w:p>
    <w:p>
      <w:pPr>
        <w:widowControl/>
        <w:adjustRightInd w:val="0"/>
        <w:snapToGrid w:val="0"/>
        <w:spacing w:line="360" w:lineRule="auto"/>
        <w:ind w:firstLine="420" w:firstLineChars="200"/>
        <w:jc w:val="left"/>
        <w:rPr>
          <w:rFonts w:ascii="宋体" w:hAnsi="宋体"/>
          <w:snapToGrid w:val="0"/>
          <w:kern w:val="0"/>
          <w:szCs w:val="21"/>
        </w:rPr>
      </w:pPr>
      <w:r>
        <w:rPr>
          <w:rFonts w:hint="eastAsia" w:ascii="宋体" w:hAnsi="宋体"/>
          <w:snapToGrid w:val="0"/>
          <w:kern w:val="0"/>
          <w:szCs w:val="21"/>
        </w:rPr>
        <w:t>5.联合体各成员费用占比情况：</w:t>
      </w:r>
    </w:p>
    <w:p>
      <w:pPr>
        <w:widowControl/>
        <w:adjustRightInd w:val="0"/>
        <w:snapToGrid w:val="0"/>
        <w:spacing w:line="360" w:lineRule="auto"/>
        <w:ind w:firstLine="420" w:firstLineChars="200"/>
        <w:jc w:val="left"/>
        <w:rPr>
          <w:rFonts w:ascii="宋体" w:hAnsi="宋体"/>
          <w:snapToGrid w:val="0"/>
          <w:kern w:val="0"/>
          <w:szCs w:val="21"/>
          <w:u w:val="single"/>
        </w:rPr>
      </w:pPr>
      <w:r>
        <w:rPr>
          <w:rFonts w:hint="eastAsia" w:ascii="宋体" w:hAnsi="宋体"/>
          <w:snapToGrid w:val="0"/>
          <w:kern w:val="0"/>
          <w:szCs w:val="21"/>
          <w:u w:val="single"/>
        </w:rPr>
        <w:t xml:space="preserve">                                                                     。</w:t>
      </w:r>
    </w:p>
    <w:p>
      <w:pPr>
        <w:widowControl/>
        <w:adjustRightInd w:val="0"/>
        <w:snapToGrid w:val="0"/>
        <w:spacing w:line="360" w:lineRule="auto"/>
        <w:ind w:firstLine="420" w:firstLineChars="200"/>
        <w:jc w:val="left"/>
        <w:rPr>
          <w:rFonts w:ascii="宋体" w:hAnsi="宋体"/>
          <w:snapToGrid w:val="0"/>
          <w:kern w:val="0"/>
          <w:szCs w:val="21"/>
        </w:rPr>
      </w:pPr>
      <w:r>
        <w:rPr>
          <w:rFonts w:hint="eastAsia" w:ascii="宋体" w:hAnsi="宋体"/>
          <w:snapToGrid w:val="0"/>
          <w:kern w:val="0"/>
          <w:szCs w:val="21"/>
        </w:rPr>
        <w:t>6.联合体各方同意指定联合体牵头方之法定代表人或其授权委托人为联合体授权代表执行联合体有关的决议，以联合体名义处理与本项目相关的事务。</w:t>
      </w:r>
    </w:p>
    <w:p>
      <w:pPr>
        <w:widowControl/>
        <w:adjustRightInd w:val="0"/>
        <w:snapToGrid w:val="0"/>
        <w:spacing w:line="360" w:lineRule="auto"/>
        <w:ind w:firstLine="420" w:firstLineChars="200"/>
        <w:jc w:val="left"/>
        <w:rPr>
          <w:rFonts w:ascii="宋体" w:hAnsi="宋体"/>
          <w:snapToGrid w:val="0"/>
          <w:kern w:val="0"/>
          <w:szCs w:val="21"/>
        </w:rPr>
      </w:pPr>
      <w:r>
        <w:rPr>
          <w:rFonts w:hint="eastAsia" w:ascii="宋体" w:hAnsi="宋体"/>
          <w:snapToGrid w:val="0"/>
          <w:kern w:val="0"/>
          <w:szCs w:val="21"/>
        </w:rPr>
        <w:t>7.联合体形成后，各成员不得再以自己名义或者与其他供应商另外组成联合体在本项目中投标。</w:t>
      </w:r>
    </w:p>
    <w:p>
      <w:pPr>
        <w:widowControl/>
        <w:adjustRightInd w:val="0"/>
        <w:snapToGrid w:val="0"/>
        <w:spacing w:line="360" w:lineRule="auto"/>
        <w:ind w:firstLine="420" w:firstLineChars="200"/>
        <w:jc w:val="left"/>
        <w:rPr>
          <w:rFonts w:ascii="宋体" w:hAnsi="宋体"/>
          <w:snapToGrid w:val="0"/>
          <w:kern w:val="0"/>
          <w:szCs w:val="21"/>
        </w:rPr>
      </w:pPr>
      <w:r>
        <w:rPr>
          <w:rFonts w:hint="eastAsia" w:ascii="宋体" w:hAnsi="宋体"/>
          <w:snapToGrid w:val="0"/>
          <w:kern w:val="0"/>
          <w:szCs w:val="21"/>
        </w:rPr>
        <w:t>8.本协议书自签署并盖章之日起生效，履行完合同约定的全部义务或者该项目未能中标，则本协议自动终止。</w:t>
      </w:r>
    </w:p>
    <w:p>
      <w:pPr>
        <w:widowControl/>
        <w:adjustRightInd w:val="0"/>
        <w:snapToGrid w:val="0"/>
        <w:spacing w:line="360" w:lineRule="auto"/>
        <w:ind w:firstLine="420" w:firstLineChars="200"/>
        <w:jc w:val="left"/>
        <w:rPr>
          <w:rFonts w:ascii="宋体" w:hAnsi="宋体"/>
          <w:snapToGrid w:val="0"/>
          <w:kern w:val="0"/>
          <w:szCs w:val="21"/>
        </w:rPr>
      </w:pPr>
      <w:r>
        <w:rPr>
          <w:rFonts w:hint="eastAsia" w:ascii="宋体" w:hAnsi="宋体"/>
          <w:snapToGrid w:val="0"/>
          <w:kern w:val="0"/>
          <w:szCs w:val="21"/>
        </w:rPr>
        <w:t>9.如果本联合体中标，在与招标人签订承包合同之前，双方应就本项目实施过程的有关问题协商一致后，另行签订补充协议，补充协议与本协议具有同等的约束力。</w:t>
      </w:r>
      <w:r>
        <w:rPr>
          <w:rFonts w:hint="eastAsia"/>
        </w:rPr>
        <w:t>联合体各方须共同与采购人签订采购合同，就采购合同约定的事项对采购人承担连带责任。</w:t>
      </w:r>
    </w:p>
    <w:p>
      <w:pPr>
        <w:widowControl/>
        <w:adjustRightInd w:val="0"/>
        <w:snapToGrid w:val="0"/>
        <w:spacing w:line="360" w:lineRule="auto"/>
        <w:ind w:firstLine="420" w:firstLineChars="200"/>
        <w:jc w:val="left"/>
        <w:rPr>
          <w:rFonts w:ascii="宋体" w:hAnsi="宋体"/>
          <w:snapToGrid w:val="0"/>
          <w:kern w:val="0"/>
          <w:szCs w:val="21"/>
        </w:rPr>
      </w:pPr>
      <w:r>
        <w:rPr>
          <w:rFonts w:hint="eastAsia" w:ascii="宋体" w:hAnsi="宋体"/>
          <w:snapToGrid w:val="0"/>
          <w:kern w:val="0"/>
          <w:szCs w:val="21"/>
        </w:rPr>
        <w:t>10.本协议书一式 份，联合体成员和招标人各执一份。</w:t>
      </w:r>
    </w:p>
    <w:p>
      <w:pPr>
        <w:widowControl/>
        <w:adjustRightInd w:val="0"/>
        <w:snapToGrid w:val="0"/>
        <w:spacing w:line="360" w:lineRule="auto"/>
        <w:ind w:firstLine="420" w:firstLineChars="200"/>
        <w:jc w:val="left"/>
        <w:rPr>
          <w:rFonts w:ascii="宋体" w:hAnsi="宋体"/>
          <w:snapToGrid w:val="0"/>
          <w:kern w:val="0"/>
          <w:szCs w:val="21"/>
        </w:rPr>
      </w:pPr>
      <w:r>
        <w:rPr>
          <w:rFonts w:hint="eastAsia" w:ascii="宋体" w:hAnsi="宋体"/>
          <w:snapToGrid w:val="0"/>
          <w:kern w:val="0"/>
          <w:szCs w:val="21"/>
        </w:rPr>
        <w:t>注：本协议书由委托代理人签字的，应附法定代表人签字的授权委托书。</w:t>
      </w:r>
    </w:p>
    <w:p>
      <w:pPr>
        <w:widowControl/>
        <w:adjustRightInd w:val="0"/>
        <w:snapToGrid w:val="0"/>
        <w:spacing w:line="360" w:lineRule="auto"/>
        <w:ind w:firstLine="420"/>
        <w:jc w:val="left"/>
        <w:rPr>
          <w:rFonts w:ascii="宋体" w:hAnsi="宋体"/>
          <w:snapToGrid w:val="0"/>
          <w:kern w:val="0"/>
          <w:szCs w:val="21"/>
        </w:rPr>
      </w:pPr>
    </w:p>
    <w:p>
      <w:pPr>
        <w:adjustRightInd w:val="0"/>
        <w:snapToGrid w:val="0"/>
        <w:spacing w:line="720" w:lineRule="auto"/>
        <w:ind w:firstLine="420" w:firstLineChars="200"/>
        <w:jc w:val="left"/>
        <w:rPr>
          <w:rFonts w:ascii="宋体" w:hAnsi="宋体"/>
          <w:snapToGrid w:val="0"/>
          <w:kern w:val="0"/>
          <w:szCs w:val="21"/>
        </w:rPr>
      </w:pPr>
      <w:r>
        <w:rPr>
          <w:rFonts w:hint="eastAsia" w:ascii="宋体" w:hAnsi="宋体"/>
          <w:snapToGrid w:val="0"/>
          <w:kern w:val="0"/>
          <w:szCs w:val="21"/>
        </w:rPr>
        <w:t>联合体牵头方名称：</w:t>
      </w:r>
      <w:r>
        <w:rPr>
          <w:rFonts w:hint="eastAsia" w:ascii="宋体" w:hAnsi="宋体"/>
          <w:snapToGrid w:val="0"/>
          <w:kern w:val="0"/>
          <w:szCs w:val="21"/>
          <w:u w:val="single"/>
        </w:rPr>
        <w:t xml:space="preserve">                                 （盖单位公章）</w:t>
      </w:r>
    </w:p>
    <w:p>
      <w:pPr>
        <w:adjustRightInd w:val="0"/>
        <w:snapToGrid w:val="0"/>
        <w:spacing w:line="720" w:lineRule="auto"/>
        <w:ind w:firstLine="420" w:firstLineChars="200"/>
        <w:jc w:val="left"/>
        <w:rPr>
          <w:rFonts w:ascii="宋体" w:hAnsi="宋体"/>
          <w:snapToGrid w:val="0"/>
          <w:kern w:val="0"/>
          <w:szCs w:val="21"/>
          <w:u w:val="single"/>
        </w:rPr>
      </w:pPr>
      <w:r>
        <w:rPr>
          <w:rFonts w:hint="eastAsia" w:ascii="宋体" w:hAnsi="宋体"/>
          <w:snapToGrid w:val="0"/>
          <w:kern w:val="0"/>
          <w:szCs w:val="21"/>
        </w:rPr>
        <w:t>法定代表人或其委托代理人：</w:t>
      </w:r>
      <w:r>
        <w:rPr>
          <w:rFonts w:hint="eastAsia" w:ascii="宋体" w:hAnsi="宋体"/>
          <w:snapToGrid w:val="0"/>
          <w:kern w:val="0"/>
          <w:szCs w:val="21"/>
          <w:u w:val="single"/>
        </w:rPr>
        <w:t xml:space="preserve">   （签字或盖章）                     </w:t>
      </w:r>
    </w:p>
    <w:p>
      <w:pPr>
        <w:adjustRightInd w:val="0"/>
        <w:snapToGrid w:val="0"/>
        <w:spacing w:line="720" w:lineRule="auto"/>
        <w:ind w:firstLine="420" w:firstLineChars="200"/>
        <w:jc w:val="left"/>
        <w:rPr>
          <w:rFonts w:ascii="宋体" w:hAnsi="宋体"/>
          <w:snapToGrid w:val="0"/>
          <w:kern w:val="0"/>
          <w:szCs w:val="21"/>
        </w:rPr>
      </w:pPr>
      <w:r>
        <w:rPr>
          <w:rFonts w:hint="eastAsia" w:ascii="宋体" w:hAnsi="宋体"/>
          <w:snapToGrid w:val="0"/>
          <w:kern w:val="0"/>
          <w:szCs w:val="21"/>
        </w:rPr>
        <w:t>联合体成员名称：</w:t>
      </w:r>
      <w:r>
        <w:rPr>
          <w:rFonts w:hint="eastAsia" w:ascii="宋体" w:hAnsi="宋体"/>
          <w:snapToGrid w:val="0"/>
          <w:kern w:val="0"/>
          <w:szCs w:val="21"/>
          <w:u w:val="single"/>
        </w:rPr>
        <w:t xml:space="preserve">                                   （盖单位公章）</w:t>
      </w:r>
    </w:p>
    <w:p>
      <w:pPr>
        <w:adjustRightInd w:val="0"/>
        <w:snapToGrid w:val="0"/>
        <w:spacing w:line="720" w:lineRule="auto"/>
        <w:ind w:firstLine="420" w:firstLineChars="200"/>
        <w:jc w:val="left"/>
        <w:rPr>
          <w:rFonts w:ascii="宋体" w:hAnsi="宋体"/>
          <w:snapToGrid w:val="0"/>
          <w:kern w:val="0"/>
          <w:szCs w:val="21"/>
        </w:rPr>
      </w:pPr>
      <w:r>
        <w:rPr>
          <w:rFonts w:hint="eastAsia" w:ascii="宋体" w:hAnsi="宋体"/>
          <w:snapToGrid w:val="0"/>
          <w:kern w:val="0"/>
          <w:szCs w:val="21"/>
        </w:rPr>
        <w:t>法定代表人或其委托代理人：</w:t>
      </w:r>
      <w:r>
        <w:rPr>
          <w:rFonts w:hint="eastAsia" w:ascii="宋体" w:hAnsi="宋体"/>
          <w:snapToGrid w:val="0"/>
          <w:kern w:val="0"/>
          <w:szCs w:val="21"/>
          <w:u w:val="single"/>
        </w:rPr>
        <w:t xml:space="preserve">   （签字或盖章）                     </w:t>
      </w:r>
    </w:p>
    <w:p>
      <w:pPr>
        <w:adjustRightInd w:val="0"/>
        <w:snapToGrid w:val="0"/>
        <w:spacing w:line="720" w:lineRule="auto"/>
        <w:ind w:firstLine="420" w:firstLineChars="200"/>
        <w:jc w:val="left"/>
        <w:rPr>
          <w:rFonts w:ascii="宋体" w:hAnsi="宋体"/>
          <w:snapToGrid w:val="0"/>
          <w:kern w:val="0"/>
          <w:szCs w:val="21"/>
        </w:rPr>
      </w:pPr>
      <w:r>
        <w:rPr>
          <w:rFonts w:hint="eastAsia" w:ascii="宋体" w:hAnsi="宋体"/>
          <w:snapToGrid w:val="0"/>
          <w:kern w:val="0"/>
          <w:szCs w:val="21"/>
        </w:rPr>
        <w:t>签署日期：年月日</w:t>
      </w:r>
    </w:p>
    <w:p>
      <w:pPr>
        <w:widowControl/>
        <w:adjustRightInd w:val="0"/>
        <w:snapToGrid w:val="0"/>
        <w:spacing w:line="360" w:lineRule="auto"/>
        <w:ind w:firstLine="420" w:firstLineChars="200"/>
        <w:jc w:val="left"/>
        <w:rPr>
          <w:rFonts w:ascii="宋体" w:hAnsi="宋体"/>
          <w:snapToGrid w:val="0"/>
          <w:kern w:val="0"/>
          <w:szCs w:val="21"/>
        </w:rPr>
      </w:pPr>
    </w:p>
    <w:p>
      <w:pPr>
        <w:widowControl/>
        <w:adjustRightInd w:val="0"/>
        <w:snapToGrid w:val="0"/>
        <w:spacing w:line="360" w:lineRule="auto"/>
        <w:ind w:firstLine="421" w:firstLineChars="200"/>
        <w:jc w:val="left"/>
        <w:rPr>
          <w:rFonts w:ascii="宋体" w:hAnsi="宋体"/>
          <w:b/>
          <w:snapToGrid w:val="0"/>
          <w:color w:val="FF0000"/>
          <w:kern w:val="0"/>
          <w:szCs w:val="21"/>
        </w:rPr>
      </w:pPr>
      <w:r>
        <w:rPr>
          <w:rFonts w:hint="eastAsia" w:ascii="宋体" w:hAnsi="宋体"/>
          <w:b/>
          <w:snapToGrid w:val="0"/>
          <w:color w:val="FF0000"/>
          <w:kern w:val="0"/>
          <w:szCs w:val="21"/>
        </w:rPr>
        <w:t>说明：1、本协议书要求提供相关签字、加盖公章后的扫描件方为有效（即制作投标文件时在相应节点中导入附有扫描件的word文档）。</w:t>
      </w:r>
    </w:p>
    <w:p>
      <w:pPr>
        <w:widowControl/>
        <w:adjustRightInd w:val="0"/>
        <w:snapToGrid w:val="0"/>
        <w:spacing w:line="360" w:lineRule="auto"/>
        <w:ind w:firstLine="421" w:firstLineChars="200"/>
        <w:jc w:val="left"/>
        <w:rPr>
          <w:rFonts w:ascii="宋体" w:hAnsi="宋体"/>
          <w:b/>
          <w:snapToGrid w:val="0"/>
          <w:color w:val="FF0000"/>
          <w:kern w:val="0"/>
          <w:szCs w:val="21"/>
        </w:rPr>
      </w:pPr>
      <w:r>
        <w:rPr>
          <w:rFonts w:hint="eastAsia" w:ascii="宋体" w:hAnsi="宋体"/>
          <w:b/>
          <w:snapToGrid w:val="0"/>
          <w:color w:val="FF0000"/>
          <w:kern w:val="0"/>
          <w:szCs w:val="21"/>
        </w:rPr>
        <w:t xml:space="preserve">2、如联合体成员中有小型、微型企业和监狱企业，请提供中小企业声明函，并在本协议中注明费用占比情况。     </w:t>
      </w:r>
    </w:p>
    <w:p>
      <w:pPr>
        <w:widowControl/>
        <w:spacing w:before="60" w:beforeLines="25" w:after="60" w:afterLines="25"/>
        <w:ind w:firstLine="420"/>
        <w:jc w:val="left"/>
        <w:rPr>
          <w:rFonts w:ascii="宋体" w:hAnsi="宋体"/>
          <w:kern w:val="0"/>
          <w:szCs w:val="21"/>
        </w:rPr>
      </w:pPr>
    </w:p>
    <w:p>
      <w:pPr>
        <w:widowControl/>
        <w:spacing w:before="60" w:beforeLines="25" w:after="60" w:afterLines="25"/>
        <w:ind w:firstLine="4830" w:firstLineChars="2300"/>
        <w:jc w:val="left"/>
        <w:rPr>
          <w:rFonts w:ascii="宋体" w:hAnsi="宋体"/>
          <w:kern w:val="0"/>
          <w:szCs w:val="21"/>
        </w:rPr>
      </w:pPr>
      <w:r>
        <w:rPr>
          <w:rFonts w:hint="eastAsia" w:ascii="宋体" w:hAnsi="宋体"/>
          <w:kern w:val="0"/>
          <w:szCs w:val="21"/>
        </w:rPr>
        <w:t>投标人：</w:t>
      </w:r>
    </w:p>
    <w:p>
      <w:pPr>
        <w:widowControl/>
        <w:ind w:firstLine="420"/>
        <w:jc w:val="left"/>
        <w:rPr>
          <w:rFonts w:ascii="宋体" w:hAnsi="宋体"/>
          <w:kern w:val="0"/>
          <w:szCs w:val="21"/>
        </w:rPr>
      </w:pPr>
      <w:r>
        <w:rPr>
          <w:rFonts w:hint="eastAsia" w:ascii="宋体" w:hAnsi="宋体"/>
          <w:kern w:val="0"/>
          <w:szCs w:val="21"/>
        </w:rPr>
        <w:t xml:space="preserve">                                        日期：年月日</w:t>
      </w:r>
    </w:p>
    <w:p>
      <w:pPr>
        <w:pStyle w:val="204"/>
      </w:pPr>
    </w:p>
    <w:p>
      <w:pPr>
        <w:pStyle w:val="204"/>
      </w:pPr>
    </w:p>
    <w:p>
      <w:r>
        <w:rPr>
          <w:rFonts w:hint="eastAsia" w:ascii="黑体" w:hAnsi="宋体" w:eastAsia="黑体"/>
          <w:color w:val="FF0000"/>
          <w:highlight w:val="yellow"/>
        </w:rPr>
        <w:t>备注：如联合体投标，投标人一栏须填写联合体所有成员单位的名称。</w:t>
      </w:r>
    </w:p>
    <w:p>
      <w:pPr>
        <w:pStyle w:val="5"/>
        <w:jc w:val="center"/>
        <w:rPr>
          <w:rFonts w:hint="eastAsia" w:ascii="黑体" w:eastAsia="黑体"/>
          <w:b w:val="0"/>
          <w:sz w:val="24"/>
        </w:rPr>
      </w:pPr>
    </w:p>
    <w:p>
      <w:pPr>
        <w:pStyle w:val="5"/>
        <w:jc w:val="center"/>
        <w:rPr>
          <w:rFonts w:hint="eastAsia" w:ascii="黑体" w:eastAsia="黑体"/>
          <w:b w:val="0"/>
          <w:sz w:val="24"/>
        </w:rPr>
      </w:pPr>
      <w:r>
        <w:rPr>
          <w:rFonts w:hint="eastAsia" w:ascii="黑体" w:eastAsia="黑体"/>
          <w:b w:val="0"/>
          <w:sz w:val="24"/>
        </w:rPr>
        <w:t>四、投标人获奖（荣誉）情况</w:t>
      </w:r>
    </w:p>
    <w:p>
      <w:pPr>
        <w:pStyle w:val="5"/>
        <w:jc w:val="center"/>
        <w:rPr>
          <w:rFonts w:hint="eastAsia" w:ascii="黑体" w:eastAsia="黑体"/>
          <w:b w:val="0"/>
          <w:sz w:val="24"/>
        </w:rPr>
      </w:pPr>
    </w:p>
    <w:p>
      <w:pPr>
        <w:pStyle w:val="5"/>
        <w:jc w:val="center"/>
        <w:rPr>
          <w:rFonts w:hint="eastAsia" w:ascii="黑体" w:eastAsia="黑体"/>
          <w:b w:val="0"/>
          <w:sz w:val="24"/>
        </w:rPr>
      </w:pPr>
      <w:r>
        <w:rPr>
          <w:rFonts w:hint="eastAsia" w:ascii="黑体" w:eastAsia="黑体"/>
          <w:b w:val="0"/>
          <w:sz w:val="24"/>
          <w:lang w:val="en-US" w:eastAsia="zh-CN"/>
        </w:rPr>
        <w:t>五、</w:t>
      </w:r>
      <w:r>
        <w:rPr>
          <w:rFonts w:hint="eastAsia" w:ascii="黑体" w:eastAsia="黑体"/>
          <w:b w:val="0"/>
          <w:sz w:val="24"/>
        </w:rPr>
        <w:t>投标人自主知识产权产品（创新、设计）情况</w:t>
      </w:r>
    </w:p>
    <w:p>
      <w:pPr>
        <w:pStyle w:val="5"/>
        <w:jc w:val="center"/>
        <w:rPr>
          <w:rFonts w:hint="eastAsia" w:ascii="黑体" w:eastAsia="黑体"/>
          <w:b w:val="0"/>
          <w:sz w:val="24"/>
        </w:rPr>
      </w:pPr>
    </w:p>
    <w:p>
      <w:pPr>
        <w:pStyle w:val="5"/>
        <w:jc w:val="center"/>
        <w:rPr>
          <w:rFonts w:ascii="黑体" w:eastAsia="黑体"/>
          <w:b w:val="0"/>
          <w:sz w:val="24"/>
        </w:rPr>
      </w:pPr>
      <w:r>
        <w:rPr>
          <w:rFonts w:hint="eastAsia" w:ascii="黑体" w:eastAsia="黑体"/>
          <w:b w:val="0"/>
          <w:sz w:val="24"/>
          <w:lang w:val="en-US" w:eastAsia="zh-CN"/>
        </w:rPr>
        <w:t>六、</w:t>
      </w:r>
      <w:r>
        <w:rPr>
          <w:rFonts w:hint="eastAsia" w:ascii="黑体" w:eastAsia="黑体"/>
          <w:b w:val="0"/>
          <w:sz w:val="24"/>
        </w:rPr>
        <w:t>本地化服务能力</w:t>
      </w:r>
    </w:p>
    <w:p>
      <w:pPr>
        <w:pStyle w:val="2"/>
      </w:pPr>
    </w:p>
    <w:p>
      <w:pPr>
        <w:ind w:firstLine="1445" w:firstLineChars="600"/>
        <w:rPr>
          <w:b/>
          <w:color w:val="FF0000"/>
          <w:sz w:val="24"/>
        </w:rPr>
      </w:pPr>
      <w:r>
        <w:rPr>
          <w:rFonts w:hint="eastAsia"/>
          <w:b/>
          <w:color w:val="FF0000"/>
          <w:sz w:val="24"/>
        </w:rPr>
        <w:t>（信息公开部分的内容到此为止！以下为信息不公开部分。）</w:t>
      </w:r>
    </w:p>
    <w:p>
      <w:pPr>
        <w:jc w:val="center"/>
        <w:rPr>
          <w:b/>
          <w:sz w:val="32"/>
          <w:szCs w:val="32"/>
        </w:rPr>
      </w:pPr>
    </w:p>
    <w:p>
      <w:pPr>
        <w:rPr>
          <w:rFonts w:ascii="仿宋_GB2312" w:eastAsia="仿宋_GB2312"/>
          <w:b/>
          <w:sz w:val="30"/>
          <w:szCs w:val="30"/>
        </w:rPr>
      </w:pPr>
      <w:r>
        <w:rPr>
          <w:rFonts w:hint="eastAsia" w:ascii="仿宋_GB2312" w:eastAsia="仿宋_GB2312"/>
          <w:b/>
          <w:sz w:val="30"/>
          <w:szCs w:val="30"/>
        </w:rPr>
        <w:br w:type="page"/>
      </w:r>
    </w:p>
    <w:p>
      <w:pPr>
        <w:outlineLvl w:val="1"/>
        <w:rPr>
          <w:rFonts w:ascii="宋体" w:hAnsi="宋体"/>
          <w:b/>
          <w:color w:val="FF0000"/>
          <w:sz w:val="28"/>
          <w:szCs w:val="28"/>
        </w:rPr>
      </w:pPr>
      <w:r>
        <w:rPr>
          <w:rFonts w:hint="eastAsia" w:ascii="宋体" w:hAnsi="宋体"/>
          <w:b/>
          <w:color w:val="FF0000"/>
          <w:sz w:val="28"/>
          <w:szCs w:val="28"/>
        </w:rPr>
        <w:t>投标文件附件（信息不公开部分）</w:t>
      </w:r>
    </w:p>
    <w:p>
      <w:pPr>
        <w:pStyle w:val="194"/>
        <w:rPr>
          <w:rFonts w:ascii="宋体" w:hAnsi="宋体"/>
          <w:b/>
          <w:color w:val="FF0000"/>
          <w:sz w:val="28"/>
          <w:szCs w:val="28"/>
        </w:rPr>
      </w:pPr>
    </w:p>
    <w:p>
      <w:pPr>
        <w:pStyle w:val="5"/>
        <w:jc w:val="center"/>
        <w:rPr>
          <w:rFonts w:ascii="黑体" w:eastAsia="黑体"/>
          <w:b w:val="0"/>
          <w:sz w:val="24"/>
        </w:rPr>
      </w:pPr>
      <w:r>
        <w:rPr>
          <w:rFonts w:hint="eastAsia" w:ascii="黑体" w:eastAsia="黑体"/>
          <w:b w:val="0"/>
          <w:sz w:val="24"/>
        </w:rPr>
        <w:t>一、供应商基本情况表</w:t>
      </w:r>
    </w:p>
    <w:tbl>
      <w:tblPr>
        <w:tblStyle w:val="4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645"/>
        <w:gridCol w:w="1530"/>
        <w:gridCol w:w="904"/>
        <w:gridCol w:w="752"/>
        <w:gridCol w:w="1146"/>
        <w:gridCol w:w="1429"/>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pct"/>
            <w:gridSpan w:val="2"/>
            <w:vAlign w:val="center"/>
          </w:tcPr>
          <w:p>
            <w:pPr>
              <w:rPr>
                <w:rFonts w:ascii="宋体" w:hAnsi="宋体" w:cs="宋体"/>
                <w:szCs w:val="21"/>
              </w:rPr>
            </w:pPr>
            <w:r>
              <w:rPr>
                <w:rFonts w:hint="eastAsia" w:ascii="宋体" w:hAnsi="宋体" w:cs="宋体"/>
                <w:szCs w:val="21"/>
              </w:rPr>
              <w:t>投标（响应）供应商</w:t>
            </w:r>
          </w:p>
        </w:tc>
        <w:tc>
          <w:tcPr>
            <w:tcW w:w="1427" w:type="pct"/>
            <w:gridSpan w:val="2"/>
            <w:vAlign w:val="center"/>
          </w:tcPr>
          <w:p>
            <w:pPr>
              <w:jc w:val="center"/>
              <w:rPr>
                <w:rFonts w:ascii="宋体" w:hAnsi="宋体" w:cs="宋体"/>
                <w:szCs w:val="21"/>
              </w:rPr>
            </w:pPr>
          </w:p>
        </w:tc>
        <w:tc>
          <w:tcPr>
            <w:tcW w:w="1113" w:type="pct"/>
            <w:gridSpan w:val="2"/>
            <w:vAlign w:val="center"/>
          </w:tcPr>
          <w:p>
            <w:pPr>
              <w:jc w:val="center"/>
              <w:rPr>
                <w:rFonts w:ascii="宋体" w:hAnsi="宋体" w:cs="宋体"/>
                <w:szCs w:val="21"/>
              </w:rPr>
            </w:pPr>
            <w:r>
              <w:rPr>
                <w:rFonts w:hint="eastAsia" w:ascii="宋体" w:hAnsi="宋体" w:cs="宋体"/>
                <w:szCs w:val="21"/>
              </w:rPr>
              <w:t>项目名称及编号</w:t>
            </w:r>
          </w:p>
        </w:tc>
        <w:tc>
          <w:tcPr>
            <w:tcW w:w="1669" w:type="pct"/>
            <w:gridSpan w:val="2"/>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vAlign w:val="center"/>
          </w:tcPr>
          <w:p>
            <w:pPr>
              <w:jc w:val="center"/>
              <w:rPr>
                <w:rFonts w:ascii="宋体" w:hAnsi="宋体" w:cs="宋体"/>
                <w:szCs w:val="21"/>
              </w:rPr>
            </w:pPr>
            <w:r>
              <w:rPr>
                <w:rFonts w:hint="eastAsia" w:ascii="宋体" w:hAnsi="宋体" w:cs="宋体"/>
                <w:b/>
                <w:bCs/>
                <w:szCs w:val="21"/>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bottom w:val="single" w:color="auto" w:sz="4" w:space="0"/>
            </w:tcBorders>
            <w:vAlign w:val="center"/>
          </w:tcPr>
          <w:p>
            <w:pPr>
              <w:snapToGrid w:val="0"/>
              <w:jc w:val="center"/>
              <w:rPr>
                <w:rFonts w:ascii="宋体" w:hAnsi="宋体" w:cs="宋体"/>
                <w:szCs w:val="21"/>
              </w:rPr>
            </w:pPr>
            <w:r>
              <w:rPr>
                <w:rFonts w:hint="eastAsia" w:ascii="宋体" w:hAnsi="宋体" w:cs="宋体"/>
                <w:szCs w:val="21"/>
              </w:rPr>
              <w:t>序号</w:t>
            </w:r>
          </w:p>
        </w:tc>
        <w:tc>
          <w:tcPr>
            <w:tcW w:w="1275" w:type="pct"/>
            <w:gridSpan w:val="2"/>
            <w:tcBorders>
              <w:bottom w:val="single" w:color="auto" w:sz="4" w:space="0"/>
            </w:tcBorders>
            <w:vAlign w:val="center"/>
          </w:tcPr>
          <w:p>
            <w:pPr>
              <w:jc w:val="center"/>
              <w:rPr>
                <w:rFonts w:ascii="宋体" w:hAnsi="宋体" w:cs="宋体"/>
                <w:szCs w:val="21"/>
              </w:rPr>
            </w:pPr>
            <w:r>
              <w:rPr>
                <w:rFonts w:hint="eastAsia" w:ascii="宋体" w:hAnsi="宋体" w:cs="宋体"/>
                <w:szCs w:val="21"/>
              </w:rPr>
              <w:t>职务</w:t>
            </w:r>
          </w:p>
        </w:tc>
        <w:tc>
          <w:tcPr>
            <w:tcW w:w="529" w:type="pct"/>
            <w:tcBorders>
              <w:bottom w:val="single" w:color="auto" w:sz="4" w:space="0"/>
            </w:tcBorders>
            <w:vAlign w:val="center"/>
          </w:tcPr>
          <w:p>
            <w:pPr>
              <w:jc w:val="center"/>
              <w:rPr>
                <w:rFonts w:ascii="宋体" w:hAnsi="宋体" w:cs="宋体"/>
                <w:szCs w:val="21"/>
              </w:rPr>
            </w:pPr>
            <w:r>
              <w:rPr>
                <w:rFonts w:hint="eastAsia" w:ascii="宋体" w:hAnsi="宋体" w:cs="宋体"/>
                <w:szCs w:val="21"/>
              </w:rPr>
              <w:t>姓名</w:t>
            </w:r>
          </w:p>
        </w:tc>
        <w:tc>
          <w:tcPr>
            <w:tcW w:w="1113" w:type="pct"/>
            <w:gridSpan w:val="2"/>
            <w:tcBorders>
              <w:bottom w:val="single" w:color="auto" w:sz="4" w:space="0"/>
            </w:tcBorders>
            <w:vAlign w:val="center"/>
          </w:tcPr>
          <w:p>
            <w:pPr>
              <w:jc w:val="center"/>
              <w:rPr>
                <w:rFonts w:ascii="宋体" w:hAnsi="宋体" w:cs="宋体"/>
                <w:szCs w:val="21"/>
              </w:rPr>
            </w:pPr>
            <w:r>
              <w:rPr>
                <w:rFonts w:hint="eastAsia" w:ascii="宋体" w:hAnsi="宋体" w:cs="宋体"/>
                <w:szCs w:val="21"/>
              </w:rPr>
              <w:t>身份证号码</w:t>
            </w:r>
          </w:p>
        </w:tc>
        <w:tc>
          <w:tcPr>
            <w:tcW w:w="838" w:type="pct"/>
            <w:tcBorders>
              <w:bottom w:val="single" w:color="auto" w:sz="4" w:space="0"/>
            </w:tcBorders>
            <w:vAlign w:val="center"/>
          </w:tcPr>
          <w:p>
            <w:pPr>
              <w:snapToGrid w:val="0"/>
              <w:jc w:val="center"/>
              <w:rPr>
                <w:rFonts w:ascii="宋体" w:hAnsi="宋体" w:cs="宋体"/>
                <w:szCs w:val="21"/>
              </w:rPr>
            </w:pPr>
            <w:r>
              <w:rPr>
                <w:rFonts w:hint="eastAsia" w:ascii="宋体" w:hAnsi="宋体" w:cs="宋体"/>
                <w:szCs w:val="21"/>
              </w:rPr>
              <w:t>劳动合同</w:t>
            </w:r>
          </w:p>
          <w:p>
            <w:pPr>
              <w:snapToGrid w:val="0"/>
              <w:jc w:val="center"/>
              <w:rPr>
                <w:rFonts w:ascii="宋体" w:hAnsi="宋体" w:cs="宋体"/>
                <w:szCs w:val="21"/>
              </w:rPr>
            </w:pPr>
            <w:r>
              <w:rPr>
                <w:rFonts w:hint="eastAsia" w:ascii="宋体" w:hAnsi="宋体" w:cs="宋体"/>
                <w:szCs w:val="21"/>
              </w:rPr>
              <w:t>关系单位</w:t>
            </w:r>
          </w:p>
        </w:tc>
        <w:tc>
          <w:tcPr>
            <w:tcW w:w="830" w:type="pct"/>
            <w:tcBorders>
              <w:bottom w:val="single" w:color="auto" w:sz="4" w:space="0"/>
            </w:tcBorders>
            <w:vAlign w:val="center"/>
          </w:tcPr>
          <w:p>
            <w:pPr>
              <w:snapToGrid w:val="0"/>
              <w:jc w:val="center"/>
              <w:rPr>
                <w:rFonts w:ascii="宋体" w:hAnsi="宋体" w:cs="宋体"/>
                <w:szCs w:val="21"/>
              </w:rPr>
            </w:pPr>
            <w:r>
              <w:rPr>
                <w:rFonts w:hint="eastAsia" w:ascii="宋体" w:hAnsi="宋体" w:cs="宋体"/>
                <w:szCs w:val="21"/>
              </w:rPr>
              <w:t>缴纳社会</w:t>
            </w:r>
          </w:p>
          <w:p>
            <w:pPr>
              <w:snapToGrid w:val="0"/>
              <w:jc w:val="center"/>
              <w:rPr>
                <w:rFonts w:ascii="宋体" w:hAnsi="宋体" w:cs="宋体"/>
                <w:szCs w:val="21"/>
              </w:rPr>
            </w:pPr>
            <w:r>
              <w:rPr>
                <w:rFonts w:hint="eastAsia" w:ascii="宋体" w:hAnsi="宋体" w:cs="宋体"/>
                <w:szCs w:val="21"/>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w:t>
            </w:r>
          </w:p>
        </w:tc>
        <w:tc>
          <w:tcPr>
            <w:tcW w:w="1275" w:type="pct"/>
            <w:gridSpan w:val="2"/>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宋体" w:hAnsi="宋体" w:cs="宋体"/>
                <w:szCs w:val="21"/>
              </w:rPr>
            </w:pPr>
            <w:r>
              <w:rPr>
                <w:rFonts w:hint="eastAsia" w:ascii="宋体" w:hAnsi="宋体" w:cs="宋体"/>
                <w:szCs w:val="21"/>
              </w:rPr>
              <w:t>法定代表人/单位负责人/主要经营负责人</w:t>
            </w:r>
          </w:p>
        </w:tc>
        <w:tc>
          <w:tcPr>
            <w:tcW w:w="529"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838"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830"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w:t>
            </w:r>
          </w:p>
        </w:tc>
        <w:tc>
          <w:tcPr>
            <w:tcW w:w="1275"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项目投标授权代表人</w:t>
            </w:r>
          </w:p>
        </w:tc>
        <w:tc>
          <w:tcPr>
            <w:tcW w:w="529"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838"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830"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tcBorders>
            <w:vAlign w:val="center"/>
          </w:tcPr>
          <w:p>
            <w:pPr>
              <w:jc w:val="center"/>
              <w:rPr>
                <w:rFonts w:ascii="宋体" w:hAnsi="宋体" w:cs="宋体"/>
                <w:szCs w:val="21"/>
              </w:rPr>
            </w:pPr>
            <w:r>
              <w:rPr>
                <w:rFonts w:hint="eastAsia" w:ascii="宋体" w:hAnsi="宋体" w:cs="宋体"/>
                <w:szCs w:val="21"/>
                <w:lang w:bidi="ar"/>
              </w:rPr>
              <w:t>3</w:t>
            </w:r>
          </w:p>
        </w:tc>
        <w:tc>
          <w:tcPr>
            <w:tcW w:w="1275" w:type="pct"/>
            <w:gridSpan w:val="2"/>
            <w:tcBorders>
              <w:top w:val="single" w:color="auto" w:sz="4" w:space="0"/>
            </w:tcBorders>
            <w:vAlign w:val="center"/>
          </w:tcPr>
          <w:p>
            <w:pPr>
              <w:jc w:val="center"/>
              <w:rPr>
                <w:rFonts w:ascii="宋体" w:hAnsi="宋体" w:cs="宋体"/>
                <w:szCs w:val="21"/>
              </w:rPr>
            </w:pPr>
            <w:r>
              <w:rPr>
                <w:rFonts w:hint="eastAsia" w:ascii="宋体" w:hAnsi="宋体" w:cs="宋体"/>
                <w:szCs w:val="21"/>
              </w:rPr>
              <w:t>项目负责人</w:t>
            </w:r>
          </w:p>
        </w:tc>
        <w:tc>
          <w:tcPr>
            <w:tcW w:w="529" w:type="pct"/>
            <w:tcBorders>
              <w:top w:val="single" w:color="auto" w:sz="4" w:space="0"/>
            </w:tcBorders>
            <w:vAlign w:val="center"/>
          </w:tcPr>
          <w:p>
            <w:pPr>
              <w:jc w:val="center"/>
              <w:rPr>
                <w:rFonts w:ascii="宋体" w:hAnsi="宋体" w:cs="宋体"/>
                <w:szCs w:val="21"/>
              </w:rPr>
            </w:pPr>
          </w:p>
        </w:tc>
        <w:tc>
          <w:tcPr>
            <w:tcW w:w="1113" w:type="pct"/>
            <w:gridSpan w:val="2"/>
            <w:tcBorders>
              <w:top w:val="single" w:color="auto" w:sz="4" w:space="0"/>
            </w:tcBorders>
            <w:vAlign w:val="center"/>
          </w:tcPr>
          <w:p>
            <w:pPr>
              <w:jc w:val="center"/>
              <w:rPr>
                <w:rFonts w:ascii="宋体" w:hAnsi="宋体" w:cs="宋体"/>
                <w:szCs w:val="21"/>
              </w:rPr>
            </w:pPr>
          </w:p>
        </w:tc>
        <w:tc>
          <w:tcPr>
            <w:tcW w:w="838" w:type="pct"/>
            <w:tcBorders>
              <w:top w:val="single" w:color="auto" w:sz="4" w:space="0"/>
            </w:tcBorders>
            <w:vAlign w:val="center"/>
          </w:tcPr>
          <w:p>
            <w:pPr>
              <w:jc w:val="center"/>
              <w:rPr>
                <w:rFonts w:ascii="宋体" w:hAnsi="宋体" w:cs="宋体"/>
                <w:szCs w:val="21"/>
              </w:rPr>
            </w:pPr>
          </w:p>
        </w:tc>
        <w:tc>
          <w:tcPr>
            <w:tcW w:w="830" w:type="pct"/>
            <w:tcBorders>
              <w:top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vAlign w:val="center"/>
          </w:tcPr>
          <w:p>
            <w:pPr>
              <w:jc w:val="center"/>
              <w:rPr>
                <w:rFonts w:ascii="宋体" w:hAnsi="宋体" w:cs="宋体"/>
                <w:szCs w:val="21"/>
              </w:rPr>
            </w:pPr>
            <w:r>
              <w:rPr>
                <w:rFonts w:hint="eastAsia" w:ascii="宋体" w:hAnsi="宋体" w:cs="宋体"/>
                <w:szCs w:val="21"/>
                <w:lang w:bidi="ar"/>
              </w:rPr>
              <w:t>4</w:t>
            </w:r>
          </w:p>
        </w:tc>
        <w:tc>
          <w:tcPr>
            <w:tcW w:w="1275" w:type="pct"/>
            <w:gridSpan w:val="2"/>
            <w:vAlign w:val="center"/>
          </w:tcPr>
          <w:p>
            <w:pPr>
              <w:jc w:val="center"/>
              <w:rPr>
                <w:rFonts w:ascii="宋体" w:hAnsi="宋体" w:cs="宋体"/>
                <w:szCs w:val="21"/>
              </w:rPr>
            </w:pPr>
            <w:r>
              <w:rPr>
                <w:rFonts w:hint="eastAsia" w:ascii="宋体" w:hAnsi="宋体" w:cs="宋体"/>
                <w:szCs w:val="21"/>
              </w:rPr>
              <w:t>主要技术人员</w:t>
            </w:r>
          </w:p>
        </w:tc>
        <w:tc>
          <w:tcPr>
            <w:tcW w:w="529" w:type="pct"/>
            <w:vAlign w:val="center"/>
          </w:tcPr>
          <w:p>
            <w:pPr>
              <w:jc w:val="center"/>
              <w:rPr>
                <w:rFonts w:ascii="宋体" w:hAnsi="宋体" w:cs="宋体"/>
                <w:szCs w:val="21"/>
              </w:rPr>
            </w:pPr>
          </w:p>
        </w:tc>
        <w:tc>
          <w:tcPr>
            <w:tcW w:w="1113" w:type="pct"/>
            <w:gridSpan w:val="2"/>
            <w:vAlign w:val="center"/>
          </w:tcPr>
          <w:p>
            <w:pPr>
              <w:jc w:val="center"/>
              <w:rPr>
                <w:rFonts w:ascii="宋体" w:hAnsi="宋体" w:cs="宋体"/>
                <w:szCs w:val="21"/>
              </w:rPr>
            </w:pPr>
          </w:p>
        </w:tc>
        <w:tc>
          <w:tcPr>
            <w:tcW w:w="838" w:type="pct"/>
            <w:vAlign w:val="center"/>
          </w:tcPr>
          <w:p>
            <w:pPr>
              <w:jc w:val="center"/>
              <w:rPr>
                <w:rFonts w:ascii="宋体" w:hAnsi="宋体" w:cs="宋体"/>
                <w:szCs w:val="21"/>
              </w:rPr>
            </w:pPr>
          </w:p>
        </w:tc>
        <w:tc>
          <w:tcPr>
            <w:tcW w:w="830" w:type="pct"/>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1" w:type="pct"/>
            <w:vAlign w:val="center"/>
          </w:tcPr>
          <w:p>
            <w:pPr>
              <w:jc w:val="center"/>
              <w:rPr>
                <w:rFonts w:ascii="宋体" w:hAnsi="宋体" w:cs="宋体"/>
                <w:szCs w:val="21"/>
              </w:rPr>
            </w:pPr>
            <w:r>
              <w:rPr>
                <w:rFonts w:hint="eastAsia" w:ascii="宋体" w:hAnsi="宋体" w:cs="宋体"/>
                <w:szCs w:val="21"/>
                <w:lang w:bidi="ar"/>
              </w:rPr>
              <w:t>5</w:t>
            </w:r>
          </w:p>
        </w:tc>
        <w:tc>
          <w:tcPr>
            <w:tcW w:w="1275" w:type="pct"/>
            <w:gridSpan w:val="2"/>
            <w:vAlign w:val="center"/>
          </w:tcPr>
          <w:p>
            <w:pPr>
              <w:snapToGrid w:val="0"/>
              <w:jc w:val="center"/>
              <w:rPr>
                <w:rFonts w:ascii="宋体" w:hAnsi="宋体" w:cs="宋体"/>
                <w:szCs w:val="21"/>
              </w:rPr>
            </w:pPr>
            <w:r>
              <w:rPr>
                <w:rFonts w:hint="eastAsia" w:ascii="宋体" w:hAnsi="宋体" w:cs="宋体"/>
                <w:szCs w:val="21"/>
              </w:rPr>
              <w:t>投标文件编制人员</w:t>
            </w:r>
          </w:p>
        </w:tc>
        <w:tc>
          <w:tcPr>
            <w:tcW w:w="529" w:type="pct"/>
            <w:vAlign w:val="center"/>
          </w:tcPr>
          <w:p>
            <w:pPr>
              <w:jc w:val="center"/>
              <w:rPr>
                <w:rFonts w:ascii="宋体" w:hAnsi="宋体" w:cs="宋体"/>
                <w:szCs w:val="21"/>
              </w:rPr>
            </w:pPr>
          </w:p>
        </w:tc>
        <w:tc>
          <w:tcPr>
            <w:tcW w:w="1113" w:type="pct"/>
            <w:gridSpan w:val="2"/>
            <w:vAlign w:val="center"/>
          </w:tcPr>
          <w:p>
            <w:pPr>
              <w:jc w:val="center"/>
              <w:rPr>
                <w:rFonts w:ascii="宋体" w:hAnsi="宋体" w:cs="宋体"/>
                <w:szCs w:val="21"/>
              </w:rPr>
            </w:pPr>
          </w:p>
        </w:tc>
        <w:tc>
          <w:tcPr>
            <w:tcW w:w="838" w:type="pct"/>
            <w:vAlign w:val="center"/>
          </w:tcPr>
          <w:p>
            <w:pPr>
              <w:jc w:val="center"/>
              <w:rPr>
                <w:rFonts w:ascii="宋体" w:hAnsi="宋体" w:cs="宋体"/>
                <w:szCs w:val="21"/>
              </w:rPr>
            </w:pPr>
          </w:p>
        </w:tc>
        <w:tc>
          <w:tcPr>
            <w:tcW w:w="830" w:type="pct"/>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vAlign w:val="center"/>
          </w:tcPr>
          <w:p>
            <w:pPr>
              <w:rPr>
                <w:rFonts w:ascii="宋体" w:hAnsi="宋体" w:cs="宋体"/>
                <w:szCs w:val="21"/>
              </w:rPr>
            </w:pPr>
            <w:r>
              <w:rPr>
                <w:rFonts w:hint="eastAsia" w:ascii="宋体" w:hAnsi="宋体" w:cs="宋体"/>
                <w:b/>
                <w:bCs/>
                <w:szCs w:val="21"/>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000" w:type="pct"/>
            <w:gridSpan w:val="8"/>
            <w:vAlign w:val="center"/>
          </w:tcPr>
          <w:p>
            <w:pPr>
              <w:jc w:val="center"/>
              <w:rPr>
                <w:rFonts w:ascii="宋体" w:hAnsi="宋体" w:cs="宋体"/>
                <w:b/>
                <w:bCs/>
                <w:szCs w:val="21"/>
              </w:rPr>
            </w:pPr>
            <w:r>
              <w:rPr>
                <w:rFonts w:hint="eastAsia" w:ascii="宋体" w:hAnsi="宋体" w:cs="宋体"/>
                <w:b/>
                <w:bCs/>
                <w:szCs w:val="21"/>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bottom w:val="single" w:color="auto" w:sz="4" w:space="0"/>
            </w:tcBorders>
            <w:vAlign w:val="center"/>
          </w:tcPr>
          <w:p>
            <w:pPr>
              <w:jc w:val="center"/>
              <w:rPr>
                <w:rFonts w:ascii="宋体" w:hAnsi="宋体" w:cs="宋体"/>
                <w:szCs w:val="21"/>
                <w:lang w:bidi="ar"/>
              </w:rPr>
            </w:pPr>
            <w:r>
              <w:rPr>
                <w:rFonts w:hint="eastAsia" w:ascii="宋体" w:hAnsi="宋体" w:cs="宋体"/>
                <w:szCs w:val="21"/>
                <w:lang w:bidi="ar"/>
              </w:rPr>
              <w:t>序号</w:t>
            </w:r>
          </w:p>
        </w:tc>
        <w:tc>
          <w:tcPr>
            <w:tcW w:w="1275" w:type="pct"/>
            <w:gridSpan w:val="2"/>
            <w:tcBorders>
              <w:bottom w:val="single" w:color="auto" w:sz="4" w:space="0"/>
            </w:tcBorders>
            <w:vAlign w:val="center"/>
          </w:tcPr>
          <w:p>
            <w:pPr>
              <w:jc w:val="center"/>
              <w:rPr>
                <w:rFonts w:ascii="宋体" w:hAnsi="宋体" w:cs="宋体"/>
                <w:szCs w:val="21"/>
              </w:rPr>
            </w:pPr>
            <w:r>
              <w:rPr>
                <w:rFonts w:hint="eastAsia" w:ascii="宋体" w:hAnsi="宋体" w:cs="宋体"/>
                <w:szCs w:val="21"/>
              </w:rPr>
              <w:t>关联关系类型</w:t>
            </w:r>
          </w:p>
        </w:tc>
        <w:tc>
          <w:tcPr>
            <w:tcW w:w="971" w:type="pct"/>
            <w:gridSpan w:val="2"/>
            <w:tcBorders>
              <w:bottom w:val="single" w:color="auto" w:sz="4" w:space="0"/>
            </w:tcBorders>
            <w:vAlign w:val="center"/>
          </w:tcPr>
          <w:p>
            <w:pPr>
              <w:jc w:val="center"/>
              <w:rPr>
                <w:rFonts w:ascii="宋体" w:hAnsi="宋体" w:cs="宋体"/>
                <w:szCs w:val="21"/>
              </w:rPr>
            </w:pPr>
            <w:r>
              <w:rPr>
                <w:rFonts w:hint="eastAsia" w:ascii="宋体" w:hAnsi="宋体" w:cs="宋体"/>
                <w:szCs w:val="21"/>
              </w:rPr>
              <w:t>关联主体名称</w:t>
            </w:r>
          </w:p>
        </w:tc>
        <w:tc>
          <w:tcPr>
            <w:tcW w:w="2340" w:type="pct"/>
            <w:gridSpan w:val="3"/>
            <w:tcBorders>
              <w:bottom w:val="single" w:color="auto" w:sz="4" w:space="0"/>
            </w:tcBorders>
            <w:vAlign w:val="center"/>
          </w:tcPr>
          <w:p>
            <w:pPr>
              <w:jc w:val="center"/>
              <w:rPr>
                <w:rFonts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lang w:bidi="ar"/>
              </w:rPr>
            </w:pPr>
            <w:r>
              <w:rPr>
                <w:rFonts w:hint="eastAsia" w:ascii="宋体" w:hAnsi="宋体" w:cs="宋体"/>
                <w:szCs w:val="21"/>
                <w:lang w:bidi="ar"/>
              </w:rPr>
              <w:t>1</w:t>
            </w:r>
          </w:p>
        </w:tc>
        <w:tc>
          <w:tcPr>
            <w:tcW w:w="1275"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控股股东</w:t>
            </w:r>
          </w:p>
        </w:tc>
        <w:tc>
          <w:tcPr>
            <w:tcW w:w="971"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2340" w:type="pct"/>
            <w:gridSpan w:val="3"/>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s="宋体"/>
                <w:szCs w:val="21"/>
              </w:rPr>
            </w:pPr>
            <w:r>
              <w:rPr>
                <w:rFonts w:hint="eastAsia" w:ascii="宋体" w:hAnsi="宋体" w:cs="宋体"/>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41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lang w:bidi="ar"/>
              </w:rPr>
            </w:pPr>
            <w:r>
              <w:rPr>
                <w:rFonts w:hint="eastAsia" w:ascii="宋体" w:hAnsi="宋体" w:cs="宋体"/>
                <w:szCs w:val="21"/>
                <w:lang w:bidi="ar"/>
              </w:rPr>
              <w:t>2</w:t>
            </w:r>
          </w:p>
        </w:tc>
        <w:tc>
          <w:tcPr>
            <w:tcW w:w="1275"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管理关系</w:t>
            </w:r>
          </w:p>
        </w:tc>
        <w:tc>
          <w:tcPr>
            <w:tcW w:w="971"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2340" w:type="pct"/>
            <w:gridSpan w:val="3"/>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s="宋体"/>
                <w:szCs w:val="21"/>
              </w:rPr>
            </w:pPr>
            <w:r>
              <w:rPr>
                <w:rFonts w:hint="eastAsia" w:ascii="宋体" w:hAnsi="宋体" w:cs="宋体"/>
                <w:szCs w:val="21"/>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s="宋体"/>
                <w:szCs w:val="21"/>
              </w:rPr>
            </w:pPr>
            <w:r>
              <w:rPr>
                <w:rFonts w:hint="eastAsia" w:ascii="宋体" w:hAnsi="宋体" w:cs="宋体"/>
                <w:b/>
                <w:bCs/>
                <w:szCs w:val="21"/>
              </w:rPr>
              <w:t>说明：同一关联关系类型有多个主体的，应分行填写。</w:t>
            </w:r>
          </w:p>
        </w:tc>
      </w:tr>
    </w:tbl>
    <w:p>
      <w:pPr>
        <w:pStyle w:val="194"/>
        <w:rPr>
          <w:rFonts w:ascii="宋体" w:hAnsi="宋体"/>
          <w:b/>
          <w:color w:val="FF0000"/>
          <w:sz w:val="28"/>
          <w:szCs w:val="28"/>
        </w:rPr>
      </w:pPr>
    </w:p>
    <w:p>
      <w:pPr>
        <w:pStyle w:val="194"/>
        <w:rPr>
          <w:rFonts w:ascii="宋体" w:hAnsi="宋体"/>
          <w:b/>
          <w:color w:val="FF0000"/>
          <w:sz w:val="28"/>
          <w:szCs w:val="28"/>
        </w:rPr>
      </w:pPr>
      <w:r>
        <w:rPr>
          <w:rFonts w:hint="eastAsia" w:ascii="黑体" w:hAnsi="黑体" w:eastAsia="黑体" w:cs="黑体"/>
          <w:b/>
          <w:bCs/>
          <w:color w:val="FF0000"/>
          <w:sz w:val="24"/>
          <w:szCs w:val="24"/>
        </w:rPr>
        <w:t>温馨提示：</w:t>
      </w:r>
      <w:r>
        <w:rPr>
          <w:rFonts w:hint="eastAsia" w:ascii="Times New Roman" w:hAnsi="Times New Roman"/>
          <w:color w:val="FF0000"/>
          <w:szCs w:val="21"/>
        </w:rPr>
        <w:t>为避免出现《深圳经济特区政府采购条例实施细则》第七十七条第一款第（三）项所列情形（项目负责人或者主要技术人员不是本单位人员的），请投标供应商核实贵单本项目负责人（如有）、主要技术人员（如有）等是否在贵单位缴纳社会保险。</w:t>
      </w:r>
    </w:p>
    <w:p>
      <w:pPr>
        <w:pStyle w:val="194"/>
        <w:rPr>
          <w:rFonts w:ascii="宋体" w:hAnsi="宋体"/>
          <w:b/>
          <w:color w:val="FF0000"/>
          <w:sz w:val="28"/>
          <w:szCs w:val="28"/>
        </w:rPr>
      </w:pPr>
      <w:r>
        <w:rPr>
          <w:rFonts w:hint="eastAsia"/>
          <w:color w:val="FF0000"/>
          <w:highlight w:val="yellow"/>
        </w:rPr>
        <w:t>备注：如联合体投标，联合体所有成员均须提供。</w:t>
      </w:r>
    </w:p>
    <w:p>
      <w:pPr>
        <w:pStyle w:val="5"/>
        <w:jc w:val="center"/>
        <w:rPr>
          <w:rFonts w:hint="eastAsia" w:ascii="黑体" w:eastAsia="黑体"/>
          <w:b w:val="0"/>
          <w:sz w:val="24"/>
        </w:rPr>
      </w:pPr>
    </w:p>
    <w:p>
      <w:pPr>
        <w:pStyle w:val="5"/>
        <w:jc w:val="center"/>
        <w:rPr>
          <w:rFonts w:ascii="黑体" w:eastAsia="黑体"/>
          <w:b w:val="0"/>
          <w:sz w:val="24"/>
        </w:rPr>
      </w:pPr>
      <w:r>
        <w:rPr>
          <w:rFonts w:hint="eastAsia" w:ascii="黑体" w:eastAsia="黑体"/>
          <w:b w:val="0"/>
          <w:sz w:val="24"/>
        </w:rPr>
        <w:t>二、</w:t>
      </w:r>
      <w:bookmarkStart w:id="46" w:name="_Hlk72092499"/>
      <w:r>
        <w:rPr>
          <w:rFonts w:hint="eastAsia" w:ascii="黑体" w:eastAsia="黑体"/>
          <w:b w:val="0"/>
          <w:sz w:val="24"/>
        </w:rPr>
        <w:t>法定代表人（负责人）证明书</w:t>
      </w:r>
      <w:bookmarkEnd w:id="46"/>
    </w:p>
    <w:p>
      <w:pPr>
        <w:rPr>
          <w:sz w:val="24"/>
        </w:rPr>
      </w:pPr>
    </w:p>
    <w:p>
      <w:pPr>
        <w:spacing w:line="360" w:lineRule="auto"/>
        <w:ind w:firstLine="420" w:firstLineChars="200"/>
        <w:rPr>
          <w:szCs w:val="21"/>
        </w:rPr>
      </w:pPr>
      <w:r>
        <w:rPr>
          <w:rFonts w:hint="eastAsia"/>
          <w:szCs w:val="21"/>
          <w:u w:val="single"/>
        </w:rPr>
        <w:t xml:space="preserve">                 </w:t>
      </w:r>
      <w:r>
        <w:rPr>
          <w:rFonts w:hint="eastAsia"/>
          <w:szCs w:val="21"/>
        </w:rPr>
        <w:t>（姓名），现任我单位</w:t>
      </w:r>
      <w:r>
        <w:rPr>
          <w:rFonts w:hint="eastAsia"/>
          <w:szCs w:val="21"/>
          <w:u w:val="single"/>
        </w:rPr>
        <w:t xml:space="preserve">             </w:t>
      </w:r>
      <w:r>
        <w:rPr>
          <w:rFonts w:hint="eastAsia"/>
          <w:szCs w:val="21"/>
        </w:rPr>
        <w:t>职务，为法定代表人（负责人），身份证件号为：</w:t>
      </w:r>
      <w:r>
        <w:rPr>
          <w:rFonts w:hint="eastAsia"/>
          <w:szCs w:val="21"/>
          <w:u w:val="single"/>
        </w:rPr>
        <w:t xml:space="preserve">                                     </w:t>
      </w:r>
      <w:r>
        <w:rPr>
          <w:rFonts w:hint="eastAsia"/>
          <w:szCs w:val="21"/>
        </w:rPr>
        <w:t>，联系电话：</w:t>
      </w:r>
      <w:r>
        <w:rPr>
          <w:rFonts w:hint="eastAsia"/>
          <w:szCs w:val="21"/>
          <w:u w:val="single"/>
        </w:rPr>
        <w:t xml:space="preserve">                </w:t>
      </w:r>
      <w:r>
        <w:rPr>
          <w:rFonts w:hint="eastAsia"/>
          <w:szCs w:val="21"/>
        </w:rPr>
        <w:t>。</w:t>
      </w:r>
    </w:p>
    <w:p>
      <w:pPr>
        <w:spacing w:line="360" w:lineRule="auto"/>
        <w:ind w:firstLine="420" w:firstLineChars="200"/>
        <w:rPr>
          <w:szCs w:val="21"/>
        </w:rPr>
      </w:pPr>
      <w:r>
        <w:rPr>
          <w:rFonts w:hint="eastAsia"/>
          <w:szCs w:val="21"/>
        </w:rPr>
        <w:t>特此证明。</w:t>
      </w:r>
    </w:p>
    <w:p>
      <w:pPr>
        <w:spacing w:line="360" w:lineRule="auto"/>
        <w:ind w:firstLine="420" w:firstLineChars="200"/>
        <w:rPr>
          <w:szCs w:val="21"/>
        </w:rPr>
      </w:pPr>
      <w:r>
        <w:rPr>
          <w:rFonts w:hint="eastAsia"/>
          <w:szCs w:val="21"/>
        </w:rPr>
        <w:t>说明：1、法定代表人为投标人（企业事业单位、国家机关、社会团体）的主要行政负责人。</w:t>
      </w:r>
    </w:p>
    <w:p>
      <w:pPr>
        <w:numPr>
          <w:ilvl w:val="0"/>
          <w:numId w:val="15"/>
        </w:numPr>
        <w:spacing w:line="360" w:lineRule="auto"/>
        <w:ind w:firstLine="420" w:firstLineChars="200"/>
        <w:rPr>
          <w:szCs w:val="21"/>
        </w:rPr>
      </w:pPr>
      <w:r>
        <w:rPr>
          <w:rFonts w:hint="eastAsia"/>
          <w:szCs w:val="21"/>
          <w:lang w:eastAsia="zh-Hans"/>
        </w:rPr>
        <w:t>本证明书</w:t>
      </w:r>
      <w:r>
        <w:rPr>
          <w:rFonts w:hint="eastAsia"/>
          <w:szCs w:val="21"/>
        </w:rPr>
        <w:t>需提</w:t>
      </w:r>
      <w:r>
        <w:rPr>
          <w:rFonts w:hint="eastAsia"/>
          <w:szCs w:val="21"/>
          <w:lang w:eastAsia="zh-Hans"/>
        </w:rPr>
        <w:t>供法定代表人（负责人）</w:t>
      </w:r>
      <w:r>
        <w:rPr>
          <w:rFonts w:hint="eastAsia"/>
          <w:szCs w:val="21"/>
        </w:rPr>
        <w:t>相关身份证明文件：身份证扫描件（正反两面）；港澳台居民可提供来往通行证扫描件；非中国国籍管辖范围人员，可提供公安部门认可的身份证明材料扫描件。</w:t>
      </w:r>
    </w:p>
    <w:p>
      <w:pPr>
        <w:numPr>
          <w:ilvl w:val="0"/>
          <w:numId w:val="15"/>
        </w:numPr>
        <w:spacing w:line="360" w:lineRule="auto"/>
        <w:ind w:firstLine="420" w:firstLineChars="200"/>
        <w:rPr>
          <w:szCs w:val="21"/>
        </w:rPr>
      </w:pPr>
      <w:r>
        <w:rPr>
          <w:rFonts w:hint="eastAsia"/>
          <w:szCs w:val="21"/>
          <w:lang w:eastAsia="zh-Hans"/>
        </w:rPr>
        <w:t>本项目投标授权代表为法定代表人（负责人）的，无需提供</w:t>
      </w:r>
      <w:r>
        <w:rPr>
          <w:rFonts w:hint="eastAsia"/>
          <w:szCs w:val="21"/>
        </w:rPr>
        <w:t>《投标文件签署授权委托书》</w:t>
      </w:r>
      <w:r>
        <w:rPr>
          <w:rFonts w:hint="eastAsia"/>
          <w:szCs w:val="21"/>
          <w:lang w:eastAsia="zh-Hans"/>
        </w:rPr>
        <w:t>。</w:t>
      </w:r>
    </w:p>
    <w:p>
      <w:pPr>
        <w:numPr>
          <w:ilvl w:val="0"/>
          <w:numId w:val="15"/>
        </w:numPr>
        <w:spacing w:line="360" w:lineRule="auto"/>
        <w:ind w:firstLine="420" w:firstLineChars="200"/>
        <w:rPr>
          <w:szCs w:val="21"/>
        </w:rPr>
      </w:pPr>
      <w:r>
        <w:rPr>
          <w:rFonts w:hint="eastAsia"/>
          <w:szCs w:val="21"/>
        </w:rPr>
        <w:t>内容必须填写真实、清楚，涂改无效，不得转让、买卖。</w:t>
      </w:r>
    </w:p>
    <w:tbl>
      <w:tblPr>
        <w:tblStyle w:val="45"/>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pPr>
              <w:jc w:val="center"/>
            </w:pPr>
            <w:r>
              <w:rPr>
                <w:rFonts w:hint="eastAsia"/>
              </w:rPr>
              <w:t>证件扫描件正面</w:t>
            </w:r>
          </w:p>
          <w:p>
            <w:pPr>
              <w:pStyle w:val="2"/>
            </w:pPr>
          </w:p>
          <w:p>
            <w:pPr>
              <w:pStyle w:val="3"/>
            </w:pPr>
          </w:p>
          <w:p>
            <w:pPr>
              <w:pStyle w:val="3"/>
            </w:pPr>
          </w:p>
          <w:p>
            <w:pPr>
              <w:pStyle w:val="3"/>
            </w:pPr>
          </w:p>
        </w:tc>
        <w:tc>
          <w:tcPr>
            <w:tcW w:w="4265" w:type="dxa"/>
          </w:tcPr>
          <w:p>
            <w:pPr>
              <w:jc w:val="center"/>
            </w:pPr>
            <w:r>
              <w:rPr>
                <w:rFonts w:hint="eastAsia"/>
              </w:rPr>
              <w:t>证件扫描件反面</w:t>
            </w:r>
          </w:p>
          <w:p>
            <w:pPr>
              <w:pStyle w:val="2"/>
              <w:jc w:val="center"/>
            </w:pPr>
          </w:p>
          <w:p>
            <w:pPr>
              <w:pStyle w:val="3"/>
              <w:jc w:val="center"/>
            </w:pPr>
          </w:p>
        </w:tc>
      </w:tr>
    </w:tbl>
    <w:p>
      <w:pPr>
        <w:pStyle w:val="194"/>
        <w:rPr>
          <w:rFonts w:ascii="黑体" w:hAnsi="黑体" w:eastAsia="黑体" w:cs="黑体"/>
          <w:b/>
          <w:bCs/>
          <w:sz w:val="24"/>
          <w:szCs w:val="24"/>
        </w:rPr>
      </w:pPr>
    </w:p>
    <w:p>
      <w:pPr>
        <w:pStyle w:val="194"/>
        <w:rPr>
          <w:sz w:val="24"/>
        </w:rPr>
      </w:pPr>
      <w:r>
        <w:rPr>
          <w:rFonts w:hint="eastAsia" w:ascii="黑体" w:hAnsi="黑体" w:eastAsia="黑体" w:cs="黑体"/>
          <w:b/>
          <w:bCs/>
          <w:sz w:val="24"/>
          <w:szCs w:val="24"/>
        </w:rPr>
        <w:t>温馨提示</w:t>
      </w:r>
      <w:r>
        <w:rPr>
          <w:rFonts w:hint="eastAsia" w:ascii="黑体" w:hAnsi="黑体" w:eastAsia="黑体" w:cs="黑体"/>
          <w:sz w:val="24"/>
          <w:szCs w:val="24"/>
        </w:rPr>
        <w:t>：</w:t>
      </w:r>
      <w:r>
        <w:rPr>
          <w:rFonts w:hint="eastAsia" w:ascii="Times New Roman" w:hAnsi="Times New Roman"/>
          <w:szCs w:val="21"/>
        </w:rPr>
        <w:t>为避免出现《深圳经济特区政府采购条例实施细则》第七十五条第二项所列情形（不同投标供应商的法定代表人、主要经营负责人、项目投标授权代表人、项目负责人、主要技术人员为同一人、属同一单位或者在同一单位缴纳社会保险），请投标供应商核实贵单位法定代表人、本项目投标授权代表人、项目负责人（如有）、主要技术人员（如有）等是否在贵单位缴纳社会保险。</w:t>
      </w:r>
    </w:p>
    <w:p>
      <w:pPr>
        <w:widowControl/>
        <w:autoSpaceDE w:val="0"/>
        <w:autoSpaceDN w:val="0"/>
        <w:spacing w:line="400" w:lineRule="exact"/>
        <w:ind w:right="1414" w:firstLine="405" w:firstLineChars="200"/>
        <w:jc w:val="left"/>
      </w:pPr>
      <w:r>
        <w:rPr>
          <w:rFonts w:hint="eastAsia" w:ascii="宋体" w:hAnsi="宋体" w:eastAsiaTheme="minorEastAsia"/>
          <w:b/>
          <w:bCs/>
          <w:color w:val="FF0000"/>
          <w:spacing w:val="-4"/>
          <w:kern w:val="0"/>
          <w:szCs w:val="21"/>
          <w:highlight w:val="yellow"/>
        </w:rPr>
        <w:t>备注：如联合体投标，联合体所有成员均须提供。</w:t>
      </w:r>
    </w:p>
    <w:p>
      <w:pPr>
        <w:rPr>
          <w:sz w:val="24"/>
        </w:rPr>
      </w:pPr>
    </w:p>
    <w:p>
      <w:pPr>
        <w:pStyle w:val="5"/>
        <w:spacing w:before="120" w:after="120"/>
        <w:jc w:val="center"/>
        <w:rPr>
          <w:rFonts w:ascii="黑体" w:eastAsia="黑体"/>
          <w:b w:val="0"/>
          <w:sz w:val="24"/>
        </w:rPr>
      </w:pPr>
      <w:r>
        <w:rPr>
          <w:rFonts w:hint="eastAsia" w:ascii="黑体" w:eastAsia="黑体"/>
          <w:b w:val="0"/>
          <w:sz w:val="24"/>
        </w:rPr>
        <w:t>三、投标文件签署授权委托书</w:t>
      </w:r>
    </w:p>
    <w:p>
      <w:pPr>
        <w:spacing w:line="360" w:lineRule="auto"/>
        <w:ind w:firstLine="420" w:firstLineChars="200"/>
        <w:rPr>
          <w:szCs w:val="21"/>
        </w:rPr>
      </w:pPr>
      <w:r>
        <w:rPr>
          <w:rFonts w:hint="eastAsia"/>
          <w:szCs w:val="21"/>
        </w:rPr>
        <w:t>本授权委托书声明：我</w:t>
      </w:r>
      <w:r>
        <w:rPr>
          <w:rFonts w:hint="eastAsia"/>
          <w:szCs w:val="21"/>
          <w:u w:val="single"/>
        </w:rPr>
        <w:t xml:space="preserve">           </w:t>
      </w:r>
      <w:r>
        <w:rPr>
          <w:rFonts w:hint="eastAsia"/>
          <w:szCs w:val="21"/>
        </w:rPr>
        <w:t>（姓名）系</w:t>
      </w:r>
      <w:r>
        <w:rPr>
          <w:rFonts w:hint="eastAsia"/>
          <w:szCs w:val="21"/>
          <w:u w:val="single"/>
        </w:rPr>
        <w:t xml:space="preserve">             </w:t>
      </w:r>
      <w:r>
        <w:rPr>
          <w:rFonts w:hint="eastAsia"/>
          <w:szCs w:val="21"/>
        </w:rPr>
        <w:t>（投标人名称）的法定代表人（负责人），现授权委托</w:t>
      </w:r>
      <w:r>
        <w:rPr>
          <w:rFonts w:hint="eastAsia"/>
          <w:szCs w:val="21"/>
          <w:u w:val="single"/>
        </w:rPr>
        <w:t xml:space="preserve">            </w:t>
      </w:r>
      <w:r>
        <w:rPr>
          <w:rFonts w:hint="eastAsia"/>
          <w:szCs w:val="21"/>
        </w:rPr>
        <w:t>（姓名）为我单位签署本项目已递交的投标文件的法定代表人（负责人）的授权委托代理人，代理人全权代表我所签署的本项目已递交的投标文件内容我均承认。</w:t>
      </w:r>
    </w:p>
    <w:p>
      <w:pPr>
        <w:spacing w:line="360" w:lineRule="auto"/>
        <w:ind w:firstLine="420" w:firstLineChars="200"/>
        <w:rPr>
          <w:szCs w:val="21"/>
        </w:rPr>
      </w:pPr>
      <w:r>
        <w:rPr>
          <w:rFonts w:hint="eastAsia"/>
          <w:szCs w:val="21"/>
        </w:rPr>
        <w:t>代理人无转委托权，特此委托。</w:t>
      </w:r>
    </w:p>
    <w:p>
      <w:pPr>
        <w:spacing w:line="360" w:lineRule="auto"/>
        <w:ind w:firstLine="420" w:firstLineChars="200"/>
        <w:rPr>
          <w:szCs w:val="21"/>
        </w:rPr>
      </w:pPr>
    </w:p>
    <w:p>
      <w:pPr>
        <w:spacing w:line="360" w:lineRule="auto"/>
        <w:ind w:firstLine="420" w:firstLineChars="200"/>
        <w:rPr>
          <w:szCs w:val="21"/>
        </w:rPr>
      </w:pPr>
      <w:r>
        <w:rPr>
          <w:rFonts w:hint="eastAsia"/>
          <w:szCs w:val="21"/>
        </w:rPr>
        <w:t>代理人：</w:t>
      </w:r>
      <w:r>
        <w:rPr>
          <w:rFonts w:hint="eastAsia"/>
          <w:szCs w:val="21"/>
          <w:u w:val="single"/>
        </w:rPr>
        <w:t xml:space="preserve">              </w:t>
      </w:r>
      <w:r>
        <w:rPr>
          <w:rFonts w:hint="eastAsia"/>
          <w:szCs w:val="21"/>
        </w:rPr>
        <w:t>；</w:t>
      </w:r>
    </w:p>
    <w:p>
      <w:pPr>
        <w:spacing w:line="360" w:lineRule="auto"/>
        <w:ind w:firstLine="420" w:firstLineChars="200"/>
        <w:rPr>
          <w:szCs w:val="21"/>
        </w:rPr>
      </w:pPr>
      <w:r>
        <w:rPr>
          <w:rFonts w:hint="eastAsia"/>
          <w:szCs w:val="21"/>
        </w:rPr>
        <w:t>身份证件号：</w:t>
      </w:r>
      <w:r>
        <w:rPr>
          <w:rFonts w:hint="eastAsia"/>
          <w:szCs w:val="21"/>
          <w:u w:val="single"/>
        </w:rPr>
        <w:t xml:space="preserve">                        </w:t>
      </w:r>
      <w:r>
        <w:rPr>
          <w:rFonts w:hint="eastAsia"/>
          <w:szCs w:val="21"/>
        </w:rPr>
        <w:t>，职务：</w:t>
      </w:r>
      <w:r>
        <w:rPr>
          <w:rFonts w:hint="eastAsia"/>
          <w:szCs w:val="21"/>
          <w:u w:val="single"/>
        </w:rPr>
        <w:t xml:space="preserve">                </w:t>
      </w:r>
      <w:r>
        <w:rPr>
          <w:rFonts w:hint="eastAsia"/>
          <w:szCs w:val="21"/>
        </w:rPr>
        <w:t>；</w:t>
      </w:r>
    </w:p>
    <w:p>
      <w:pPr>
        <w:spacing w:line="360" w:lineRule="auto"/>
        <w:ind w:firstLine="420" w:firstLineChars="200"/>
        <w:rPr>
          <w:szCs w:val="21"/>
        </w:rPr>
      </w:pPr>
      <w:r>
        <w:rPr>
          <w:rFonts w:hint="eastAsia"/>
          <w:szCs w:val="21"/>
        </w:rPr>
        <w:t>联系电话：</w:t>
      </w:r>
      <w:r>
        <w:rPr>
          <w:rFonts w:hint="eastAsia"/>
          <w:szCs w:val="21"/>
          <w:u w:val="single"/>
        </w:rPr>
        <w:t xml:space="preserve">         </w:t>
      </w:r>
      <w:r>
        <w:rPr>
          <w:rFonts w:hint="eastAsia"/>
          <w:szCs w:val="21"/>
        </w:rPr>
        <w:t>，手机：</w:t>
      </w:r>
      <w:r>
        <w:rPr>
          <w:rFonts w:hint="eastAsia"/>
          <w:szCs w:val="21"/>
          <w:u w:val="single"/>
        </w:rPr>
        <w:t xml:space="preserve">                </w:t>
      </w:r>
      <w:r>
        <w:rPr>
          <w:rFonts w:hint="eastAsia"/>
          <w:szCs w:val="21"/>
        </w:rPr>
        <w:t>，电子邮箱：</w:t>
      </w:r>
      <w:r>
        <w:rPr>
          <w:rFonts w:hint="eastAsia"/>
          <w:szCs w:val="21"/>
          <w:u w:val="single"/>
        </w:rPr>
        <w:t xml:space="preserve">                     </w:t>
      </w:r>
      <w:r>
        <w:rPr>
          <w:rFonts w:hint="eastAsia"/>
          <w:szCs w:val="21"/>
        </w:rPr>
        <w:t>；</w:t>
      </w:r>
    </w:p>
    <w:p>
      <w:pPr>
        <w:spacing w:line="360" w:lineRule="auto"/>
        <w:ind w:firstLine="420" w:firstLineChars="200"/>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p>
    <w:p>
      <w:pPr>
        <w:spacing w:line="360" w:lineRule="auto"/>
        <w:ind w:firstLine="421" w:firstLineChars="200"/>
        <w:rPr>
          <w:b/>
          <w:color w:val="FF0000"/>
          <w:szCs w:val="21"/>
        </w:rPr>
      </w:pPr>
      <w:r>
        <w:rPr>
          <w:rFonts w:hint="eastAsia"/>
          <w:b/>
          <w:color w:val="FF0000"/>
          <w:szCs w:val="21"/>
        </w:rPr>
        <w:t>附：请提供代理人身份证扫描件（正反两面）；港澳台居民可提供来往通行证扫描件；非中国国籍管辖范围人员，可提供公安部门认可的身份证明材料扫描件。</w:t>
      </w:r>
    </w:p>
    <w:tbl>
      <w:tblPr>
        <w:tblStyle w:val="45"/>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pPr>
              <w:jc w:val="center"/>
            </w:pPr>
            <w:r>
              <w:rPr>
                <w:rFonts w:hint="eastAsia"/>
              </w:rPr>
              <w:t>证件扫描件正面</w:t>
            </w:r>
          </w:p>
          <w:p>
            <w:pPr>
              <w:pStyle w:val="2"/>
            </w:pPr>
          </w:p>
          <w:p>
            <w:pPr>
              <w:pStyle w:val="3"/>
            </w:pPr>
          </w:p>
          <w:p>
            <w:pPr>
              <w:pStyle w:val="3"/>
            </w:pPr>
          </w:p>
          <w:p>
            <w:pPr>
              <w:pStyle w:val="3"/>
            </w:pPr>
          </w:p>
        </w:tc>
        <w:tc>
          <w:tcPr>
            <w:tcW w:w="4265" w:type="dxa"/>
          </w:tcPr>
          <w:p>
            <w:pPr>
              <w:jc w:val="center"/>
            </w:pPr>
            <w:r>
              <w:rPr>
                <w:rFonts w:hint="eastAsia"/>
              </w:rPr>
              <w:t>证件扫描件反面</w:t>
            </w:r>
          </w:p>
          <w:p>
            <w:pPr>
              <w:pStyle w:val="2"/>
              <w:jc w:val="center"/>
            </w:pPr>
          </w:p>
          <w:p>
            <w:pPr>
              <w:pStyle w:val="3"/>
              <w:jc w:val="center"/>
            </w:pPr>
          </w:p>
        </w:tc>
      </w:tr>
    </w:tbl>
    <w:p>
      <w:pPr>
        <w:pStyle w:val="194"/>
        <w:rPr>
          <w:rFonts w:ascii="黑体" w:hAnsi="黑体" w:eastAsia="黑体" w:cs="黑体"/>
          <w:b/>
          <w:bCs/>
          <w:sz w:val="24"/>
          <w:szCs w:val="24"/>
        </w:rPr>
      </w:pPr>
    </w:p>
    <w:p>
      <w:pPr>
        <w:pStyle w:val="194"/>
        <w:rPr>
          <w:sz w:val="24"/>
        </w:rPr>
      </w:pPr>
      <w:r>
        <w:rPr>
          <w:rFonts w:hint="eastAsia" w:ascii="黑体" w:hAnsi="黑体" w:eastAsia="黑体" w:cs="黑体"/>
          <w:b/>
          <w:bCs/>
          <w:sz w:val="24"/>
          <w:szCs w:val="24"/>
        </w:rPr>
        <w:t>温馨提示</w:t>
      </w:r>
      <w:r>
        <w:rPr>
          <w:rFonts w:hint="eastAsia" w:ascii="黑体" w:hAnsi="黑体" w:eastAsia="黑体" w:cs="黑体"/>
          <w:sz w:val="24"/>
          <w:szCs w:val="24"/>
        </w:rPr>
        <w:t>：</w:t>
      </w:r>
      <w:r>
        <w:rPr>
          <w:rFonts w:hint="eastAsia" w:ascii="Times New Roman" w:hAnsi="Times New Roman"/>
          <w:szCs w:val="21"/>
        </w:rPr>
        <w:t>为避免出现《深圳经济特区政府采购条例实施细则》第七十五条第二项所列情形（不同投标供应商的法定代表人、主要经营负责人、项目投标授权代表人、项目负责人、主要技术人员为同一人、属同一单位或者在同一单位缴纳社会保险），请投标供应商核实贵单位法定代表人、本项目投标授权代表人、项目负责人（如有）、主要技术人员（如有）等是否在贵单位缴纳社会保险。</w:t>
      </w:r>
    </w:p>
    <w:p>
      <w:r>
        <w:rPr>
          <w:rFonts w:hint="eastAsia" w:ascii="黑体" w:hAnsi="宋体" w:eastAsia="黑体"/>
          <w:color w:val="FF0000"/>
          <w:highlight w:val="yellow"/>
        </w:rPr>
        <w:t>备注：如联合体投标，填写联合体牵头方的授权委托人即为联合体授权代表。</w:t>
      </w:r>
    </w:p>
    <w:p/>
    <w:p>
      <w:pPr>
        <w:pStyle w:val="5"/>
        <w:jc w:val="center"/>
        <w:rPr>
          <w:rFonts w:ascii="黑体" w:eastAsia="黑体"/>
          <w:b w:val="0"/>
          <w:sz w:val="24"/>
          <w:szCs w:val="24"/>
        </w:rPr>
      </w:pPr>
      <w:r>
        <w:rPr>
          <w:rFonts w:hint="eastAsia" w:ascii="黑体" w:eastAsia="黑体"/>
          <w:b w:val="0"/>
          <w:sz w:val="24"/>
          <w:szCs w:val="24"/>
        </w:rPr>
        <w:t>四、项目详细报价</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本项以人民币（￥）作为报价货币，共有三项表格需要填报。</w:t>
      </w:r>
    </w:p>
    <w:p>
      <w:pPr>
        <w:spacing w:before="120" w:beforeLines="50" w:after="48" w:afterLines="20" w:line="360" w:lineRule="exact"/>
        <w:ind w:firstLine="421" w:firstLineChars="200"/>
        <w:outlineLvl w:val="3"/>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（一）投标总价一览表</w:t>
      </w:r>
    </w:p>
    <w:tbl>
      <w:tblPr>
        <w:tblStyle w:val="44"/>
        <w:tblpPr w:leftFromText="180" w:rightFromText="180" w:vertAnchor="text" w:tblpXSpec="center" w:tblpY="84"/>
        <w:tblW w:w="8102" w:type="dxa"/>
        <w:jc w:val="center"/>
        <w:tblLayout w:type="fixed"/>
        <w:tblCellMar>
          <w:top w:w="0" w:type="dxa"/>
          <w:left w:w="108" w:type="dxa"/>
          <w:bottom w:w="0" w:type="dxa"/>
          <w:right w:w="108" w:type="dxa"/>
        </w:tblCellMar>
      </w:tblPr>
      <w:tblGrid>
        <w:gridCol w:w="3251"/>
        <w:gridCol w:w="1894"/>
        <w:gridCol w:w="1747"/>
        <w:gridCol w:w="1210"/>
      </w:tblGrid>
      <w:tr>
        <w:tblPrEx>
          <w:tblCellMar>
            <w:top w:w="0" w:type="dxa"/>
            <w:left w:w="108" w:type="dxa"/>
            <w:bottom w:w="0" w:type="dxa"/>
            <w:right w:w="108" w:type="dxa"/>
          </w:tblCellMar>
        </w:tblPrEx>
        <w:trPr>
          <w:trHeight w:val="384" w:hRule="atLeast"/>
          <w:jc w:val="center"/>
        </w:trPr>
        <w:tc>
          <w:tcPr>
            <w:tcW w:w="3251" w:type="dxa"/>
            <w:vMerge w:val="restart"/>
            <w:tcBorders>
              <w:top w:val="single" w:color="auto" w:sz="4" w:space="0"/>
              <w:left w:val="single" w:color="auto" w:sz="4" w:space="0"/>
              <w:right w:val="single" w:color="auto" w:sz="4" w:space="0"/>
            </w:tcBorders>
            <w:noWrap/>
            <w:vAlign w:val="center"/>
          </w:tcPr>
          <w:p>
            <w:pPr>
              <w:spacing w:after="48" w:afterLines="20" w:line="360" w:lineRule="exact"/>
              <w:jc w:val="center"/>
              <w:rPr>
                <w:rFonts w:hint="eastAsia" w:asciiTheme="minorEastAsia" w:hAnsiTheme="minorEastAsia" w:eastAsiaTheme="minorEastAsia" w:cstheme="minorEastAsia"/>
                <w:bCs/>
                <w:szCs w:val="21"/>
                <w:lang w:val="en-US" w:eastAsia="zh-CN"/>
              </w:rPr>
            </w:pPr>
            <w:r>
              <w:rPr>
                <w:rFonts w:hint="eastAsia" w:asciiTheme="minorEastAsia" w:hAnsiTheme="minorEastAsia" w:eastAsiaTheme="minorEastAsia" w:cstheme="minorEastAsia"/>
                <w:bCs/>
                <w:szCs w:val="21"/>
                <w:lang w:val="en-US" w:eastAsia="zh-CN"/>
              </w:rPr>
              <w:t>项目</w:t>
            </w:r>
          </w:p>
          <w:p>
            <w:pPr>
              <w:spacing w:after="48" w:afterLines="20" w:line="360" w:lineRule="exact"/>
              <w:jc w:val="center"/>
              <w:rPr>
                <w:rFonts w:hint="eastAsia" w:asciiTheme="minorEastAsia" w:hAnsiTheme="minorEastAsia" w:eastAsiaTheme="minorEastAsia" w:cstheme="minorEastAsia"/>
                <w:bCs/>
                <w:szCs w:val="21"/>
                <w:lang w:val="en-US" w:eastAsia="zh-CN"/>
              </w:rPr>
            </w:pPr>
          </w:p>
        </w:tc>
        <w:tc>
          <w:tcPr>
            <w:tcW w:w="1894" w:type="dxa"/>
            <w:tcBorders>
              <w:top w:val="single" w:color="auto" w:sz="4" w:space="0"/>
              <w:left w:val="nil"/>
              <w:bottom w:val="single" w:color="auto" w:sz="4" w:space="0"/>
              <w:right w:val="single" w:color="auto" w:sz="4" w:space="0"/>
            </w:tcBorders>
            <w:noWrap/>
            <w:vAlign w:val="center"/>
          </w:tcPr>
          <w:p>
            <w:pPr>
              <w:spacing w:after="48" w:afterLines="20" w:line="360" w:lineRule="exact"/>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项目预算金额</w:t>
            </w:r>
          </w:p>
        </w:tc>
        <w:tc>
          <w:tcPr>
            <w:tcW w:w="1747" w:type="dxa"/>
            <w:tcBorders>
              <w:top w:val="single" w:color="auto" w:sz="4" w:space="0"/>
              <w:left w:val="nil"/>
              <w:bottom w:val="single" w:color="auto" w:sz="4" w:space="0"/>
              <w:right w:val="single" w:color="auto" w:sz="4" w:space="0"/>
            </w:tcBorders>
            <w:noWrap/>
            <w:vAlign w:val="center"/>
          </w:tcPr>
          <w:p>
            <w:pPr>
              <w:spacing w:after="48" w:afterLines="20" w:line="360" w:lineRule="exact"/>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项目投标金额</w:t>
            </w:r>
          </w:p>
        </w:tc>
        <w:tc>
          <w:tcPr>
            <w:tcW w:w="1210" w:type="dxa"/>
            <w:vMerge w:val="restart"/>
            <w:tcBorders>
              <w:top w:val="single" w:color="auto" w:sz="4" w:space="0"/>
              <w:left w:val="nil"/>
              <w:right w:val="single" w:color="auto" w:sz="4" w:space="0"/>
            </w:tcBorders>
            <w:noWrap/>
            <w:vAlign w:val="center"/>
          </w:tcPr>
          <w:p>
            <w:pPr>
              <w:spacing w:after="48" w:afterLines="20" w:line="360" w:lineRule="exact"/>
              <w:jc w:val="center"/>
              <w:rPr>
                <w:rFonts w:hint="eastAsia" w:asciiTheme="minorEastAsia" w:hAnsiTheme="minorEastAsia" w:eastAsiaTheme="minorEastAsia" w:cstheme="minorEastAsia"/>
                <w:bCs/>
                <w:szCs w:val="21"/>
                <w:lang w:val="en-US" w:eastAsia="zh-CN"/>
              </w:rPr>
            </w:pPr>
            <w:r>
              <w:rPr>
                <w:rFonts w:hint="eastAsia" w:asciiTheme="minorEastAsia" w:hAnsiTheme="minorEastAsia" w:eastAsiaTheme="minorEastAsia" w:cstheme="minorEastAsia"/>
                <w:bCs/>
                <w:szCs w:val="21"/>
                <w:lang w:val="en-US" w:eastAsia="zh-CN"/>
              </w:rPr>
              <w:t>投标总价</w:t>
            </w:r>
          </w:p>
          <w:p>
            <w:pPr>
              <w:pStyle w:val="204"/>
              <w:ind w:left="0" w:leftChars="0" w:firstLine="0" w:firstLineChars="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Cs/>
                <w:szCs w:val="21"/>
              </w:rPr>
              <w:t>（元/年）</w:t>
            </w:r>
          </w:p>
        </w:tc>
      </w:tr>
      <w:tr>
        <w:tblPrEx>
          <w:tblCellMar>
            <w:top w:w="0" w:type="dxa"/>
            <w:left w:w="108" w:type="dxa"/>
            <w:bottom w:w="0" w:type="dxa"/>
            <w:right w:w="108" w:type="dxa"/>
          </w:tblCellMar>
        </w:tblPrEx>
        <w:trPr>
          <w:trHeight w:val="319" w:hRule="atLeast"/>
          <w:jc w:val="center"/>
        </w:trPr>
        <w:tc>
          <w:tcPr>
            <w:tcW w:w="3251" w:type="dxa"/>
            <w:vMerge w:val="continue"/>
            <w:tcBorders>
              <w:left w:val="single" w:color="auto" w:sz="4" w:space="0"/>
              <w:right w:val="single" w:color="auto" w:sz="4" w:space="0"/>
            </w:tcBorders>
            <w:noWrap/>
            <w:vAlign w:val="center"/>
          </w:tcPr>
          <w:p>
            <w:pPr>
              <w:spacing w:after="48" w:afterLines="20" w:line="360" w:lineRule="exact"/>
              <w:jc w:val="center"/>
              <w:rPr>
                <w:rFonts w:hint="eastAsia" w:asciiTheme="minorEastAsia" w:hAnsiTheme="minorEastAsia" w:eastAsiaTheme="minorEastAsia" w:cstheme="minorEastAsia"/>
                <w:bCs/>
                <w:szCs w:val="21"/>
              </w:rPr>
            </w:pPr>
          </w:p>
        </w:tc>
        <w:tc>
          <w:tcPr>
            <w:tcW w:w="1894" w:type="dxa"/>
            <w:tcBorders>
              <w:top w:val="single" w:color="auto" w:sz="4" w:space="0"/>
              <w:left w:val="nil"/>
              <w:right w:val="single" w:color="auto" w:sz="4" w:space="0"/>
            </w:tcBorders>
            <w:noWrap/>
            <w:vAlign w:val="center"/>
          </w:tcPr>
          <w:p>
            <w:pPr>
              <w:spacing w:line="360" w:lineRule="exact"/>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1年预算额</w:t>
            </w:r>
          </w:p>
          <w:p>
            <w:pPr>
              <w:spacing w:after="48" w:afterLines="20" w:line="360" w:lineRule="exact"/>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（元/年）</w:t>
            </w:r>
          </w:p>
        </w:tc>
        <w:tc>
          <w:tcPr>
            <w:tcW w:w="1747" w:type="dxa"/>
            <w:tcBorders>
              <w:top w:val="single" w:color="auto" w:sz="4" w:space="0"/>
              <w:left w:val="nil"/>
              <w:right w:val="single" w:color="auto" w:sz="4" w:space="0"/>
            </w:tcBorders>
            <w:noWrap/>
            <w:vAlign w:val="center"/>
          </w:tcPr>
          <w:p>
            <w:pPr>
              <w:spacing w:line="360" w:lineRule="exact"/>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1年投标金额</w:t>
            </w:r>
          </w:p>
          <w:p>
            <w:pPr>
              <w:spacing w:after="48" w:afterLines="20" w:line="360" w:lineRule="exact"/>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（元/年）</w:t>
            </w:r>
          </w:p>
        </w:tc>
        <w:tc>
          <w:tcPr>
            <w:tcW w:w="1210" w:type="dxa"/>
            <w:vMerge w:val="continue"/>
            <w:tcBorders>
              <w:left w:val="nil"/>
              <w:right w:val="single" w:color="auto" w:sz="4" w:space="0"/>
            </w:tcBorders>
            <w:noWrap/>
            <w:vAlign w:val="center"/>
          </w:tcPr>
          <w:p>
            <w:pPr>
              <w:spacing w:after="48" w:afterLines="20" w:line="360" w:lineRule="exact"/>
              <w:jc w:val="center"/>
              <w:rPr>
                <w:rFonts w:hint="eastAsia" w:asciiTheme="minorEastAsia" w:hAnsiTheme="minorEastAsia" w:eastAsiaTheme="minorEastAsia" w:cstheme="minorEastAsia"/>
                <w:szCs w:val="21"/>
              </w:rPr>
            </w:pPr>
          </w:p>
        </w:tc>
      </w:tr>
      <w:tr>
        <w:tblPrEx>
          <w:tblCellMar>
            <w:top w:w="0" w:type="dxa"/>
            <w:left w:w="108" w:type="dxa"/>
            <w:bottom w:w="0" w:type="dxa"/>
            <w:right w:w="108" w:type="dxa"/>
          </w:tblCellMar>
        </w:tblPrEx>
        <w:trPr>
          <w:trHeight w:val="509" w:hRule="atLeast"/>
          <w:jc w:val="center"/>
        </w:trPr>
        <w:tc>
          <w:tcPr>
            <w:tcW w:w="3251" w:type="dxa"/>
            <w:tcBorders>
              <w:top w:val="single" w:color="auto" w:sz="4" w:space="0"/>
              <w:left w:val="single" w:color="auto" w:sz="4" w:space="0"/>
              <w:bottom w:val="single" w:color="auto" w:sz="4" w:space="0"/>
              <w:right w:val="single" w:color="auto" w:sz="4" w:space="0"/>
            </w:tcBorders>
            <w:noWrap/>
            <w:vAlign w:val="center"/>
          </w:tcPr>
          <w:p>
            <w:pPr>
              <w:spacing w:after="48" w:afterLines="20" w:line="360" w:lineRule="exact"/>
              <w:jc w:val="center"/>
              <w:rPr>
                <w:rFonts w:hint="eastAsia" w:asciiTheme="minorEastAsia" w:hAnsiTheme="minorEastAsia" w:eastAsiaTheme="minorEastAsia" w:cstheme="minorEastAsia"/>
                <w:bCs/>
                <w:szCs w:val="21"/>
                <w:lang w:val="en-US" w:eastAsia="zh-CN"/>
              </w:rPr>
            </w:pPr>
            <w:r>
              <w:rPr>
                <w:rFonts w:hint="eastAsia" w:asciiTheme="minorEastAsia" w:hAnsiTheme="minorEastAsia" w:eastAsiaTheme="minorEastAsia" w:cstheme="minorEastAsia"/>
                <w:bCs/>
                <w:szCs w:val="21"/>
                <w:lang w:val="en-US" w:eastAsia="zh-CN"/>
              </w:rPr>
              <w:t>2026年度</w:t>
            </w:r>
            <w:r>
              <w:rPr>
                <w:rFonts w:hint="eastAsia" w:asciiTheme="minorEastAsia" w:hAnsiTheme="minorEastAsia" w:eastAsiaTheme="minorEastAsia" w:cstheme="minorEastAsia"/>
                <w:bCs/>
                <w:szCs w:val="21"/>
                <w:lang w:eastAsia="zh-CN"/>
              </w:rPr>
              <w:t>盐田区海山街道环卫一体化（城市管家）服务</w:t>
            </w:r>
          </w:p>
        </w:tc>
        <w:tc>
          <w:tcPr>
            <w:tcW w:w="1894" w:type="dxa"/>
            <w:tcBorders>
              <w:top w:val="single" w:color="auto" w:sz="4" w:space="0"/>
              <w:left w:val="single" w:color="auto" w:sz="4" w:space="0"/>
              <w:bottom w:val="single" w:color="auto" w:sz="4" w:space="0"/>
              <w:right w:val="single" w:color="auto" w:sz="4" w:space="0"/>
            </w:tcBorders>
            <w:noWrap/>
            <w:vAlign w:val="center"/>
          </w:tcPr>
          <w:p>
            <w:pPr>
              <w:spacing w:after="48" w:afterLines="20" w:line="360" w:lineRule="exact"/>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17351841.86</w:t>
            </w:r>
          </w:p>
        </w:tc>
        <w:tc>
          <w:tcPr>
            <w:tcW w:w="1747" w:type="dxa"/>
            <w:tcBorders>
              <w:top w:val="single" w:color="auto" w:sz="4" w:space="0"/>
              <w:left w:val="single" w:color="auto" w:sz="4" w:space="0"/>
              <w:bottom w:val="single" w:color="auto" w:sz="4" w:space="0"/>
              <w:right w:val="single" w:color="auto" w:sz="4" w:space="0"/>
            </w:tcBorders>
            <w:noWrap/>
            <w:vAlign w:val="center"/>
          </w:tcPr>
          <w:p>
            <w:pPr>
              <w:spacing w:after="48" w:afterLines="20" w:line="360" w:lineRule="exact"/>
              <w:jc w:val="center"/>
              <w:rPr>
                <w:rFonts w:hint="eastAsia" w:asciiTheme="minorEastAsia" w:hAnsiTheme="minorEastAsia" w:eastAsiaTheme="minorEastAsia" w:cstheme="minorEastAsia"/>
                <w:szCs w:val="21"/>
              </w:rPr>
            </w:pPr>
          </w:p>
        </w:tc>
        <w:tc>
          <w:tcPr>
            <w:tcW w:w="1210" w:type="dxa"/>
            <w:tcBorders>
              <w:top w:val="single" w:color="auto" w:sz="4" w:space="0"/>
              <w:left w:val="single" w:color="auto" w:sz="4" w:space="0"/>
              <w:bottom w:val="single" w:color="auto" w:sz="4" w:space="0"/>
              <w:right w:val="single" w:color="auto" w:sz="4" w:space="0"/>
            </w:tcBorders>
            <w:noWrap/>
            <w:vAlign w:val="center"/>
          </w:tcPr>
          <w:p>
            <w:pPr>
              <w:spacing w:after="48" w:afterLines="20" w:line="360" w:lineRule="exact"/>
              <w:jc w:val="center"/>
              <w:rPr>
                <w:rFonts w:hint="eastAsia" w:asciiTheme="minorEastAsia" w:hAnsiTheme="minorEastAsia" w:eastAsiaTheme="minorEastAsia" w:cstheme="minorEastAsia"/>
                <w:szCs w:val="21"/>
              </w:rPr>
            </w:pPr>
          </w:p>
        </w:tc>
      </w:tr>
    </w:tbl>
    <w:p>
      <w:pPr>
        <w:spacing w:before="48" w:beforeLines="20" w:line="360" w:lineRule="exact"/>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注：1.投标总价和项目报价表中采购预算条目报价均不得超过财政预算限额，否则将导致投标被否决，作无效投标处理。</w:t>
      </w:r>
    </w:p>
    <w:p>
      <w:pPr>
        <w:spacing w:line="360" w:lineRule="exact"/>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2.所有金额单位为：元，数字四舍五入保留到小数点后三位。</w:t>
      </w:r>
    </w:p>
    <w:p>
      <w:pPr>
        <w:spacing w:before="120" w:beforeLines="50" w:after="120" w:afterLines="50" w:line="360" w:lineRule="exact"/>
        <w:ind w:firstLine="421" w:firstLineChars="200"/>
        <w:outlineLvl w:val="3"/>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（二）投标单价一览表</w:t>
      </w:r>
    </w:p>
    <w:tbl>
      <w:tblPr>
        <w:tblStyle w:val="44"/>
        <w:tblW w:w="7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1"/>
        <w:gridCol w:w="1145"/>
        <w:gridCol w:w="1795"/>
        <w:gridCol w:w="1062"/>
        <w:gridCol w:w="1080"/>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091"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模式</w:t>
            </w:r>
          </w:p>
        </w:tc>
        <w:tc>
          <w:tcPr>
            <w:tcW w:w="1145"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等级明细</w:t>
            </w:r>
          </w:p>
        </w:tc>
        <w:tc>
          <w:tcPr>
            <w:tcW w:w="1795"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车道数</w:t>
            </w:r>
          </w:p>
        </w:tc>
        <w:tc>
          <w:tcPr>
            <w:tcW w:w="1062"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lang w:eastAsia="zh-CN"/>
              </w:rPr>
              <w:t>单价上限</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投标单价</w:t>
            </w:r>
          </w:p>
        </w:tc>
        <w:tc>
          <w:tcPr>
            <w:tcW w:w="1485"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091" w:type="dxa"/>
            <w:vMerge w:val="restart"/>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清扫保洁</w:t>
            </w:r>
          </w:p>
        </w:tc>
        <w:tc>
          <w:tcPr>
            <w:tcW w:w="1145"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特级道路</w:t>
            </w:r>
          </w:p>
        </w:tc>
        <w:tc>
          <w:tcPr>
            <w:tcW w:w="1795"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6车道</w:t>
            </w:r>
          </w:p>
        </w:tc>
        <w:tc>
          <w:tcPr>
            <w:tcW w:w="1062" w:type="dxa"/>
            <w:noWrap/>
            <w:vAlign w:val="center"/>
          </w:tcPr>
          <w:p>
            <w:pPr>
              <w:spacing w:line="360" w:lineRule="exact"/>
              <w:jc w:val="center"/>
              <w:rPr>
                <w:rFonts w:hint="eastAsia" w:asciiTheme="minorEastAsia" w:hAnsiTheme="minorEastAsia" w:eastAsiaTheme="minorEastAsia" w:cstheme="minorEastAsia"/>
                <w:bCs/>
                <w:kern w:val="0"/>
                <w:szCs w:val="21"/>
                <w:lang w:val="en-US" w:eastAsia="zh-CN"/>
              </w:rPr>
            </w:pPr>
            <w:r>
              <w:rPr>
                <w:rFonts w:hint="eastAsia" w:asciiTheme="minorEastAsia" w:hAnsiTheme="minorEastAsia" w:eastAsiaTheme="minorEastAsia" w:cstheme="minorEastAsia"/>
                <w:bCs/>
                <w:kern w:val="0"/>
                <w:szCs w:val="21"/>
                <w:lang w:val="en-US" w:eastAsia="zh-CN"/>
              </w:rPr>
              <w:t>25.10</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485" w:type="dxa"/>
            <w:noWrap/>
            <w:vAlign w:val="center"/>
          </w:tcPr>
          <w:p>
            <w:pPr>
              <w:spacing w:line="36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元/平方米·年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91" w:type="dxa"/>
            <w:vMerge w:val="continue"/>
            <w:noWrap/>
            <w:vAlign w:val="center"/>
          </w:tcPr>
          <w:p>
            <w:pPr>
              <w:spacing w:line="360" w:lineRule="exact"/>
              <w:rPr>
                <w:rFonts w:hint="eastAsia" w:asciiTheme="minorEastAsia" w:hAnsiTheme="minorEastAsia" w:eastAsiaTheme="minorEastAsia" w:cstheme="minorEastAsia"/>
                <w:bCs/>
                <w:kern w:val="0"/>
                <w:szCs w:val="21"/>
              </w:rPr>
            </w:pPr>
          </w:p>
        </w:tc>
        <w:tc>
          <w:tcPr>
            <w:tcW w:w="1145" w:type="dxa"/>
            <w:vMerge w:val="restart"/>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一级道路</w:t>
            </w:r>
          </w:p>
        </w:tc>
        <w:tc>
          <w:tcPr>
            <w:tcW w:w="1795"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2车道</w:t>
            </w:r>
          </w:p>
        </w:tc>
        <w:tc>
          <w:tcPr>
            <w:tcW w:w="1062" w:type="dxa"/>
            <w:noWrap/>
            <w:vAlign w:val="center"/>
          </w:tcPr>
          <w:p>
            <w:pPr>
              <w:spacing w:line="360" w:lineRule="exact"/>
              <w:jc w:val="center"/>
              <w:rPr>
                <w:rFonts w:hint="eastAsia" w:asciiTheme="minorEastAsia" w:hAnsiTheme="minorEastAsia" w:eastAsiaTheme="minorEastAsia" w:cstheme="minorEastAsia"/>
                <w:bCs/>
                <w:kern w:val="0"/>
                <w:szCs w:val="21"/>
                <w:lang w:val="en-US" w:eastAsia="zh-CN"/>
              </w:rPr>
            </w:pPr>
            <w:r>
              <w:rPr>
                <w:rFonts w:hint="eastAsia" w:asciiTheme="minorEastAsia" w:hAnsiTheme="minorEastAsia" w:eastAsiaTheme="minorEastAsia" w:cstheme="minorEastAsia"/>
                <w:bCs/>
                <w:kern w:val="0"/>
                <w:szCs w:val="21"/>
                <w:lang w:val="en-US" w:eastAsia="zh-CN"/>
              </w:rPr>
              <w:t>25.41</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485" w:type="dxa"/>
            <w:vMerge w:val="restart"/>
            <w:noWrap/>
            <w:vAlign w:val="center"/>
          </w:tcPr>
          <w:p>
            <w:pPr>
              <w:spacing w:line="36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元/平方米·年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91" w:type="dxa"/>
            <w:vMerge w:val="continue"/>
            <w:noWrap/>
            <w:vAlign w:val="center"/>
          </w:tcPr>
          <w:p>
            <w:pPr>
              <w:spacing w:line="360" w:lineRule="exact"/>
              <w:rPr>
                <w:rFonts w:hint="eastAsia" w:asciiTheme="minorEastAsia" w:hAnsiTheme="minorEastAsia" w:eastAsiaTheme="minorEastAsia" w:cstheme="minorEastAsia"/>
                <w:bCs/>
                <w:kern w:val="0"/>
                <w:szCs w:val="21"/>
              </w:rPr>
            </w:pPr>
          </w:p>
        </w:tc>
        <w:tc>
          <w:tcPr>
            <w:tcW w:w="1145" w:type="dxa"/>
            <w:vMerge w:val="continue"/>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795"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3车道</w:t>
            </w:r>
          </w:p>
        </w:tc>
        <w:tc>
          <w:tcPr>
            <w:tcW w:w="1062" w:type="dxa"/>
            <w:noWrap/>
            <w:vAlign w:val="center"/>
          </w:tcPr>
          <w:p>
            <w:pPr>
              <w:spacing w:line="360" w:lineRule="exact"/>
              <w:jc w:val="center"/>
              <w:rPr>
                <w:rFonts w:hint="eastAsia" w:asciiTheme="minorEastAsia" w:hAnsiTheme="minorEastAsia" w:eastAsiaTheme="minorEastAsia" w:cstheme="minorEastAsia"/>
                <w:bCs/>
                <w:kern w:val="0"/>
                <w:szCs w:val="21"/>
                <w:lang w:val="en-US" w:eastAsia="zh-CN"/>
              </w:rPr>
            </w:pPr>
            <w:r>
              <w:rPr>
                <w:rFonts w:hint="eastAsia" w:asciiTheme="minorEastAsia" w:hAnsiTheme="minorEastAsia" w:eastAsiaTheme="minorEastAsia" w:cstheme="minorEastAsia"/>
                <w:bCs/>
                <w:kern w:val="0"/>
                <w:szCs w:val="21"/>
                <w:lang w:val="en-US" w:eastAsia="zh-CN"/>
              </w:rPr>
              <w:t>21.84</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485" w:type="dxa"/>
            <w:vMerge w:val="continue"/>
            <w:noWrap/>
            <w:vAlign w:val="center"/>
          </w:tcPr>
          <w:p>
            <w:pPr>
              <w:spacing w:line="360" w:lineRule="exact"/>
              <w:jc w:val="center"/>
              <w:rPr>
                <w:rFonts w:hint="eastAsia" w:asciiTheme="minorEastAsia" w:hAnsiTheme="minorEastAsia" w:eastAsiaTheme="minorEastAsia" w:cstheme="minorEastAsia"/>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91" w:type="dxa"/>
            <w:vMerge w:val="continue"/>
            <w:noWrap/>
            <w:vAlign w:val="center"/>
          </w:tcPr>
          <w:p>
            <w:pPr>
              <w:spacing w:line="360" w:lineRule="exact"/>
              <w:rPr>
                <w:rFonts w:hint="eastAsia" w:asciiTheme="minorEastAsia" w:hAnsiTheme="minorEastAsia" w:eastAsiaTheme="minorEastAsia" w:cstheme="minorEastAsia"/>
                <w:bCs/>
                <w:kern w:val="0"/>
                <w:szCs w:val="21"/>
              </w:rPr>
            </w:pPr>
          </w:p>
        </w:tc>
        <w:tc>
          <w:tcPr>
            <w:tcW w:w="1145" w:type="dxa"/>
            <w:vMerge w:val="continue"/>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795"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4车道</w:t>
            </w:r>
          </w:p>
        </w:tc>
        <w:tc>
          <w:tcPr>
            <w:tcW w:w="1062"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lang w:val="en-US" w:eastAsia="zh-CN"/>
              </w:rPr>
              <w:t>21.84</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485" w:type="dxa"/>
            <w:vMerge w:val="continue"/>
            <w:noWrap/>
            <w:vAlign w:val="center"/>
          </w:tcPr>
          <w:p>
            <w:pPr>
              <w:spacing w:line="360" w:lineRule="exact"/>
              <w:jc w:val="center"/>
              <w:rPr>
                <w:rFonts w:hint="eastAsia" w:asciiTheme="minorEastAsia" w:hAnsiTheme="minorEastAsia" w:eastAsiaTheme="minorEastAsia" w:cstheme="minorEastAsia"/>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91" w:type="dxa"/>
            <w:vMerge w:val="continue"/>
            <w:noWrap/>
            <w:vAlign w:val="center"/>
          </w:tcPr>
          <w:p>
            <w:pPr>
              <w:spacing w:line="360" w:lineRule="exact"/>
              <w:rPr>
                <w:rFonts w:hint="eastAsia" w:asciiTheme="minorEastAsia" w:hAnsiTheme="minorEastAsia" w:eastAsiaTheme="minorEastAsia" w:cstheme="minorEastAsia"/>
                <w:bCs/>
                <w:kern w:val="0"/>
                <w:szCs w:val="21"/>
              </w:rPr>
            </w:pPr>
          </w:p>
        </w:tc>
        <w:tc>
          <w:tcPr>
            <w:tcW w:w="1145" w:type="dxa"/>
            <w:vMerge w:val="restart"/>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二级道路</w:t>
            </w:r>
          </w:p>
        </w:tc>
        <w:tc>
          <w:tcPr>
            <w:tcW w:w="1795"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1车道</w:t>
            </w:r>
          </w:p>
        </w:tc>
        <w:tc>
          <w:tcPr>
            <w:tcW w:w="1062" w:type="dxa"/>
            <w:noWrap/>
            <w:vAlign w:val="center"/>
          </w:tcPr>
          <w:p>
            <w:pPr>
              <w:spacing w:line="360" w:lineRule="exact"/>
              <w:jc w:val="center"/>
              <w:rPr>
                <w:rFonts w:hint="eastAsia" w:asciiTheme="minorEastAsia" w:hAnsiTheme="minorEastAsia" w:eastAsiaTheme="minorEastAsia" w:cstheme="minorEastAsia"/>
                <w:bCs/>
                <w:kern w:val="0"/>
                <w:szCs w:val="21"/>
                <w:lang w:val="en-US" w:eastAsia="zh-CN"/>
              </w:rPr>
            </w:pPr>
            <w:r>
              <w:rPr>
                <w:rFonts w:hint="eastAsia" w:asciiTheme="minorEastAsia" w:hAnsiTheme="minorEastAsia" w:eastAsiaTheme="minorEastAsia" w:cstheme="minorEastAsia"/>
                <w:bCs/>
                <w:kern w:val="0"/>
                <w:szCs w:val="21"/>
                <w:lang w:val="en-US" w:eastAsia="zh-CN"/>
              </w:rPr>
              <w:t>18.24</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485" w:type="dxa"/>
            <w:vMerge w:val="restart"/>
            <w:noWrap/>
            <w:vAlign w:val="center"/>
          </w:tcPr>
          <w:p>
            <w:pPr>
              <w:spacing w:line="36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元/平方米·年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91" w:type="dxa"/>
            <w:vMerge w:val="continue"/>
            <w:noWrap/>
            <w:vAlign w:val="center"/>
          </w:tcPr>
          <w:p>
            <w:pPr>
              <w:spacing w:line="360" w:lineRule="exact"/>
              <w:rPr>
                <w:rFonts w:hint="eastAsia" w:asciiTheme="minorEastAsia" w:hAnsiTheme="minorEastAsia" w:eastAsiaTheme="minorEastAsia" w:cstheme="minorEastAsia"/>
                <w:bCs/>
                <w:kern w:val="0"/>
                <w:szCs w:val="21"/>
              </w:rPr>
            </w:pPr>
          </w:p>
        </w:tc>
        <w:tc>
          <w:tcPr>
            <w:tcW w:w="1145" w:type="dxa"/>
            <w:vMerge w:val="continue"/>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795"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2车道</w:t>
            </w:r>
          </w:p>
        </w:tc>
        <w:tc>
          <w:tcPr>
            <w:tcW w:w="1062" w:type="dxa"/>
            <w:noWrap/>
            <w:vAlign w:val="center"/>
          </w:tcPr>
          <w:p>
            <w:pPr>
              <w:spacing w:line="360" w:lineRule="exact"/>
              <w:jc w:val="center"/>
              <w:rPr>
                <w:rFonts w:hint="eastAsia" w:asciiTheme="minorEastAsia" w:hAnsiTheme="minorEastAsia" w:eastAsiaTheme="minorEastAsia" w:cstheme="minorEastAsia"/>
                <w:bCs/>
                <w:kern w:val="0"/>
                <w:szCs w:val="21"/>
                <w:lang w:val="en-US" w:eastAsia="zh-CN"/>
              </w:rPr>
            </w:pPr>
            <w:r>
              <w:rPr>
                <w:rFonts w:hint="eastAsia" w:asciiTheme="minorEastAsia" w:hAnsiTheme="minorEastAsia" w:eastAsiaTheme="minorEastAsia" w:cstheme="minorEastAsia"/>
                <w:bCs/>
                <w:kern w:val="0"/>
                <w:szCs w:val="21"/>
                <w:lang w:val="en-US" w:eastAsia="zh-CN"/>
              </w:rPr>
              <w:t>16.98</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485" w:type="dxa"/>
            <w:vMerge w:val="continue"/>
            <w:noWrap/>
          </w:tcPr>
          <w:p>
            <w:pPr>
              <w:spacing w:line="360" w:lineRule="exact"/>
              <w:jc w:val="center"/>
              <w:rPr>
                <w:rFonts w:hint="eastAsia" w:asciiTheme="minorEastAsia" w:hAnsiTheme="minorEastAsia" w:eastAsiaTheme="minorEastAsia" w:cstheme="minorEastAsia"/>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91" w:type="dxa"/>
            <w:vMerge w:val="continue"/>
            <w:noWrap/>
            <w:vAlign w:val="center"/>
          </w:tcPr>
          <w:p>
            <w:pPr>
              <w:spacing w:line="360" w:lineRule="exact"/>
              <w:rPr>
                <w:rFonts w:hint="eastAsia" w:asciiTheme="minorEastAsia" w:hAnsiTheme="minorEastAsia" w:eastAsiaTheme="minorEastAsia" w:cstheme="minorEastAsia"/>
                <w:bCs/>
                <w:kern w:val="0"/>
                <w:szCs w:val="21"/>
              </w:rPr>
            </w:pPr>
          </w:p>
        </w:tc>
        <w:tc>
          <w:tcPr>
            <w:tcW w:w="1145" w:type="dxa"/>
            <w:vMerge w:val="continue"/>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795"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3车道</w:t>
            </w:r>
          </w:p>
        </w:tc>
        <w:tc>
          <w:tcPr>
            <w:tcW w:w="1062" w:type="dxa"/>
            <w:noWrap/>
            <w:vAlign w:val="center"/>
          </w:tcPr>
          <w:p>
            <w:pPr>
              <w:spacing w:line="360" w:lineRule="exact"/>
              <w:jc w:val="center"/>
              <w:rPr>
                <w:rFonts w:hint="eastAsia" w:asciiTheme="minorEastAsia" w:hAnsiTheme="minorEastAsia" w:eastAsiaTheme="minorEastAsia" w:cstheme="minorEastAsia"/>
                <w:bCs/>
                <w:kern w:val="0"/>
                <w:szCs w:val="21"/>
                <w:lang w:val="en-US" w:eastAsia="zh-CN"/>
              </w:rPr>
            </w:pPr>
            <w:r>
              <w:rPr>
                <w:rFonts w:hint="eastAsia" w:asciiTheme="minorEastAsia" w:hAnsiTheme="minorEastAsia" w:eastAsiaTheme="minorEastAsia" w:cstheme="minorEastAsia"/>
                <w:bCs/>
                <w:kern w:val="0"/>
                <w:szCs w:val="21"/>
                <w:lang w:val="en-US" w:eastAsia="zh-CN"/>
              </w:rPr>
              <w:t>15.38</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485" w:type="dxa"/>
            <w:vMerge w:val="continue"/>
            <w:noWrap/>
          </w:tcPr>
          <w:p>
            <w:pPr>
              <w:spacing w:line="360" w:lineRule="exact"/>
              <w:jc w:val="center"/>
              <w:rPr>
                <w:rFonts w:hint="eastAsia" w:asciiTheme="minorEastAsia" w:hAnsiTheme="minorEastAsia" w:eastAsiaTheme="minorEastAsia" w:cstheme="minorEastAsia"/>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91" w:type="dxa"/>
            <w:vMerge w:val="continue"/>
            <w:noWrap/>
            <w:vAlign w:val="center"/>
          </w:tcPr>
          <w:p>
            <w:pPr>
              <w:spacing w:line="360" w:lineRule="exact"/>
              <w:rPr>
                <w:rFonts w:hint="eastAsia" w:asciiTheme="minorEastAsia" w:hAnsiTheme="minorEastAsia" w:eastAsiaTheme="minorEastAsia" w:cstheme="minorEastAsia"/>
                <w:bCs/>
                <w:kern w:val="0"/>
                <w:szCs w:val="21"/>
              </w:rPr>
            </w:pPr>
          </w:p>
        </w:tc>
        <w:tc>
          <w:tcPr>
            <w:tcW w:w="1145" w:type="dxa"/>
            <w:vMerge w:val="continue"/>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795"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4车道</w:t>
            </w:r>
          </w:p>
        </w:tc>
        <w:tc>
          <w:tcPr>
            <w:tcW w:w="1062" w:type="dxa"/>
            <w:noWrap/>
            <w:vAlign w:val="center"/>
          </w:tcPr>
          <w:p>
            <w:pPr>
              <w:spacing w:line="360" w:lineRule="exact"/>
              <w:jc w:val="center"/>
              <w:rPr>
                <w:rFonts w:hint="eastAsia" w:asciiTheme="minorEastAsia" w:hAnsiTheme="minorEastAsia" w:eastAsiaTheme="minorEastAsia" w:cstheme="minorEastAsia"/>
                <w:bCs/>
                <w:kern w:val="0"/>
                <w:szCs w:val="21"/>
                <w:lang w:val="en-US" w:eastAsia="zh-CN"/>
              </w:rPr>
            </w:pPr>
            <w:r>
              <w:rPr>
                <w:rFonts w:hint="eastAsia" w:asciiTheme="minorEastAsia" w:hAnsiTheme="minorEastAsia" w:eastAsiaTheme="minorEastAsia" w:cstheme="minorEastAsia"/>
                <w:bCs/>
                <w:kern w:val="0"/>
                <w:szCs w:val="21"/>
                <w:lang w:val="en-US" w:eastAsia="zh-CN"/>
              </w:rPr>
              <w:t>15.38</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485" w:type="dxa"/>
            <w:vMerge w:val="continue"/>
            <w:noWrap/>
          </w:tcPr>
          <w:p>
            <w:pPr>
              <w:spacing w:line="360" w:lineRule="exact"/>
              <w:jc w:val="center"/>
              <w:rPr>
                <w:rFonts w:hint="eastAsia" w:asciiTheme="minorEastAsia" w:hAnsiTheme="minorEastAsia" w:eastAsiaTheme="minorEastAsia" w:cstheme="minorEastAsia"/>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91" w:type="dxa"/>
            <w:vMerge w:val="continue"/>
            <w:noWrap/>
            <w:vAlign w:val="center"/>
          </w:tcPr>
          <w:p>
            <w:pPr>
              <w:spacing w:line="360" w:lineRule="exact"/>
              <w:rPr>
                <w:rFonts w:hint="eastAsia" w:asciiTheme="minorEastAsia" w:hAnsiTheme="minorEastAsia" w:eastAsiaTheme="minorEastAsia" w:cstheme="minorEastAsia"/>
                <w:bCs/>
                <w:kern w:val="0"/>
                <w:szCs w:val="21"/>
              </w:rPr>
            </w:pPr>
          </w:p>
        </w:tc>
        <w:tc>
          <w:tcPr>
            <w:tcW w:w="1145" w:type="dxa"/>
            <w:vMerge w:val="continue"/>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795"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6车道</w:t>
            </w:r>
          </w:p>
        </w:tc>
        <w:tc>
          <w:tcPr>
            <w:tcW w:w="1062" w:type="dxa"/>
            <w:noWrap/>
            <w:vAlign w:val="center"/>
          </w:tcPr>
          <w:p>
            <w:pPr>
              <w:spacing w:line="360" w:lineRule="exact"/>
              <w:jc w:val="center"/>
              <w:rPr>
                <w:rFonts w:hint="eastAsia" w:asciiTheme="minorEastAsia" w:hAnsiTheme="minorEastAsia" w:eastAsiaTheme="minorEastAsia" w:cstheme="minorEastAsia"/>
                <w:bCs/>
                <w:kern w:val="0"/>
                <w:szCs w:val="21"/>
                <w:lang w:val="en-US" w:eastAsia="zh-CN"/>
              </w:rPr>
            </w:pPr>
            <w:r>
              <w:rPr>
                <w:rFonts w:hint="eastAsia" w:asciiTheme="minorEastAsia" w:hAnsiTheme="minorEastAsia" w:eastAsiaTheme="minorEastAsia" w:cstheme="minorEastAsia"/>
                <w:bCs/>
                <w:kern w:val="0"/>
                <w:szCs w:val="21"/>
                <w:lang w:val="en-US" w:eastAsia="zh-CN"/>
              </w:rPr>
              <w:t>13.15</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485" w:type="dxa"/>
            <w:vMerge w:val="continue"/>
            <w:noWrap/>
          </w:tcPr>
          <w:p>
            <w:pPr>
              <w:spacing w:line="360" w:lineRule="exact"/>
              <w:jc w:val="center"/>
              <w:rPr>
                <w:rFonts w:hint="eastAsia" w:asciiTheme="minorEastAsia" w:hAnsiTheme="minorEastAsia" w:eastAsiaTheme="minorEastAsia" w:cstheme="minorEastAsia"/>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91" w:type="dxa"/>
            <w:vMerge w:val="continue"/>
            <w:noWrap/>
            <w:vAlign w:val="center"/>
          </w:tcPr>
          <w:p>
            <w:pPr>
              <w:spacing w:line="360" w:lineRule="exact"/>
              <w:rPr>
                <w:rFonts w:hint="eastAsia" w:asciiTheme="minorEastAsia" w:hAnsiTheme="minorEastAsia" w:eastAsiaTheme="minorEastAsia" w:cstheme="minorEastAsia"/>
                <w:bCs/>
                <w:kern w:val="0"/>
                <w:szCs w:val="21"/>
              </w:rPr>
            </w:pPr>
          </w:p>
        </w:tc>
        <w:tc>
          <w:tcPr>
            <w:tcW w:w="1145" w:type="dxa"/>
            <w:noWrap/>
            <w:vAlign w:val="center"/>
          </w:tcPr>
          <w:p>
            <w:pPr>
              <w:adjustRightInd/>
              <w:snapToGrid/>
              <w:spacing w:line="360" w:lineRule="exact"/>
              <w:ind w:firstLine="0" w:firstLineChars="0"/>
              <w:jc w:val="center"/>
              <w:rPr>
                <w:rFonts w:hint="eastAsia" w:asciiTheme="minorEastAsia" w:hAnsiTheme="minorEastAsia" w:eastAsiaTheme="minorEastAsia" w:cstheme="minorEastAsia"/>
                <w:bCs/>
                <w:kern w:val="0"/>
                <w:szCs w:val="21"/>
                <w:highlight w:val="none"/>
              </w:rPr>
            </w:pPr>
            <w:r>
              <w:rPr>
                <w:rFonts w:hint="eastAsia" w:asciiTheme="minorEastAsia" w:hAnsiTheme="minorEastAsia" w:eastAsiaTheme="minorEastAsia" w:cstheme="minorEastAsia"/>
                <w:b w:val="0"/>
                <w:bCs/>
                <w:color w:val="000000"/>
                <w:kern w:val="0"/>
                <w:sz w:val="21"/>
                <w:szCs w:val="21"/>
                <w:highlight w:val="none"/>
                <w:lang w:val="en-US" w:eastAsia="zh-CN"/>
              </w:rPr>
              <w:t>城中村</w:t>
            </w:r>
          </w:p>
        </w:tc>
        <w:tc>
          <w:tcPr>
            <w:tcW w:w="1795" w:type="dxa"/>
            <w:noWrap/>
            <w:vAlign w:val="center"/>
          </w:tcPr>
          <w:p>
            <w:pPr>
              <w:adjustRightInd/>
              <w:snapToGrid/>
              <w:spacing w:line="360" w:lineRule="exact"/>
              <w:ind w:firstLine="0" w:firstLineChars="0"/>
              <w:jc w:val="center"/>
              <w:rPr>
                <w:rFonts w:hint="eastAsia" w:asciiTheme="minorEastAsia" w:hAnsiTheme="minorEastAsia" w:eastAsiaTheme="minorEastAsia" w:cstheme="minorEastAsia"/>
                <w:bCs/>
                <w:color w:val="000000" w:themeColor="text1"/>
                <w:kern w:val="0"/>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kern w:val="0"/>
                <w:sz w:val="21"/>
                <w:szCs w:val="21"/>
                <w:highlight w:val="none"/>
                <w:lang w:val="en-US" w:eastAsia="zh-CN"/>
              </w:rPr>
              <w:t>一级</w:t>
            </w:r>
          </w:p>
        </w:tc>
        <w:tc>
          <w:tcPr>
            <w:tcW w:w="1062" w:type="dxa"/>
            <w:noWrap/>
            <w:vAlign w:val="center"/>
          </w:tcPr>
          <w:p>
            <w:pPr>
              <w:spacing w:line="360" w:lineRule="exact"/>
              <w:jc w:val="center"/>
              <w:rPr>
                <w:rFonts w:hint="eastAsia" w:asciiTheme="minorEastAsia" w:hAnsiTheme="minorEastAsia" w:eastAsiaTheme="minorEastAsia" w:cstheme="minorEastAsia"/>
                <w:bCs/>
                <w:kern w:val="0"/>
                <w:szCs w:val="21"/>
                <w:lang w:val="en-US" w:eastAsia="zh-CN"/>
              </w:rPr>
            </w:pPr>
            <w:r>
              <w:rPr>
                <w:rFonts w:hint="eastAsia" w:asciiTheme="minorEastAsia" w:hAnsiTheme="minorEastAsia" w:eastAsiaTheme="minorEastAsia" w:cstheme="minorEastAsia"/>
                <w:bCs/>
                <w:kern w:val="0"/>
                <w:szCs w:val="21"/>
                <w:lang w:val="en-US" w:eastAsia="zh-CN"/>
              </w:rPr>
              <w:t>22.607</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485" w:type="dxa"/>
            <w:noWrap/>
          </w:tcPr>
          <w:p>
            <w:pPr>
              <w:spacing w:line="36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 w:val="0"/>
                <w:bCs/>
                <w:color w:val="000000"/>
                <w:kern w:val="0"/>
                <w:sz w:val="21"/>
                <w:szCs w:val="21"/>
                <w:highlight w:val="none"/>
              </w:rPr>
              <w:t>元/平方米·年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91" w:type="dxa"/>
            <w:vMerge w:val="continue"/>
            <w:noWrap/>
            <w:vAlign w:val="center"/>
          </w:tcPr>
          <w:p>
            <w:pPr>
              <w:spacing w:line="360" w:lineRule="exact"/>
              <w:rPr>
                <w:rFonts w:hint="eastAsia" w:asciiTheme="minorEastAsia" w:hAnsiTheme="minorEastAsia" w:eastAsiaTheme="minorEastAsia" w:cstheme="minorEastAsia"/>
                <w:bCs/>
                <w:kern w:val="0"/>
                <w:szCs w:val="21"/>
              </w:rPr>
            </w:pPr>
          </w:p>
        </w:tc>
        <w:tc>
          <w:tcPr>
            <w:tcW w:w="1145"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绿地</w:t>
            </w:r>
          </w:p>
        </w:tc>
        <w:tc>
          <w:tcPr>
            <w:tcW w:w="1795"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color w:val="000000" w:themeColor="text1"/>
                <w:kern w:val="0"/>
                <w:szCs w:val="21"/>
                <w14:textFill>
                  <w14:solidFill>
                    <w14:schemeClr w14:val="tx1"/>
                  </w14:solidFill>
                </w14:textFill>
              </w:rPr>
              <w:t>管理等级：1、2</w:t>
            </w:r>
          </w:p>
        </w:tc>
        <w:tc>
          <w:tcPr>
            <w:tcW w:w="1062" w:type="dxa"/>
            <w:noWrap/>
            <w:vAlign w:val="center"/>
          </w:tcPr>
          <w:p>
            <w:pPr>
              <w:spacing w:line="360" w:lineRule="exact"/>
              <w:jc w:val="center"/>
              <w:rPr>
                <w:rFonts w:hint="eastAsia" w:asciiTheme="minorEastAsia" w:hAnsiTheme="minorEastAsia" w:eastAsiaTheme="minorEastAsia" w:cstheme="minorEastAsia"/>
                <w:bCs/>
                <w:kern w:val="0"/>
                <w:szCs w:val="21"/>
                <w:lang w:val="en-US" w:eastAsia="zh-CN"/>
              </w:rPr>
            </w:pPr>
            <w:r>
              <w:rPr>
                <w:rFonts w:hint="eastAsia" w:asciiTheme="minorEastAsia" w:hAnsiTheme="minorEastAsia" w:eastAsiaTheme="minorEastAsia" w:cstheme="minorEastAsia"/>
                <w:bCs/>
                <w:kern w:val="0"/>
                <w:szCs w:val="21"/>
                <w:lang w:val="en-US" w:eastAsia="zh-CN"/>
              </w:rPr>
              <w:t>3.16</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485" w:type="dxa"/>
            <w:noWrap/>
          </w:tcPr>
          <w:p>
            <w:pPr>
              <w:spacing w:line="36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元/平方米·年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91" w:type="dxa"/>
            <w:vMerge w:val="continue"/>
            <w:noWrap/>
            <w:vAlign w:val="center"/>
          </w:tcPr>
          <w:p>
            <w:pPr>
              <w:spacing w:line="360" w:lineRule="exact"/>
              <w:rPr>
                <w:rFonts w:hint="eastAsia" w:asciiTheme="minorEastAsia" w:hAnsiTheme="minorEastAsia" w:eastAsiaTheme="minorEastAsia" w:cstheme="minorEastAsia"/>
                <w:bCs/>
                <w:kern w:val="0"/>
                <w:szCs w:val="21"/>
              </w:rPr>
            </w:pPr>
          </w:p>
        </w:tc>
        <w:tc>
          <w:tcPr>
            <w:tcW w:w="1145" w:type="dxa"/>
            <w:noWrap/>
            <w:vAlign w:val="center"/>
          </w:tcPr>
          <w:p>
            <w:pPr>
              <w:adjustRightInd/>
              <w:snapToGrid/>
              <w:spacing w:line="360" w:lineRule="exact"/>
              <w:ind w:firstLine="0" w:firstLineChars="0"/>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 w:val="0"/>
                <w:bCs/>
                <w:color w:val="000000"/>
                <w:kern w:val="0"/>
                <w:sz w:val="21"/>
                <w:szCs w:val="21"/>
                <w:highlight w:val="none"/>
                <w:lang w:eastAsia="zh-CN"/>
              </w:rPr>
              <w:t>社区公园</w:t>
            </w:r>
            <w:r>
              <w:rPr>
                <w:rFonts w:hint="eastAsia" w:asciiTheme="minorEastAsia" w:hAnsiTheme="minorEastAsia" w:eastAsiaTheme="minorEastAsia" w:cstheme="minorEastAsia"/>
                <w:b w:val="0"/>
                <w:bCs/>
                <w:color w:val="000000"/>
                <w:kern w:val="0"/>
                <w:sz w:val="21"/>
                <w:szCs w:val="21"/>
                <w:highlight w:val="none"/>
                <w:lang w:val="en-US" w:eastAsia="zh-CN"/>
              </w:rPr>
              <w:t xml:space="preserve">  </w:t>
            </w:r>
            <w:r>
              <w:rPr>
                <w:rFonts w:hint="eastAsia" w:asciiTheme="minorEastAsia" w:hAnsiTheme="minorEastAsia" w:eastAsiaTheme="minorEastAsia" w:cstheme="minorEastAsia"/>
                <w:b w:val="0"/>
                <w:bCs/>
                <w:color w:val="000000"/>
                <w:kern w:val="0"/>
                <w:sz w:val="21"/>
                <w:szCs w:val="21"/>
                <w:highlight w:val="none"/>
                <w:lang w:eastAsia="zh-CN"/>
              </w:rPr>
              <w:t>（口袋公园）</w:t>
            </w:r>
          </w:p>
        </w:tc>
        <w:tc>
          <w:tcPr>
            <w:tcW w:w="1795" w:type="dxa"/>
            <w:noWrap/>
            <w:vAlign w:val="center"/>
          </w:tcPr>
          <w:p>
            <w:pPr>
              <w:adjustRightInd/>
              <w:snapToGrid/>
              <w:spacing w:line="360" w:lineRule="exact"/>
              <w:ind w:firstLine="0" w:firstLineChars="0"/>
              <w:jc w:val="center"/>
              <w:rPr>
                <w:rFonts w:hint="eastAsia" w:asciiTheme="minorEastAsia" w:hAnsiTheme="minorEastAsia" w:eastAsiaTheme="minorEastAsia" w:cstheme="minorEastAsia"/>
                <w:bCs/>
                <w:color w:val="000000" w:themeColor="text1"/>
                <w:kern w:val="0"/>
                <w:szCs w:val="21"/>
                <w14:textFill>
                  <w14:solidFill>
                    <w14:schemeClr w14:val="tx1"/>
                  </w14:solidFill>
                </w14:textFill>
              </w:rPr>
            </w:pPr>
            <w:r>
              <w:rPr>
                <w:rFonts w:hint="eastAsia" w:asciiTheme="minorEastAsia" w:hAnsiTheme="minorEastAsia" w:eastAsiaTheme="minorEastAsia" w:cstheme="minorEastAsia"/>
                <w:b w:val="0"/>
                <w:bCs/>
                <w:color w:val="000000"/>
                <w:kern w:val="0"/>
                <w:sz w:val="21"/>
                <w:szCs w:val="21"/>
                <w:highlight w:val="none"/>
              </w:rPr>
              <w:t>管理等级：1、2</w:t>
            </w:r>
          </w:p>
        </w:tc>
        <w:tc>
          <w:tcPr>
            <w:tcW w:w="1062"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lang w:val="en-US" w:eastAsia="zh-CN"/>
              </w:rPr>
              <w:t>5.895</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485" w:type="dxa"/>
            <w:noWrap/>
            <w:vAlign w:val="center"/>
          </w:tcPr>
          <w:p>
            <w:pPr>
              <w:spacing w:line="36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元/平方米·年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91" w:type="dxa"/>
            <w:vMerge w:val="continue"/>
            <w:noWrap/>
            <w:vAlign w:val="center"/>
          </w:tcPr>
          <w:p>
            <w:pPr>
              <w:spacing w:line="360" w:lineRule="exact"/>
              <w:rPr>
                <w:rFonts w:hint="eastAsia" w:asciiTheme="minorEastAsia" w:hAnsiTheme="minorEastAsia" w:eastAsiaTheme="minorEastAsia" w:cstheme="minorEastAsia"/>
                <w:bCs/>
                <w:kern w:val="0"/>
                <w:szCs w:val="21"/>
              </w:rPr>
            </w:pPr>
          </w:p>
        </w:tc>
        <w:tc>
          <w:tcPr>
            <w:tcW w:w="1145" w:type="dxa"/>
            <w:noWrap/>
            <w:vAlign w:val="center"/>
          </w:tcPr>
          <w:p>
            <w:pPr>
              <w:adjustRightInd/>
              <w:snapToGrid/>
              <w:spacing w:line="360" w:lineRule="exact"/>
              <w:ind w:firstLine="0" w:firstLineChars="0"/>
              <w:jc w:val="center"/>
              <w:rPr>
                <w:rFonts w:hint="eastAsia" w:asciiTheme="minorEastAsia" w:hAnsiTheme="minorEastAsia" w:eastAsiaTheme="minorEastAsia" w:cstheme="minorEastAsia"/>
                <w:b w:val="0"/>
                <w:bCs/>
                <w:color w:val="000000"/>
                <w:kern w:val="0"/>
                <w:sz w:val="21"/>
                <w:szCs w:val="21"/>
                <w:highlight w:val="none"/>
                <w:lang w:eastAsia="zh-CN"/>
              </w:rPr>
            </w:pPr>
            <w:r>
              <w:rPr>
                <w:rFonts w:hint="eastAsia" w:asciiTheme="minorEastAsia" w:hAnsiTheme="minorEastAsia" w:eastAsiaTheme="minorEastAsia" w:cstheme="minorEastAsia"/>
                <w:b w:val="0"/>
                <w:bCs/>
                <w:color w:val="000000"/>
                <w:kern w:val="0"/>
                <w:sz w:val="21"/>
                <w:szCs w:val="21"/>
                <w:highlight w:val="none"/>
                <w:lang w:eastAsia="zh-CN"/>
              </w:rPr>
              <w:t>区属公园（中央公园、海景公园、海滨栈道）</w:t>
            </w:r>
          </w:p>
        </w:tc>
        <w:tc>
          <w:tcPr>
            <w:tcW w:w="1795" w:type="dxa"/>
            <w:noWrap/>
            <w:vAlign w:val="center"/>
          </w:tcPr>
          <w:p>
            <w:pPr>
              <w:adjustRightInd/>
              <w:snapToGrid/>
              <w:spacing w:line="360" w:lineRule="exact"/>
              <w:ind w:firstLine="0" w:firstLineChars="0"/>
              <w:jc w:val="center"/>
              <w:rPr>
                <w:rFonts w:hint="eastAsia" w:asciiTheme="minorEastAsia" w:hAnsiTheme="minorEastAsia" w:eastAsiaTheme="minorEastAsia" w:cstheme="minorEastAsia"/>
                <w:b w:val="0"/>
                <w:bCs/>
                <w:color w:val="000000"/>
                <w:kern w:val="0"/>
                <w:sz w:val="21"/>
                <w:szCs w:val="21"/>
                <w:highlight w:val="none"/>
              </w:rPr>
            </w:pPr>
            <w:r>
              <w:rPr>
                <w:rFonts w:hint="eastAsia" w:asciiTheme="minorEastAsia" w:hAnsiTheme="minorEastAsia" w:eastAsiaTheme="minorEastAsia" w:cstheme="minorEastAsia"/>
                <w:b w:val="0"/>
                <w:bCs/>
                <w:color w:val="000000"/>
                <w:kern w:val="0"/>
                <w:sz w:val="21"/>
                <w:szCs w:val="21"/>
                <w:highlight w:val="none"/>
              </w:rPr>
              <w:t>管理等级：1、2</w:t>
            </w:r>
          </w:p>
        </w:tc>
        <w:tc>
          <w:tcPr>
            <w:tcW w:w="1062" w:type="dxa"/>
            <w:noWrap/>
            <w:vAlign w:val="center"/>
          </w:tcPr>
          <w:p>
            <w:pPr>
              <w:spacing w:line="360" w:lineRule="exact"/>
              <w:jc w:val="center"/>
              <w:rPr>
                <w:rFonts w:hint="eastAsia" w:asciiTheme="minorEastAsia" w:hAnsiTheme="minorEastAsia" w:eastAsiaTheme="minorEastAsia" w:cstheme="minorEastAsia"/>
                <w:bCs/>
                <w:kern w:val="0"/>
                <w:szCs w:val="21"/>
                <w:lang w:val="en-US" w:eastAsia="zh-CN"/>
              </w:rPr>
            </w:pPr>
            <w:r>
              <w:rPr>
                <w:rFonts w:hint="eastAsia" w:asciiTheme="minorEastAsia" w:hAnsiTheme="minorEastAsia" w:eastAsiaTheme="minorEastAsia" w:cstheme="minorEastAsia"/>
                <w:bCs/>
                <w:kern w:val="0"/>
                <w:szCs w:val="21"/>
                <w:lang w:val="en-US" w:eastAsia="zh-CN"/>
              </w:rPr>
              <w:t>8.58</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485" w:type="dxa"/>
            <w:noWrap/>
            <w:vAlign w:val="center"/>
          </w:tcPr>
          <w:p>
            <w:pPr>
              <w:spacing w:line="36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元/平方米·年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236" w:type="dxa"/>
            <w:gridSpan w:val="2"/>
            <w:vMerge w:val="restart"/>
            <w:noWrap/>
            <w:vAlign w:val="center"/>
          </w:tcPr>
          <w:p>
            <w:pPr>
              <w:spacing w:line="360" w:lineRule="exact"/>
              <w:jc w:val="center"/>
              <w:rPr>
                <w:rFonts w:hint="eastAsia" w:asciiTheme="minorEastAsia" w:hAnsiTheme="minorEastAsia" w:eastAsiaTheme="minorEastAsia" w:cstheme="minorEastAsia"/>
                <w:bCs/>
                <w:color w:val="000000" w:themeColor="text1"/>
                <w:kern w:val="0"/>
                <w:szCs w:val="21"/>
                <w14:textFill>
                  <w14:solidFill>
                    <w14:schemeClr w14:val="tx1"/>
                  </w14:solidFill>
                </w14:textFill>
              </w:rPr>
            </w:pPr>
            <w:r>
              <w:rPr>
                <w:rFonts w:hint="eastAsia" w:asciiTheme="minorEastAsia" w:hAnsiTheme="minorEastAsia" w:eastAsiaTheme="minorEastAsia" w:cstheme="minorEastAsia"/>
                <w:bCs/>
                <w:kern w:val="0"/>
                <w:szCs w:val="21"/>
              </w:rPr>
              <w:t>垃圾清运</w:t>
            </w:r>
          </w:p>
        </w:tc>
        <w:tc>
          <w:tcPr>
            <w:tcW w:w="1795"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后端（垃圾站至焚烧厂）</w:t>
            </w:r>
          </w:p>
        </w:tc>
        <w:tc>
          <w:tcPr>
            <w:tcW w:w="1062" w:type="dxa"/>
            <w:noWrap/>
            <w:vAlign w:val="center"/>
          </w:tcPr>
          <w:p>
            <w:pPr>
              <w:spacing w:line="360" w:lineRule="exact"/>
              <w:jc w:val="center"/>
              <w:rPr>
                <w:rFonts w:hint="eastAsia" w:asciiTheme="minorEastAsia" w:hAnsiTheme="minorEastAsia" w:eastAsiaTheme="minorEastAsia" w:cstheme="minorEastAsia"/>
                <w:bCs/>
                <w:kern w:val="0"/>
                <w:szCs w:val="21"/>
                <w:lang w:val="en-US" w:eastAsia="zh-CN"/>
              </w:rPr>
            </w:pPr>
            <w:r>
              <w:rPr>
                <w:rFonts w:hint="eastAsia" w:asciiTheme="minorEastAsia" w:hAnsiTheme="minorEastAsia" w:eastAsiaTheme="minorEastAsia" w:cstheme="minorEastAsia"/>
                <w:bCs/>
                <w:kern w:val="0"/>
                <w:szCs w:val="21"/>
                <w:lang w:val="en-US" w:eastAsia="zh-CN"/>
              </w:rPr>
              <w:t>65</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485" w:type="dxa"/>
            <w:noWrap/>
            <w:vAlign w:val="center"/>
          </w:tcPr>
          <w:p>
            <w:pPr>
              <w:spacing w:line="36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元/吨•年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236" w:type="dxa"/>
            <w:gridSpan w:val="2"/>
            <w:vMerge w:val="continue"/>
            <w:noWrap/>
            <w:vAlign w:val="center"/>
          </w:tcPr>
          <w:p>
            <w:pPr>
              <w:spacing w:line="360" w:lineRule="exact"/>
              <w:jc w:val="center"/>
              <w:rPr>
                <w:rFonts w:hint="eastAsia" w:asciiTheme="minorEastAsia" w:hAnsiTheme="minorEastAsia" w:eastAsiaTheme="minorEastAsia" w:cstheme="minorEastAsia"/>
                <w:bCs/>
                <w:color w:val="000000" w:themeColor="text1"/>
                <w:kern w:val="0"/>
                <w:szCs w:val="21"/>
                <w14:textFill>
                  <w14:solidFill>
                    <w14:schemeClr w14:val="tx1"/>
                  </w14:solidFill>
                </w14:textFill>
              </w:rPr>
            </w:pPr>
          </w:p>
        </w:tc>
        <w:tc>
          <w:tcPr>
            <w:tcW w:w="1795" w:type="dxa"/>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前端（小区至垃圾站）</w:t>
            </w:r>
          </w:p>
        </w:tc>
        <w:tc>
          <w:tcPr>
            <w:tcW w:w="1062" w:type="dxa"/>
            <w:noWrap/>
            <w:vAlign w:val="center"/>
          </w:tcPr>
          <w:p>
            <w:pPr>
              <w:spacing w:line="360" w:lineRule="exact"/>
              <w:jc w:val="center"/>
              <w:rPr>
                <w:rFonts w:hint="eastAsia" w:asciiTheme="minorEastAsia" w:hAnsiTheme="minorEastAsia" w:eastAsiaTheme="minorEastAsia" w:cstheme="minorEastAsia"/>
                <w:bCs/>
                <w:kern w:val="0"/>
                <w:szCs w:val="21"/>
                <w:lang w:val="en-US" w:eastAsia="zh-CN"/>
              </w:rPr>
            </w:pPr>
            <w:r>
              <w:rPr>
                <w:rFonts w:hint="eastAsia" w:asciiTheme="minorEastAsia" w:hAnsiTheme="minorEastAsia" w:eastAsiaTheme="minorEastAsia" w:cstheme="minorEastAsia"/>
                <w:bCs/>
                <w:kern w:val="0"/>
                <w:szCs w:val="21"/>
                <w:lang w:val="en-US" w:eastAsia="zh-CN"/>
              </w:rPr>
              <w:t>65</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rPr>
            </w:pPr>
          </w:p>
        </w:tc>
        <w:tc>
          <w:tcPr>
            <w:tcW w:w="1485" w:type="dxa"/>
            <w:noWrap/>
            <w:vAlign w:val="center"/>
          </w:tcPr>
          <w:p>
            <w:pPr>
              <w:spacing w:line="36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元/吨•年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2236" w:type="dxa"/>
            <w:gridSpan w:val="2"/>
            <w:vMerge w:val="restart"/>
            <w:noWrap/>
            <w:vAlign w:val="center"/>
          </w:tcPr>
          <w:p>
            <w:pPr>
              <w:spacing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公共厕所管理</w:t>
            </w:r>
          </w:p>
        </w:tc>
        <w:tc>
          <w:tcPr>
            <w:tcW w:w="1795" w:type="dxa"/>
            <w:noWrap/>
            <w:vAlign w:val="center"/>
          </w:tcPr>
          <w:p>
            <w:pPr>
              <w:keepNext w:val="0"/>
              <w:keepLines w:val="0"/>
              <w:widowControl/>
              <w:suppressLineNumbers w:val="0"/>
              <w:spacing w:line="360" w:lineRule="exact"/>
              <w:jc w:val="center"/>
              <w:textAlignment w:val="auto"/>
              <w:rPr>
                <w:rFonts w:hint="eastAsia" w:asciiTheme="minorEastAsia" w:hAnsiTheme="minorEastAsia" w:eastAsiaTheme="minorEastAsia" w:cstheme="minorEastAsia"/>
                <w:bCs/>
                <w:kern w:val="0"/>
                <w:szCs w:val="21"/>
                <w:lang w:eastAsia="ko-KR"/>
              </w:rPr>
            </w:pPr>
            <w:r>
              <w:rPr>
                <w:rFonts w:hint="eastAsia" w:asciiTheme="minorEastAsia" w:hAnsiTheme="minorEastAsia" w:eastAsiaTheme="minorEastAsia" w:cstheme="minorEastAsia"/>
                <w:bCs/>
                <w:kern w:val="0"/>
                <w:szCs w:val="21"/>
                <w:lang w:eastAsia="ko-KR"/>
              </w:rPr>
              <w:t>海景栈道中公厕</w:t>
            </w:r>
          </w:p>
        </w:tc>
        <w:tc>
          <w:tcPr>
            <w:tcW w:w="1062" w:type="dxa"/>
            <w:noWrap/>
            <w:vAlign w:val="center"/>
          </w:tcPr>
          <w:p>
            <w:pPr>
              <w:keepNext w:val="0"/>
              <w:keepLines w:val="0"/>
              <w:widowControl/>
              <w:suppressLineNumbers w:val="0"/>
              <w:spacing w:line="360" w:lineRule="exact"/>
              <w:jc w:val="center"/>
              <w:textAlignment w:val="auto"/>
              <w:rPr>
                <w:rFonts w:hint="eastAsia" w:asciiTheme="minorEastAsia" w:hAnsiTheme="minorEastAsia" w:eastAsiaTheme="minorEastAsia" w:cstheme="minorEastAsia"/>
                <w:bCs/>
                <w:color w:val="auto"/>
                <w:kern w:val="0"/>
                <w:szCs w:val="21"/>
                <w:lang w:eastAsia="ko-KR"/>
              </w:rPr>
            </w:pPr>
            <w:r>
              <w:rPr>
                <w:rFonts w:hint="eastAsia" w:asciiTheme="minorEastAsia" w:hAnsiTheme="minorEastAsia" w:eastAsiaTheme="minorEastAsia" w:cstheme="minorEastAsia"/>
                <w:bCs/>
                <w:i w:val="0"/>
                <w:iCs w:val="0"/>
                <w:color w:val="auto"/>
                <w:kern w:val="0"/>
                <w:sz w:val="21"/>
                <w:szCs w:val="21"/>
                <w:highlight w:val="none"/>
                <w:u w:val="none"/>
                <w:lang w:val="en-US" w:eastAsia="ko-KR"/>
              </w:rPr>
              <w:t>1802</w:t>
            </w:r>
            <w:r>
              <w:rPr>
                <w:rFonts w:hint="eastAsia" w:asciiTheme="minorEastAsia" w:hAnsiTheme="minorEastAsia" w:eastAsiaTheme="minorEastAsia" w:cstheme="minorEastAsia"/>
                <w:bCs/>
                <w:i w:val="0"/>
                <w:iCs w:val="0"/>
                <w:color w:val="auto"/>
                <w:kern w:val="0"/>
                <w:sz w:val="21"/>
                <w:szCs w:val="21"/>
                <w:highlight w:val="none"/>
                <w:u w:val="none"/>
                <w:lang w:val="en-US" w:eastAsia="zh-CN"/>
              </w:rPr>
              <w:t>00</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lang w:eastAsia="ko-KR"/>
              </w:rPr>
            </w:pPr>
          </w:p>
        </w:tc>
        <w:tc>
          <w:tcPr>
            <w:tcW w:w="1485" w:type="dxa"/>
            <w:noWrap/>
            <w:vAlign w:val="center"/>
          </w:tcPr>
          <w:p>
            <w:pPr>
              <w:spacing w:line="36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元/座·年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2236" w:type="dxa"/>
            <w:gridSpan w:val="2"/>
            <w:vMerge w:val="continue"/>
            <w:noWrap/>
            <w:vAlign w:val="top"/>
          </w:tcPr>
          <w:p>
            <w:pPr>
              <w:spacing w:line="360" w:lineRule="exact"/>
              <w:jc w:val="left"/>
              <w:rPr>
                <w:rFonts w:hint="eastAsia" w:asciiTheme="minorEastAsia" w:hAnsiTheme="minorEastAsia" w:eastAsiaTheme="minorEastAsia" w:cstheme="minorEastAsia"/>
                <w:bCs/>
                <w:kern w:val="0"/>
                <w:szCs w:val="21"/>
              </w:rPr>
            </w:pPr>
          </w:p>
        </w:tc>
        <w:tc>
          <w:tcPr>
            <w:tcW w:w="1795" w:type="dxa"/>
            <w:noWrap/>
            <w:vAlign w:val="center"/>
          </w:tcPr>
          <w:p>
            <w:pPr>
              <w:keepNext w:val="0"/>
              <w:keepLines w:val="0"/>
              <w:widowControl/>
              <w:suppressLineNumbers w:val="0"/>
              <w:spacing w:line="360" w:lineRule="exact"/>
              <w:jc w:val="center"/>
              <w:textAlignment w:val="auto"/>
              <w:rPr>
                <w:rFonts w:hint="eastAsia" w:asciiTheme="minorEastAsia" w:hAnsiTheme="minorEastAsia" w:eastAsiaTheme="minorEastAsia" w:cstheme="minorEastAsia"/>
                <w:bCs/>
                <w:kern w:val="0"/>
                <w:szCs w:val="21"/>
                <w:lang w:eastAsia="ko-KR"/>
              </w:rPr>
            </w:pPr>
            <w:r>
              <w:rPr>
                <w:rFonts w:hint="eastAsia" w:asciiTheme="minorEastAsia" w:hAnsiTheme="minorEastAsia" w:eastAsiaTheme="minorEastAsia" w:cstheme="minorEastAsia"/>
                <w:bCs/>
                <w:kern w:val="0"/>
                <w:szCs w:val="21"/>
                <w:lang w:eastAsia="ko-KR"/>
              </w:rPr>
              <w:t>鹏湾公厕</w:t>
            </w:r>
          </w:p>
        </w:tc>
        <w:tc>
          <w:tcPr>
            <w:tcW w:w="1062" w:type="dxa"/>
            <w:noWrap/>
            <w:vAlign w:val="center"/>
          </w:tcPr>
          <w:p>
            <w:pPr>
              <w:keepNext w:val="0"/>
              <w:keepLines w:val="0"/>
              <w:widowControl/>
              <w:suppressLineNumbers w:val="0"/>
              <w:spacing w:line="360" w:lineRule="exact"/>
              <w:jc w:val="center"/>
              <w:textAlignment w:val="auto"/>
              <w:rPr>
                <w:rFonts w:hint="eastAsia" w:asciiTheme="minorEastAsia" w:hAnsiTheme="minorEastAsia" w:eastAsiaTheme="minorEastAsia" w:cstheme="minorEastAsia"/>
                <w:bCs/>
                <w:color w:val="auto"/>
                <w:kern w:val="0"/>
                <w:szCs w:val="21"/>
                <w:lang w:eastAsia="ko-KR"/>
              </w:rPr>
            </w:pPr>
            <w:r>
              <w:rPr>
                <w:rFonts w:hint="eastAsia" w:asciiTheme="minorEastAsia" w:hAnsiTheme="minorEastAsia" w:eastAsiaTheme="minorEastAsia" w:cstheme="minorEastAsia"/>
                <w:bCs/>
                <w:i w:val="0"/>
                <w:iCs w:val="0"/>
                <w:color w:val="auto"/>
                <w:kern w:val="0"/>
                <w:sz w:val="21"/>
                <w:szCs w:val="21"/>
                <w:highlight w:val="none"/>
                <w:u w:val="none"/>
                <w:lang w:val="en-US" w:eastAsia="ko-KR"/>
              </w:rPr>
              <w:t>2407</w:t>
            </w:r>
            <w:r>
              <w:rPr>
                <w:rFonts w:hint="eastAsia" w:asciiTheme="minorEastAsia" w:hAnsiTheme="minorEastAsia" w:eastAsiaTheme="minorEastAsia" w:cstheme="minorEastAsia"/>
                <w:bCs/>
                <w:i w:val="0"/>
                <w:iCs w:val="0"/>
                <w:color w:val="auto"/>
                <w:kern w:val="0"/>
                <w:sz w:val="21"/>
                <w:szCs w:val="21"/>
                <w:highlight w:val="none"/>
                <w:u w:val="none"/>
                <w:lang w:val="en-US" w:eastAsia="zh-CN"/>
              </w:rPr>
              <w:t>00</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lang w:eastAsia="ko-KR"/>
              </w:rPr>
            </w:pPr>
          </w:p>
        </w:tc>
        <w:tc>
          <w:tcPr>
            <w:tcW w:w="1485" w:type="dxa"/>
            <w:noWrap/>
            <w:vAlign w:val="center"/>
          </w:tcPr>
          <w:p>
            <w:pPr>
              <w:spacing w:line="36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元/座·年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2236" w:type="dxa"/>
            <w:gridSpan w:val="2"/>
            <w:vMerge w:val="continue"/>
            <w:noWrap/>
            <w:vAlign w:val="top"/>
          </w:tcPr>
          <w:p>
            <w:pPr>
              <w:spacing w:line="360" w:lineRule="exact"/>
              <w:jc w:val="left"/>
              <w:rPr>
                <w:rFonts w:hint="eastAsia" w:asciiTheme="minorEastAsia" w:hAnsiTheme="minorEastAsia" w:eastAsiaTheme="minorEastAsia" w:cstheme="minorEastAsia"/>
                <w:bCs/>
                <w:kern w:val="0"/>
                <w:szCs w:val="21"/>
              </w:rPr>
            </w:pPr>
          </w:p>
        </w:tc>
        <w:tc>
          <w:tcPr>
            <w:tcW w:w="1795" w:type="dxa"/>
            <w:noWrap/>
            <w:vAlign w:val="center"/>
          </w:tcPr>
          <w:p>
            <w:pPr>
              <w:keepNext w:val="0"/>
              <w:keepLines w:val="0"/>
              <w:widowControl/>
              <w:suppressLineNumbers w:val="0"/>
              <w:spacing w:line="360" w:lineRule="exact"/>
              <w:jc w:val="center"/>
              <w:textAlignment w:val="auto"/>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壹海城商业四区7栋公厕</w:t>
            </w:r>
          </w:p>
        </w:tc>
        <w:tc>
          <w:tcPr>
            <w:tcW w:w="1062" w:type="dxa"/>
            <w:noWrap/>
            <w:vAlign w:val="center"/>
          </w:tcPr>
          <w:p>
            <w:pPr>
              <w:keepNext w:val="0"/>
              <w:keepLines w:val="0"/>
              <w:widowControl/>
              <w:suppressLineNumbers w:val="0"/>
              <w:spacing w:line="360" w:lineRule="exact"/>
              <w:jc w:val="center"/>
              <w:textAlignment w:val="auto"/>
              <w:rPr>
                <w:rFonts w:hint="eastAsia" w:asciiTheme="minorEastAsia" w:hAnsiTheme="minorEastAsia" w:eastAsiaTheme="minorEastAsia" w:cstheme="minorEastAsia"/>
                <w:bCs/>
                <w:color w:val="auto"/>
                <w:kern w:val="0"/>
                <w:szCs w:val="21"/>
                <w:lang w:eastAsia="ko-KR"/>
              </w:rPr>
            </w:pPr>
            <w:r>
              <w:rPr>
                <w:rFonts w:hint="eastAsia" w:asciiTheme="minorEastAsia" w:hAnsiTheme="minorEastAsia" w:eastAsiaTheme="minorEastAsia" w:cstheme="minorEastAsia"/>
                <w:bCs/>
                <w:i w:val="0"/>
                <w:iCs w:val="0"/>
                <w:color w:val="auto"/>
                <w:kern w:val="0"/>
                <w:sz w:val="21"/>
                <w:szCs w:val="21"/>
                <w:highlight w:val="none"/>
                <w:u w:val="none"/>
                <w:lang w:val="en-US" w:eastAsia="ko-KR"/>
              </w:rPr>
              <w:t>1707</w:t>
            </w:r>
            <w:r>
              <w:rPr>
                <w:rFonts w:hint="eastAsia" w:asciiTheme="minorEastAsia" w:hAnsiTheme="minorEastAsia" w:eastAsiaTheme="minorEastAsia" w:cstheme="minorEastAsia"/>
                <w:bCs/>
                <w:i w:val="0"/>
                <w:iCs w:val="0"/>
                <w:color w:val="auto"/>
                <w:kern w:val="0"/>
                <w:sz w:val="21"/>
                <w:szCs w:val="21"/>
                <w:highlight w:val="none"/>
                <w:u w:val="none"/>
                <w:lang w:val="en-US" w:eastAsia="zh-CN"/>
              </w:rPr>
              <w:t>00</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lang w:eastAsia="ko-KR"/>
              </w:rPr>
            </w:pPr>
          </w:p>
        </w:tc>
        <w:tc>
          <w:tcPr>
            <w:tcW w:w="1485" w:type="dxa"/>
            <w:noWrap/>
            <w:vAlign w:val="center"/>
          </w:tcPr>
          <w:p>
            <w:pPr>
              <w:spacing w:line="36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元/座·年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2236" w:type="dxa"/>
            <w:gridSpan w:val="2"/>
            <w:vMerge w:val="continue"/>
            <w:noWrap/>
            <w:vAlign w:val="top"/>
          </w:tcPr>
          <w:p>
            <w:pPr>
              <w:spacing w:line="360" w:lineRule="exact"/>
              <w:jc w:val="left"/>
              <w:rPr>
                <w:rFonts w:hint="eastAsia" w:asciiTheme="minorEastAsia" w:hAnsiTheme="minorEastAsia" w:eastAsiaTheme="minorEastAsia" w:cstheme="minorEastAsia"/>
                <w:bCs/>
                <w:kern w:val="0"/>
                <w:szCs w:val="21"/>
              </w:rPr>
            </w:pPr>
          </w:p>
        </w:tc>
        <w:tc>
          <w:tcPr>
            <w:tcW w:w="1795" w:type="dxa"/>
            <w:noWrap/>
            <w:vAlign w:val="center"/>
          </w:tcPr>
          <w:p>
            <w:pPr>
              <w:keepNext w:val="0"/>
              <w:keepLines w:val="0"/>
              <w:widowControl/>
              <w:suppressLineNumbers w:val="0"/>
              <w:spacing w:line="360" w:lineRule="exact"/>
              <w:jc w:val="center"/>
              <w:textAlignment w:val="auto"/>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海景栈道东公厕</w:t>
            </w:r>
          </w:p>
        </w:tc>
        <w:tc>
          <w:tcPr>
            <w:tcW w:w="1062" w:type="dxa"/>
            <w:noWrap/>
            <w:vAlign w:val="center"/>
          </w:tcPr>
          <w:p>
            <w:pPr>
              <w:keepNext w:val="0"/>
              <w:keepLines w:val="0"/>
              <w:widowControl/>
              <w:suppressLineNumbers w:val="0"/>
              <w:spacing w:line="360" w:lineRule="exact"/>
              <w:jc w:val="center"/>
              <w:textAlignment w:val="auto"/>
              <w:rPr>
                <w:rFonts w:hint="eastAsia" w:asciiTheme="minorEastAsia" w:hAnsiTheme="minorEastAsia" w:eastAsiaTheme="minorEastAsia" w:cstheme="minorEastAsia"/>
                <w:bCs/>
                <w:color w:val="auto"/>
                <w:kern w:val="0"/>
                <w:szCs w:val="21"/>
                <w:lang w:eastAsia="ko-KR"/>
              </w:rPr>
            </w:pPr>
            <w:r>
              <w:rPr>
                <w:rFonts w:hint="eastAsia" w:asciiTheme="minorEastAsia" w:hAnsiTheme="minorEastAsia" w:eastAsiaTheme="minorEastAsia" w:cstheme="minorEastAsia"/>
                <w:bCs/>
                <w:i w:val="0"/>
                <w:iCs w:val="0"/>
                <w:color w:val="auto"/>
                <w:kern w:val="0"/>
                <w:sz w:val="21"/>
                <w:szCs w:val="21"/>
                <w:highlight w:val="none"/>
                <w:u w:val="none"/>
                <w:lang w:val="en-US" w:eastAsia="ko-KR"/>
              </w:rPr>
              <w:t>1707</w:t>
            </w:r>
            <w:r>
              <w:rPr>
                <w:rFonts w:hint="eastAsia" w:asciiTheme="minorEastAsia" w:hAnsiTheme="minorEastAsia" w:eastAsiaTheme="minorEastAsia" w:cstheme="minorEastAsia"/>
                <w:bCs/>
                <w:i w:val="0"/>
                <w:iCs w:val="0"/>
                <w:color w:val="auto"/>
                <w:kern w:val="0"/>
                <w:sz w:val="21"/>
                <w:szCs w:val="21"/>
                <w:highlight w:val="none"/>
                <w:u w:val="none"/>
                <w:lang w:val="en-US" w:eastAsia="zh-CN"/>
              </w:rPr>
              <w:t>00</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lang w:eastAsia="ko-KR"/>
              </w:rPr>
            </w:pPr>
          </w:p>
        </w:tc>
        <w:tc>
          <w:tcPr>
            <w:tcW w:w="1485" w:type="dxa"/>
            <w:noWrap/>
            <w:vAlign w:val="center"/>
          </w:tcPr>
          <w:p>
            <w:pPr>
              <w:spacing w:line="36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元/座·年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2236" w:type="dxa"/>
            <w:gridSpan w:val="2"/>
            <w:vMerge w:val="continue"/>
            <w:noWrap/>
            <w:vAlign w:val="top"/>
          </w:tcPr>
          <w:p>
            <w:pPr>
              <w:spacing w:line="360" w:lineRule="exact"/>
              <w:jc w:val="left"/>
              <w:rPr>
                <w:rFonts w:hint="eastAsia" w:asciiTheme="minorEastAsia" w:hAnsiTheme="minorEastAsia" w:eastAsiaTheme="minorEastAsia" w:cstheme="minorEastAsia"/>
                <w:bCs/>
                <w:kern w:val="0"/>
                <w:szCs w:val="21"/>
              </w:rPr>
            </w:pPr>
          </w:p>
        </w:tc>
        <w:tc>
          <w:tcPr>
            <w:tcW w:w="1795" w:type="dxa"/>
            <w:noWrap/>
            <w:vAlign w:val="center"/>
          </w:tcPr>
          <w:p>
            <w:pPr>
              <w:keepNext w:val="0"/>
              <w:keepLines w:val="0"/>
              <w:widowControl/>
              <w:suppressLineNumbers w:val="0"/>
              <w:spacing w:line="360" w:lineRule="exact"/>
              <w:jc w:val="center"/>
              <w:textAlignment w:val="auto"/>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登山口公厕</w:t>
            </w:r>
          </w:p>
        </w:tc>
        <w:tc>
          <w:tcPr>
            <w:tcW w:w="1062" w:type="dxa"/>
            <w:noWrap/>
            <w:vAlign w:val="center"/>
          </w:tcPr>
          <w:p>
            <w:pPr>
              <w:keepNext w:val="0"/>
              <w:keepLines w:val="0"/>
              <w:widowControl/>
              <w:suppressLineNumbers w:val="0"/>
              <w:spacing w:line="360" w:lineRule="exact"/>
              <w:jc w:val="center"/>
              <w:textAlignment w:val="auto"/>
              <w:rPr>
                <w:rFonts w:hint="eastAsia" w:asciiTheme="minorEastAsia" w:hAnsiTheme="minorEastAsia" w:eastAsiaTheme="minorEastAsia" w:cstheme="minorEastAsia"/>
                <w:bCs/>
                <w:color w:val="auto"/>
                <w:kern w:val="0"/>
                <w:szCs w:val="21"/>
                <w:lang w:eastAsia="ko-KR"/>
              </w:rPr>
            </w:pPr>
            <w:r>
              <w:rPr>
                <w:rFonts w:hint="eastAsia" w:asciiTheme="minorEastAsia" w:hAnsiTheme="minorEastAsia" w:eastAsiaTheme="minorEastAsia" w:cstheme="minorEastAsia"/>
                <w:bCs/>
                <w:i w:val="0"/>
                <w:iCs w:val="0"/>
                <w:color w:val="auto"/>
                <w:kern w:val="0"/>
                <w:sz w:val="21"/>
                <w:szCs w:val="21"/>
                <w:highlight w:val="none"/>
                <w:u w:val="none"/>
                <w:lang w:val="en-US" w:eastAsia="ko-KR"/>
              </w:rPr>
              <w:t>1052</w:t>
            </w:r>
            <w:r>
              <w:rPr>
                <w:rFonts w:hint="eastAsia" w:asciiTheme="minorEastAsia" w:hAnsiTheme="minorEastAsia" w:eastAsiaTheme="minorEastAsia" w:cstheme="minorEastAsia"/>
                <w:bCs/>
                <w:i w:val="0"/>
                <w:iCs w:val="0"/>
                <w:color w:val="auto"/>
                <w:kern w:val="0"/>
                <w:sz w:val="21"/>
                <w:szCs w:val="21"/>
                <w:highlight w:val="none"/>
                <w:u w:val="none"/>
                <w:lang w:val="en-US" w:eastAsia="zh-CN"/>
              </w:rPr>
              <w:t>00</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lang w:eastAsia="ko-KR"/>
              </w:rPr>
            </w:pPr>
          </w:p>
        </w:tc>
        <w:tc>
          <w:tcPr>
            <w:tcW w:w="1485" w:type="dxa"/>
            <w:noWrap/>
            <w:vAlign w:val="center"/>
          </w:tcPr>
          <w:p>
            <w:pPr>
              <w:spacing w:line="36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元/座·年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2236" w:type="dxa"/>
            <w:gridSpan w:val="2"/>
            <w:vMerge w:val="continue"/>
            <w:noWrap/>
            <w:vAlign w:val="top"/>
          </w:tcPr>
          <w:p>
            <w:pPr>
              <w:spacing w:line="360" w:lineRule="exact"/>
              <w:jc w:val="left"/>
              <w:rPr>
                <w:rFonts w:hint="eastAsia" w:asciiTheme="minorEastAsia" w:hAnsiTheme="minorEastAsia" w:eastAsiaTheme="minorEastAsia" w:cstheme="minorEastAsia"/>
                <w:bCs/>
                <w:kern w:val="0"/>
                <w:szCs w:val="21"/>
              </w:rPr>
            </w:pPr>
          </w:p>
        </w:tc>
        <w:tc>
          <w:tcPr>
            <w:tcW w:w="1795" w:type="dxa"/>
            <w:noWrap/>
            <w:vAlign w:val="center"/>
          </w:tcPr>
          <w:p>
            <w:pPr>
              <w:keepNext w:val="0"/>
              <w:keepLines w:val="0"/>
              <w:widowControl/>
              <w:suppressLineNumbers w:val="0"/>
              <w:spacing w:line="360" w:lineRule="exact"/>
              <w:jc w:val="center"/>
              <w:textAlignment w:val="auto"/>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海景二路公厕</w:t>
            </w:r>
          </w:p>
        </w:tc>
        <w:tc>
          <w:tcPr>
            <w:tcW w:w="1062" w:type="dxa"/>
            <w:noWrap/>
            <w:vAlign w:val="center"/>
          </w:tcPr>
          <w:p>
            <w:pPr>
              <w:keepNext w:val="0"/>
              <w:keepLines w:val="0"/>
              <w:widowControl/>
              <w:suppressLineNumbers w:val="0"/>
              <w:spacing w:line="360" w:lineRule="exact"/>
              <w:jc w:val="center"/>
              <w:textAlignment w:val="auto"/>
              <w:rPr>
                <w:rFonts w:hint="eastAsia" w:asciiTheme="minorEastAsia" w:hAnsiTheme="minorEastAsia" w:eastAsiaTheme="minorEastAsia" w:cstheme="minorEastAsia"/>
                <w:bCs/>
                <w:color w:val="auto"/>
                <w:kern w:val="0"/>
                <w:szCs w:val="21"/>
                <w:lang w:eastAsia="ko-KR"/>
              </w:rPr>
            </w:pPr>
            <w:r>
              <w:rPr>
                <w:rFonts w:hint="eastAsia" w:asciiTheme="minorEastAsia" w:hAnsiTheme="minorEastAsia" w:eastAsiaTheme="minorEastAsia" w:cstheme="minorEastAsia"/>
                <w:bCs/>
                <w:i w:val="0"/>
                <w:iCs w:val="0"/>
                <w:color w:val="auto"/>
                <w:kern w:val="0"/>
                <w:sz w:val="21"/>
                <w:szCs w:val="21"/>
                <w:highlight w:val="none"/>
                <w:u w:val="none"/>
                <w:lang w:val="en-US" w:eastAsia="ko-KR"/>
              </w:rPr>
              <w:t>1052</w:t>
            </w:r>
            <w:r>
              <w:rPr>
                <w:rFonts w:hint="eastAsia" w:asciiTheme="minorEastAsia" w:hAnsiTheme="minorEastAsia" w:eastAsiaTheme="minorEastAsia" w:cstheme="minorEastAsia"/>
                <w:bCs/>
                <w:i w:val="0"/>
                <w:iCs w:val="0"/>
                <w:color w:val="auto"/>
                <w:kern w:val="0"/>
                <w:sz w:val="21"/>
                <w:szCs w:val="21"/>
                <w:highlight w:val="none"/>
                <w:u w:val="none"/>
                <w:lang w:val="en-US" w:eastAsia="zh-CN"/>
              </w:rPr>
              <w:t>00</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lang w:eastAsia="ko-KR"/>
              </w:rPr>
            </w:pPr>
          </w:p>
        </w:tc>
        <w:tc>
          <w:tcPr>
            <w:tcW w:w="1485" w:type="dxa"/>
            <w:noWrap/>
            <w:vAlign w:val="center"/>
          </w:tcPr>
          <w:p>
            <w:pPr>
              <w:spacing w:line="36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元/座·年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2236" w:type="dxa"/>
            <w:gridSpan w:val="2"/>
            <w:vMerge w:val="continue"/>
            <w:noWrap/>
            <w:vAlign w:val="top"/>
          </w:tcPr>
          <w:p>
            <w:pPr>
              <w:spacing w:line="360" w:lineRule="exact"/>
              <w:jc w:val="left"/>
              <w:rPr>
                <w:rFonts w:hint="eastAsia" w:asciiTheme="minorEastAsia" w:hAnsiTheme="minorEastAsia" w:eastAsiaTheme="minorEastAsia" w:cstheme="minorEastAsia"/>
                <w:bCs/>
                <w:kern w:val="0"/>
                <w:szCs w:val="21"/>
              </w:rPr>
            </w:pPr>
          </w:p>
        </w:tc>
        <w:tc>
          <w:tcPr>
            <w:tcW w:w="1795" w:type="dxa"/>
            <w:noWrap/>
            <w:vAlign w:val="center"/>
          </w:tcPr>
          <w:p>
            <w:pPr>
              <w:keepNext w:val="0"/>
              <w:keepLines w:val="0"/>
              <w:widowControl/>
              <w:suppressLineNumbers w:val="0"/>
              <w:spacing w:line="360" w:lineRule="exact"/>
              <w:jc w:val="center"/>
              <w:textAlignment w:val="auto"/>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鸳鸯谷公厕</w:t>
            </w:r>
          </w:p>
        </w:tc>
        <w:tc>
          <w:tcPr>
            <w:tcW w:w="1062" w:type="dxa"/>
            <w:noWrap/>
            <w:vAlign w:val="center"/>
          </w:tcPr>
          <w:p>
            <w:pPr>
              <w:keepNext w:val="0"/>
              <w:keepLines w:val="0"/>
              <w:widowControl/>
              <w:suppressLineNumbers w:val="0"/>
              <w:spacing w:line="360" w:lineRule="exact"/>
              <w:jc w:val="center"/>
              <w:textAlignment w:val="auto"/>
              <w:rPr>
                <w:rFonts w:hint="eastAsia" w:asciiTheme="minorEastAsia" w:hAnsiTheme="minorEastAsia" w:eastAsiaTheme="minorEastAsia" w:cstheme="minorEastAsia"/>
                <w:bCs/>
                <w:color w:val="auto"/>
                <w:kern w:val="0"/>
                <w:szCs w:val="21"/>
                <w:lang w:eastAsia="ko-KR"/>
              </w:rPr>
            </w:pPr>
            <w:r>
              <w:rPr>
                <w:rFonts w:hint="eastAsia" w:asciiTheme="minorEastAsia" w:hAnsiTheme="minorEastAsia" w:eastAsiaTheme="minorEastAsia" w:cstheme="minorEastAsia"/>
                <w:bCs/>
                <w:i w:val="0"/>
                <w:iCs w:val="0"/>
                <w:color w:val="auto"/>
                <w:kern w:val="0"/>
                <w:sz w:val="21"/>
                <w:szCs w:val="21"/>
                <w:highlight w:val="none"/>
                <w:u w:val="none"/>
                <w:lang w:val="en-US" w:eastAsia="ko-KR"/>
              </w:rPr>
              <w:t>1542</w:t>
            </w:r>
            <w:r>
              <w:rPr>
                <w:rFonts w:hint="eastAsia" w:asciiTheme="minorEastAsia" w:hAnsiTheme="minorEastAsia" w:eastAsiaTheme="minorEastAsia" w:cstheme="minorEastAsia"/>
                <w:bCs/>
                <w:i w:val="0"/>
                <w:iCs w:val="0"/>
                <w:color w:val="auto"/>
                <w:kern w:val="0"/>
                <w:sz w:val="21"/>
                <w:szCs w:val="21"/>
                <w:highlight w:val="none"/>
                <w:u w:val="none"/>
                <w:lang w:val="en-US" w:eastAsia="zh-CN"/>
              </w:rPr>
              <w:t>00</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lang w:eastAsia="ko-KR"/>
              </w:rPr>
            </w:pPr>
          </w:p>
        </w:tc>
        <w:tc>
          <w:tcPr>
            <w:tcW w:w="1485" w:type="dxa"/>
            <w:noWrap/>
            <w:vAlign w:val="center"/>
          </w:tcPr>
          <w:p>
            <w:pPr>
              <w:spacing w:line="36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元/座·年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2236" w:type="dxa"/>
            <w:gridSpan w:val="2"/>
            <w:vMerge w:val="continue"/>
            <w:noWrap/>
            <w:vAlign w:val="top"/>
          </w:tcPr>
          <w:p>
            <w:pPr>
              <w:spacing w:line="360" w:lineRule="exact"/>
              <w:jc w:val="left"/>
              <w:rPr>
                <w:rFonts w:hint="eastAsia" w:asciiTheme="minorEastAsia" w:hAnsiTheme="minorEastAsia" w:eastAsiaTheme="minorEastAsia" w:cstheme="minorEastAsia"/>
                <w:bCs/>
                <w:kern w:val="0"/>
                <w:szCs w:val="21"/>
              </w:rPr>
            </w:pPr>
          </w:p>
        </w:tc>
        <w:tc>
          <w:tcPr>
            <w:tcW w:w="1795" w:type="dxa"/>
            <w:noWrap/>
            <w:vAlign w:val="center"/>
          </w:tcPr>
          <w:p>
            <w:pPr>
              <w:keepNext w:val="0"/>
              <w:keepLines w:val="0"/>
              <w:widowControl/>
              <w:suppressLineNumbers w:val="0"/>
              <w:spacing w:line="360" w:lineRule="exact"/>
              <w:jc w:val="center"/>
              <w:textAlignment w:val="auto"/>
              <w:rPr>
                <w:rFonts w:hint="eastAsia" w:asciiTheme="minorEastAsia" w:hAnsiTheme="minorEastAsia" w:eastAsiaTheme="minorEastAsia" w:cstheme="minorEastAsia"/>
                <w:bCs/>
                <w:kern w:val="0"/>
                <w:szCs w:val="21"/>
                <w:lang w:eastAsia="zh-CN"/>
              </w:rPr>
            </w:pPr>
            <w:r>
              <w:rPr>
                <w:rFonts w:hint="eastAsia" w:asciiTheme="minorEastAsia" w:hAnsiTheme="minorEastAsia" w:eastAsiaTheme="minorEastAsia" w:cstheme="minorEastAsia"/>
                <w:bCs/>
                <w:kern w:val="0"/>
                <w:szCs w:val="21"/>
                <w:lang w:eastAsia="zh-CN"/>
              </w:rPr>
              <w:t>海智云谷公厕</w:t>
            </w:r>
          </w:p>
        </w:tc>
        <w:tc>
          <w:tcPr>
            <w:tcW w:w="1062" w:type="dxa"/>
            <w:noWrap/>
            <w:vAlign w:val="center"/>
          </w:tcPr>
          <w:p>
            <w:pPr>
              <w:keepNext w:val="0"/>
              <w:keepLines w:val="0"/>
              <w:widowControl/>
              <w:suppressLineNumbers w:val="0"/>
              <w:spacing w:line="360" w:lineRule="exact"/>
              <w:jc w:val="center"/>
              <w:textAlignment w:val="auto"/>
              <w:rPr>
                <w:rFonts w:hint="eastAsia" w:asciiTheme="minorEastAsia" w:hAnsiTheme="minorEastAsia" w:eastAsiaTheme="minorEastAsia" w:cstheme="minorEastAsia"/>
                <w:bCs/>
                <w:i w:val="0"/>
                <w:iCs w:val="0"/>
                <w:color w:val="auto"/>
                <w:kern w:val="0"/>
                <w:sz w:val="21"/>
                <w:szCs w:val="21"/>
                <w:highlight w:val="none"/>
                <w:u w:val="none"/>
                <w:lang w:val="en-US" w:eastAsia="ko-KR"/>
              </w:rPr>
            </w:pPr>
            <w:r>
              <w:rPr>
                <w:rFonts w:hint="eastAsia" w:asciiTheme="minorEastAsia" w:hAnsiTheme="minorEastAsia" w:eastAsiaTheme="minorEastAsia" w:cstheme="minorEastAsia"/>
                <w:bCs/>
                <w:i w:val="0"/>
                <w:iCs w:val="0"/>
                <w:color w:val="auto"/>
                <w:kern w:val="0"/>
                <w:sz w:val="21"/>
                <w:szCs w:val="21"/>
                <w:highlight w:val="none"/>
                <w:u w:val="none"/>
                <w:lang w:val="en-US" w:eastAsia="ko-KR"/>
              </w:rPr>
              <w:t>1802</w:t>
            </w:r>
            <w:r>
              <w:rPr>
                <w:rFonts w:hint="eastAsia" w:asciiTheme="minorEastAsia" w:hAnsiTheme="minorEastAsia" w:eastAsiaTheme="minorEastAsia" w:cstheme="minorEastAsia"/>
                <w:bCs/>
                <w:i w:val="0"/>
                <w:iCs w:val="0"/>
                <w:color w:val="auto"/>
                <w:kern w:val="0"/>
                <w:sz w:val="21"/>
                <w:szCs w:val="21"/>
                <w:highlight w:val="none"/>
                <w:u w:val="none"/>
                <w:lang w:val="en-US" w:eastAsia="zh-CN"/>
              </w:rPr>
              <w:t>00</w:t>
            </w:r>
          </w:p>
        </w:tc>
        <w:tc>
          <w:tcPr>
            <w:tcW w:w="1080" w:type="dxa"/>
            <w:noWrap/>
            <w:vAlign w:val="center"/>
          </w:tcPr>
          <w:p>
            <w:pPr>
              <w:spacing w:line="360" w:lineRule="exact"/>
              <w:jc w:val="center"/>
              <w:rPr>
                <w:rFonts w:hint="eastAsia" w:asciiTheme="minorEastAsia" w:hAnsiTheme="minorEastAsia" w:eastAsiaTheme="minorEastAsia" w:cstheme="minorEastAsia"/>
                <w:bCs/>
                <w:kern w:val="0"/>
                <w:szCs w:val="21"/>
                <w:lang w:eastAsia="ko-KR"/>
              </w:rPr>
            </w:pPr>
          </w:p>
        </w:tc>
        <w:tc>
          <w:tcPr>
            <w:tcW w:w="1485" w:type="dxa"/>
            <w:noWrap/>
            <w:vAlign w:val="center"/>
          </w:tcPr>
          <w:p>
            <w:pPr>
              <w:spacing w:line="36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元/座·年</w:t>
            </w:r>
          </w:p>
        </w:tc>
      </w:tr>
    </w:tbl>
    <w:p>
      <w:pPr>
        <w:spacing w:before="48" w:beforeLines="20" w:line="360" w:lineRule="exact"/>
        <w:ind w:firstLine="420" w:firstLineChars="200"/>
        <w:rPr>
          <w:rFonts w:hint="eastAsia" w:asciiTheme="minorEastAsia" w:hAnsiTheme="minorEastAsia" w:eastAsiaTheme="minorEastAsia" w:cstheme="minorEastAsia"/>
          <w:kern w:val="0"/>
          <w:szCs w:val="21"/>
          <w:highlight w:val="yellow"/>
        </w:rPr>
      </w:pPr>
      <w:r>
        <w:rPr>
          <w:rFonts w:hint="eastAsia" w:asciiTheme="minorEastAsia" w:hAnsiTheme="minorEastAsia" w:eastAsiaTheme="minorEastAsia" w:cstheme="minorEastAsia"/>
          <w:kern w:val="0"/>
          <w:szCs w:val="21"/>
        </w:rPr>
        <w:t>注：1.如《投标单价一览表》与《投标总价一览表》内容不一致，以《投标总价一览表》内容为准。中标后如涉及面积或其他数量的变更，以《投标单价一览表》中的投标单价进行计算调整</w:t>
      </w:r>
      <w:r>
        <w:rPr>
          <w:rFonts w:hint="eastAsia" w:asciiTheme="minorEastAsia" w:hAnsiTheme="minorEastAsia" w:eastAsiaTheme="minorEastAsia" w:cstheme="minorEastAsia"/>
          <w:lang w:eastAsia="zh-CN"/>
        </w:rPr>
        <w:t>。</w:t>
      </w:r>
    </w:p>
    <w:p>
      <w:pPr>
        <w:spacing w:before="240" w:beforeLines="100" w:after="72" w:afterLines="30" w:line="360" w:lineRule="exact"/>
        <w:ind w:firstLine="421" w:firstLineChars="200"/>
        <w:outlineLvl w:val="3"/>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（三）人员、车辆等成本分项报价表</w:t>
      </w:r>
    </w:p>
    <w:tbl>
      <w:tblPr>
        <w:tblStyle w:val="44"/>
        <w:tblpPr w:leftFromText="180" w:rightFromText="180" w:vertAnchor="text" w:tblpXSpec="center" w:tblpY="1"/>
        <w:tblOverlap w:val="never"/>
        <w:tblW w:w="10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21"/>
        <w:gridCol w:w="988"/>
        <w:gridCol w:w="146"/>
        <w:gridCol w:w="538"/>
        <w:gridCol w:w="539"/>
        <w:gridCol w:w="538"/>
        <w:gridCol w:w="539"/>
        <w:gridCol w:w="539"/>
        <w:gridCol w:w="992"/>
        <w:gridCol w:w="992"/>
        <w:gridCol w:w="851"/>
        <w:gridCol w:w="1672"/>
        <w:gridCol w:w="17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56" w:hRule="atLeast"/>
        </w:trPr>
        <w:tc>
          <w:tcPr>
            <w:tcW w:w="1555" w:type="dxa"/>
            <w:gridSpan w:val="3"/>
            <w:noWrap/>
            <w:vAlign w:val="center"/>
          </w:tcPr>
          <w:p>
            <w:pPr>
              <w:spacing w:after="48" w:afterLines="20" w:line="360" w:lineRule="exact"/>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项目</w:t>
            </w:r>
          </w:p>
        </w:tc>
        <w:tc>
          <w:tcPr>
            <w:tcW w:w="538" w:type="dxa"/>
            <w:noWrap/>
            <w:vAlign w:val="center"/>
          </w:tcPr>
          <w:p>
            <w:pPr>
              <w:spacing w:after="48" w:afterLines="20" w:line="360" w:lineRule="exact"/>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基本工资</w:t>
            </w:r>
          </w:p>
        </w:tc>
        <w:tc>
          <w:tcPr>
            <w:tcW w:w="539" w:type="dxa"/>
            <w:noWrap/>
            <w:vAlign w:val="center"/>
          </w:tcPr>
          <w:p>
            <w:pPr>
              <w:spacing w:after="48" w:afterLines="20" w:line="360" w:lineRule="exact"/>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加班工资</w:t>
            </w:r>
          </w:p>
        </w:tc>
        <w:tc>
          <w:tcPr>
            <w:tcW w:w="538" w:type="dxa"/>
            <w:noWrap/>
            <w:vAlign w:val="center"/>
          </w:tcPr>
          <w:p>
            <w:pPr>
              <w:spacing w:after="48" w:afterLines="20" w:line="360" w:lineRule="exact"/>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津贴补贴</w:t>
            </w:r>
          </w:p>
        </w:tc>
        <w:tc>
          <w:tcPr>
            <w:tcW w:w="539" w:type="dxa"/>
            <w:noWrap/>
            <w:vAlign w:val="center"/>
          </w:tcPr>
          <w:p>
            <w:pPr>
              <w:spacing w:after="48" w:afterLines="20" w:line="360" w:lineRule="exact"/>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社保</w:t>
            </w:r>
          </w:p>
        </w:tc>
        <w:tc>
          <w:tcPr>
            <w:tcW w:w="539" w:type="dxa"/>
            <w:noWrap/>
            <w:vAlign w:val="center"/>
          </w:tcPr>
          <w:p>
            <w:pPr>
              <w:spacing w:after="48" w:afterLines="20" w:line="360" w:lineRule="exact"/>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公积金</w:t>
            </w:r>
          </w:p>
        </w:tc>
        <w:tc>
          <w:tcPr>
            <w:tcW w:w="992" w:type="dxa"/>
            <w:noWrap/>
            <w:vAlign w:val="center"/>
          </w:tcPr>
          <w:p>
            <w:pPr>
              <w:spacing w:after="48" w:afterLines="20" w:line="360" w:lineRule="exact"/>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单人月平均成本（元）</w:t>
            </w:r>
          </w:p>
        </w:tc>
        <w:tc>
          <w:tcPr>
            <w:tcW w:w="992" w:type="dxa"/>
            <w:noWrap/>
            <w:vAlign w:val="center"/>
          </w:tcPr>
          <w:p>
            <w:pPr>
              <w:spacing w:after="48" w:afterLines="20" w:line="360" w:lineRule="exact"/>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安排人数（元）</w:t>
            </w:r>
          </w:p>
        </w:tc>
        <w:tc>
          <w:tcPr>
            <w:tcW w:w="851" w:type="dxa"/>
            <w:noWrap/>
            <w:vAlign w:val="center"/>
          </w:tcPr>
          <w:p>
            <w:pPr>
              <w:spacing w:after="48" w:afterLines="20" w:line="360" w:lineRule="exact"/>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年经费（元）</w:t>
            </w:r>
          </w:p>
        </w:tc>
        <w:tc>
          <w:tcPr>
            <w:tcW w:w="1672" w:type="dxa"/>
            <w:noWrap/>
            <w:vAlign w:val="center"/>
          </w:tcPr>
          <w:p>
            <w:pPr>
              <w:spacing w:after="48" w:afterLines="20" w:line="360" w:lineRule="exact"/>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年经费计算依据</w:t>
            </w:r>
          </w:p>
        </w:tc>
        <w:tc>
          <w:tcPr>
            <w:tcW w:w="1730" w:type="dxa"/>
            <w:noWrap/>
            <w:vAlign w:val="center"/>
          </w:tcPr>
          <w:p>
            <w:pPr>
              <w:spacing w:after="48" w:afterLines="20" w:line="360" w:lineRule="exact"/>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19" w:hRule="atLeast"/>
        </w:trPr>
        <w:tc>
          <w:tcPr>
            <w:tcW w:w="10485" w:type="dxa"/>
            <w:gridSpan w:val="13"/>
            <w:noWrap/>
          </w:tcPr>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
                <w:kern w:val="0"/>
                <w:szCs w:val="21"/>
              </w:rPr>
              <w:t>一、人工成本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3" w:hRule="atLeast"/>
        </w:trPr>
        <w:tc>
          <w:tcPr>
            <w:tcW w:w="421" w:type="dxa"/>
            <w:vMerge w:val="restart"/>
            <w:noWrap/>
            <w:vAlign w:val="center"/>
          </w:tcPr>
          <w:p>
            <w:pPr>
              <w:spacing w:after="48" w:afterLines="20" w:line="36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项目管理人员</w:t>
            </w:r>
          </w:p>
        </w:tc>
        <w:tc>
          <w:tcPr>
            <w:tcW w:w="1134" w:type="dxa"/>
            <w:gridSpan w:val="2"/>
            <w:noWrap/>
            <w:vAlign w:val="center"/>
          </w:tcPr>
          <w:p>
            <w:pPr>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szCs w:val="21"/>
              </w:rPr>
              <w:t>项目负责人（项目经理）</w:t>
            </w: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851"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1672" w:type="dxa"/>
            <w:noWrap/>
            <w:vAlign w:val="center"/>
          </w:tcPr>
          <w:p>
            <w:pPr>
              <w:spacing w:after="48" w:afterLines="20" w:line="360" w:lineRule="exac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单人月平均成本×人数×12个月</w:t>
            </w:r>
          </w:p>
        </w:tc>
        <w:tc>
          <w:tcPr>
            <w:tcW w:w="1730" w:type="dxa"/>
            <w:noWrap/>
          </w:tcPr>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不得少于最低配员要求</w:t>
            </w:r>
            <w:r>
              <w:rPr>
                <w:rFonts w:hint="eastAsia" w:asciiTheme="minorEastAsia" w:hAnsiTheme="minorEastAsia" w:eastAsiaTheme="minorEastAsia" w:cstheme="minorEastAsia"/>
                <w:kern w:val="0"/>
                <w:szCs w:val="21"/>
                <w:u w:val="single"/>
              </w:rPr>
              <w:t>1</w:t>
            </w:r>
            <w:r>
              <w:rPr>
                <w:rFonts w:hint="eastAsia" w:asciiTheme="minorEastAsia" w:hAnsiTheme="minorEastAsia" w:eastAsiaTheme="minorEastAsia" w:cstheme="minorEastAsia"/>
                <w:kern w:val="0"/>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3" w:hRule="atLeast"/>
        </w:trPr>
        <w:tc>
          <w:tcPr>
            <w:tcW w:w="421" w:type="dxa"/>
            <w:vMerge w:val="continue"/>
            <w:noWrap/>
            <w:vAlign w:val="center"/>
          </w:tcPr>
          <w:p>
            <w:pPr>
              <w:spacing w:after="48" w:afterLines="20" w:line="360" w:lineRule="exact"/>
              <w:jc w:val="center"/>
              <w:rPr>
                <w:rFonts w:hint="eastAsia" w:asciiTheme="minorEastAsia" w:hAnsiTheme="minorEastAsia" w:eastAsiaTheme="minorEastAsia" w:cstheme="minorEastAsia"/>
                <w:kern w:val="0"/>
                <w:szCs w:val="21"/>
              </w:rPr>
            </w:pPr>
          </w:p>
        </w:tc>
        <w:tc>
          <w:tcPr>
            <w:tcW w:w="1134" w:type="dxa"/>
            <w:gridSpan w:val="2"/>
            <w:noWrap/>
            <w:vAlign w:val="center"/>
          </w:tcPr>
          <w:p>
            <w:pPr>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szCs w:val="21"/>
              </w:rPr>
              <w:t>专职安全负责人</w:t>
            </w: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851"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1672" w:type="dxa"/>
            <w:noWrap/>
            <w:vAlign w:val="center"/>
          </w:tcPr>
          <w:p>
            <w:pPr>
              <w:spacing w:after="48" w:afterLines="20" w:line="360" w:lineRule="exac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单人月平均成本×人数×12个月</w:t>
            </w:r>
          </w:p>
        </w:tc>
        <w:tc>
          <w:tcPr>
            <w:tcW w:w="1730" w:type="dxa"/>
            <w:noWrap/>
          </w:tcPr>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不得少于最低配员要求</w:t>
            </w:r>
            <w:r>
              <w:rPr>
                <w:rFonts w:hint="eastAsia" w:asciiTheme="minorEastAsia" w:hAnsiTheme="minorEastAsia" w:eastAsiaTheme="minorEastAsia" w:cstheme="minorEastAsia"/>
                <w:kern w:val="0"/>
                <w:szCs w:val="21"/>
                <w:u w:val="single"/>
              </w:rPr>
              <w:t>1</w:t>
            </w:r>
            <w:r>
              <w:rPr>
                <w:rFonts w:hint="eastAsia" w:asciiTheme="minorEastAsia" w:hAnsiTheme="minorEastAsia" w:eastAsiaTheme="minorEastAsia" w:cstheme="minorEastAsia"/>
                <w:kern w:val="0"/>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3" w:hRule="atLeast"/>
        </w:trPr>
        <w:tc>
          <w:tcPr>
            <w:tcW w:w="421" w:type="dxa"/>
            <w:vMerge w:val="continue"/>
            <w:noWrap/>
            <w:vAlign w:val="center"/>
          </w:tcPr>
          <w:p>
            <w:pPr>
              <w:spacing w:after="48" w:afterLines="20" w:line="360" w:lineRule="exact"/>
              <w:jc w:val="center"/>
              <w:rPr>
                <w:rFonts w:hint="eastAsia" w:asciiTheme="minorEastAsia" w:hAnsiTheme="minorEastAsia" w:eastAsiaTheme="minorEastAsia" w:cstheme="minorEastAsia"/>
                <w:kern w:val="0"/>
                <w:szCs w:val="21"/>
              </w:rPr>
            </w:pPr>
          </w:p>
        </w:tc>
        <w:tc>
          <w:tcPr>
            <w:tcW w:w="1134" w:type="dxa"/>
            <w:gridSpan w:val="2"/>
            <w:noWrap/>
            <w:vAlign w:val="center"/>
          </w:tcPr>
          <w:p>
            <w:pPr>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color w:val="000000" w:themeColor="text1"/>
                <w:szCs w:val="21"/>
                <w14:textFill>
                  <w14:solidFill>
                    <w14:schemeClr w14:val="tx1"/>
                  </w14:solidFill>
                </w14:textFill>
              </w:rPr>
              <w:t>信息化管理员</w:t>
            </w: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851"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1672" w:type="dxa"/>
            <w:noWrap/>
            <w:vAlign w:val="center"/>
          </w:tcPr>
          <w:p>
            <w:pPr>
              <w:spacing w:after="48" w:afterLines="20" w:line="360" w:lineRule="exac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单人月平均成本×人数×12个月</w:t>
            </w:r>
          </w:p>
        </w:tc>
        <w:tc>
          <w:tcPr>
            <w:tcW w:w="1730" w:type="dxa"/>
            <w:noWrap/>
          </w:tcPr>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不得少于最低配员要求</w:t>
            </w:r>
            <w:r>
              <w:rPr>
                <w:rFonts w:hint="eastAsia" w:asciiTheme="minorEastAsia" w:hAnsiTheme="minorEastAsia" w:eastAsiaTheme="minorEastAsia" w:cstheme="minorEastAsia"/>
                <w:kern w:val="0"/>
                <w:szCs w:val="21"/>
                <w:u w:val="single"/>
              </w:rPr>
              <w:t>1</w:t>
            </w:r>
            <w:r>
              <w:rPr>
                <w:rFonts w:hint="eastAsia" w:asciiTheme="minorEastAsia" w:hAnsiTheme="minorEastAsia" w:eastAsiaTheme="minorEastAsia" w:cstheme="minorEastAsia"/>
                <w:kern w:val="0"/>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3" w:hRule="atLeast"/>
        </w:trPr>
        <w:tc>
          <w:tcPr>
            <w:tcW w:w="421" w:type="dxa"/>
            <w:vMerge w:val="continue"/>
            <w:noWrap/>
            <w:vAlign w:val="center"/>
          </w:tcPr>
          <w:p>
            <w:pPr>
              <w:spacing w:after="48" w:afterLines="20" w:line="360" w:lineRule="exact"/>
              <w:jc w:val="center"/>
              <w:rPr>
                <w:rFonts w:hint="eastAsia" w:asciiTheme="minorEastAsia" w:hAnsiTheme="minorEastAsia" w:eastAsiaTheme="minorEastAsia" w:cstheme="minorEastAsia"/>
                <w:kern w:val="0"/>
                <w:szCs w:val="21"/>
              </w:rPr>
            </w:pPr>
          </w:p>
        </w:tc>
        <w:tc>
          <w:tcPr>
            <w:tcW w:w="1134" w:type="dxa"/>
            <w:gridSpan w:val="2"/>
            <w:noWrap/>
            <w:vAlign w:val="center"/>
          </w:tcPr>
          <w:p>
            <w:pPr>
              <w:spacing w:line="30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szCs w:val="21"/>
              </w:rPr>
              <w:t>办公室文员</w:t>
            </w: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851"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1672" w:type="dxa"/>
            <w:noWrap/>
            <w:vAlign w:val="center"/>
          </w:tcPr>
          <w:p>
            <w:pPr>
              <w:spacing w:after="48" w:afterLines="20" w:line="360" w:lineRule="exac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单人月平均成本×人数×12个月</w:t>
            </w:r>
          </w:p>
        </w:tc>
        <w:tc>
          <w:tcPr>
            <w:tcW w:w="1730" w:type="dxa"/>
            <w:noWrap/>
          </w:tcPr>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不得少于最低配员要求</w:t>
            </w:r>
            <w:r>
              <w:rPr>
                <w:rFonts w:hint="eastAsia" w:asciiTheme="minorEastAsia" w:hAnsiTheme="minorEastAsia" w:eastAsiaTheme="minorEastAsia" w:cstheme="minorEastAsia"/>
                <w:kern w:val="0"/>
                <w:szCs w:val="21"/>
                <w:u w:val="single"/>
              </w:rPr>
              <w:t>2</w:t>
            </w:r>
            <w:r>
              <w:rPr>
                <w:rFonts w:hint="eastAsia" w:asciiTheme="minorEastAsia" w:hAnsiTheme="minorEastAsia" w:eastAsiaTheme="minorEastAsia" w:cstheme="minorEastAsia"/>
                <w:kern w:val="0"/>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3" w:hRule="atLeast"/>
        </w:trPr>
        <w:tc>
          <w:tcPr>
            <w:tcW w:w="421" w:type="dxa"/>
            <w:vMerge w:val="continue"/>
            <w:noWrap/>
            <w:vAlign w:val="center"/>
          </w:tcPr>
          <w:p>
            <w:pPr>
              <w:spacing w:after="48" w:afterLines="20" w:line="360" w:lineRule="exact"/>
              <w:jc w:val="center"/>
              <w:rPr>
                <w:rFonts w:hint="eastAsia" w:asciiTheme="minorEastAsia" w:hAnsiTheme="minorEastAsia" w:eastAsiaTheme="minorEastAsia" w:cstheme="minorEastAsia"/>
                <w:kern w:val="0"/>
                <w:szCs w:val="21"/>
              </w:rPr>
            </w:pPr>
          </w:p>
        </w:tc>
        <w:tc>
          <w:tcPr>
            <w:tcW w:w="1134" w:type="dxa"/>
            <w:gridSpan w:val="2"/>
            <w:noWrap/>
            <w:vAlign w:val="center"/>
          </w:tcPr>
          <w:p>
            <w:pPr>
              <w:spacing w:line="30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szCs w:val="21"/>
              </w:rPr>
              <w:t>水电设施设备维修技术人员</w:t>
            </w: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851"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1672" w:type="dxa"/>
            <w:noWrap/>
            <w:vAlign w:val="center"/>
          </w:tcPr>
          <w:p>
            <w:pPr>
              <w:spacing w:after="48" w:afterLines="20" w:line="360" w:lineRule="exac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单人月平均成本×人数×12个月</w:t>
            </w:r>
          </w:p>
        </w:tc>
        <w:tc>
          <w:tcPr>
            <w:tcW w:w="1730" w:type="dxa"/>
            <w:noWrap/>
          </w:tcPr>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不得少于最低配员要求</w:t>
            </w:r>
            <w:r>
              <w:rPr>
                <w:rFonts w:hint="eastAsia" w:asciiTheme="minorEastAsia" w:hAnsiTheme="minorEastAsia" w:eastAsiaTheme="minorEastAsia" w:cstheme="minorEastAsia"/>
                <w:kern w:val="0"/>
                <w:szCs w:val="21"/>
                <w:u w:val="single"/>
                <w:lang w:val="en-US" w:eastAsia="zh-CN"/>
              </w:rPr>
              <w:t>1</w:t>
            </w:r>
            <w:r>
              <w:rPr>
                <w:rFonts w:hint="eastAsia" w:asciiTheme="minorEastAsia" w:hAnsiTheme="minorEastAsia" w:eastAsiaTheme="minorEastAsia" w:cstheme="minorEastAsia"/>
                <w:kern w:val="0"/>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3" w:hRule="atLeast"/>
        </w:trPr>
        <w:tc>
          <w:tcPr>
            <w:tcW w:w="421" w:type="dxa"/>
            <w:vMerge w:val="continue"/>
            <w:noWrap/>
            <w:vAlign w:val="center"/>
          </w:tcPr>
          <w:p>
            <w:pPr>
              <w:spacing w:after="48" w:afterLines="20" w:line="360" w:lineRule="exact"/>
              <w:jc w:val="center"/>
              <w:rPr>
                <w:rFonts w:hint="eastAsia" w:asciiTheme="minorEastAsia" w:hAnsiTheme="minorEastAsia" w:eastAsiaTheme="minorEastAsia" w:cstheme="minorEastAsia"/>
                <w:kern w:val="0"/>
                <w:szCs w:val="21"/>
              </w:rPr>
            </w:pPr>
          </w:p>
        </w:tc>
        <w:tc>
          <w:tcPr>
            <w:tcW w:w="1134" w:type="dxa"/>
            <w:gridSpan w:val="2"/>
            <w:noWrap/>
            <w:vAlign w:val="center"/>
          </w:tcPr>
          <w:p>
            <w:pPr>
              <w:spacing w:line="300" w:lineRule="exact"/>
              <w:jc w:val="center"/>
              <w:rPr>
                <w:rFonts w:hint="eastAsia" w:asciiTheme="minorEastAsia" w:hAnsiTheme="minorEastAsia" w:eastAsiaTheme="minorEastAsia" w:cstheme="minorEastAsia"/>
                <w:bCs/>
                <w:szCs w:val="21"/>
                <w:highlight w:val="none"/>
                <w:lang w:eastAsia="zh-CN"/>
              </w:rPr>
            </w:pPr>
            <w:r>
              <w:rPr>
                <w:rFonts w:hint="eastAsia" w:asciiTheme="minorEastAsia" w:hAnsiTheme="minorEastAsia" w:eastAsiaTheme="minorEastAsia" w:cstheme="minorEastAsia"/>
                <w:bCs/>
                <w:szCs w:val="21"/>
                <w:highlight w:val="none"/>
                <w:lang w:eastAsia="zh-CN"/>
              </w:rPr>
              <w:t>街区管家巡查专员</w:t>
            </w: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highlight w:val="none"/>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highlight w:val="none"/>
              </w:rPr>
            </w:pP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highlight w:val="none"/>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highlight w:val="none"/>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highlight w:val="none"/>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highlight w:val="none"/>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highlight w:val="none"/>
              </w:rPr>
            </w:pPr>
          </w:p>
        </w:tc>
        <w:tc>
          <w:tcPr>
            <w:tcW w:w="851" w:type="dxa"/>
            <w:noWrap/>
            <w:vAlign w:val="center"/>
          </w:tcPr>
          <w:p>
            <w:pPr>
              <w:spacing w:after="48" w:afterLines="20" w:line="360" w:lineRule="exact"/>
              <w:rPr>
                <w:rFonts w:hint="eastAsia" w:asciiTheme="minorEastAsia" w:hAnsiTheme="minorEastAsia" w:eastAsiaTheme="minorEastAsia" w:cstheme="minorEastAsia"/>
                <w:kern w:val="0"/>
                <w:szCs w:val="21"/>
                <w:highlight w:val="none"/>
              </w:rPr>
            </w:pPr>
          </w:p>
        </w:tc>
        <w:tc>
          <w:tcPr>
            <w:tcW w:w="1672" w:type="dxa"/>
            <w:noWrap/>
            <w:vAlign w:val="center"/>
          </w:tcPr>
          <w:p>
            <w:pPr>
              <w:spacing w:after="48" w:afterLines="20" w:line="360" w:lineRule="exact"/>
              <w:rPr>
                <w:rFonts w:hint="eastAsia" w:asciiTheme="minorEastAsia" w:hAnsiTheme="minorEastAsia" w:eastAsiaTheme="minorEastAsia" w:cstheme="minorEastAsia"/>
                <w:bCs/>
                <w:kern w:val="0"/>
                <w:sz w:val="21"/>
                <w:szCs w:val="21"/>
                <w:highlight w:val="none"/>
                <w:lang w:val="en-US" w:eastAsia="zh-CN" w:bidi="ar-SA"/>
              </w:rPr>
            </w:pPr>
            <w:r>
              <w:rPr>
                <w:rFonts w:hint="eastAsia" w:asciiTheme="minorEastAsia" w:hAnsiTheme="minorEastAsia" w:eastAsiaTheme="minorEastAsia" w:cstheme="minorEastAsia"/>
                <w:bCs/>
                <w:kern w:val="0"/>
                <w:szCs w:val="21"/>
                <w:highlight w:val="none"/>
              </w:rPr>
              <w:t>单人月平均成本×人数×12个月</w:t>
            </w:r>
          </w:p>
        </w:tc>
        <w:tc>
          <w:tcPr>
            <w:tcW w:w="1730" w:type="dxa"/>
            <w:noWrap/>
            <w:vAlign w:val="top"/>
          </w:tcPr>
          <w:p>
            <w:pPr>
              <w:spacing w:after="48" w:afterLines="20" w:line="360" w:lineRule="exact"/>
              <w:rPr>
                <w:rFonts w:hint="eastAsia" w:asciiTheme="minorEastAsia" w:hAnsiTheme="minorEastAsia" w:eastAsiaTheme="minorEastAsia" w:cstheme="minorEastAsia"/>
                <w:kern w:val="0"/>
                <w:sz w:val="21"/>
                <w:szCs w:val="21"/>
                <w:highlight w:val="none"/>
                <w:lang w:val="en-US" w:eastAsia="zh-CN" w:bidi="ar-SA"/>
              </w:rPr>
            </w:pPr>
            <w:r>
              <w:rPr>
                <w:rFonts w:hint="eastAsia" w:asciiTheme="minorEastAsia" w:hAnsiTheme="minorEastAsia" w:eastAsiaTheme="minorEastAsia" w:cstheme="minorEastAsia"/>
                <w:kern w:val="0"/>
                <w:szCs w:val="21"/>
                <w:highlight w:val="none"/>
              </w:rPr>
              <w:t>不得少于最低配员要求</w:t>
            </w:r>
            <w:r>
              <w:rPr>
                <w:rFonts w:hint="eastAsia" w:asciiTheme="minorEastAsia" w:hAnsiTheme="minorEastAsia" w:eastAsiaTheme="minorEastAsia" w:cstheme="minorEastAsia"/>
                <w:kern w:val="0"/>
                <w:szCs w:val="21"/>
                <w:highlight w:val="none"/>
                <w:u w:val="single"/>
                <w:lang w:val="en-US" w:eastAsia="zh-CN"/>
              </w:rPr>
              <w:t>2</w:t>
            </w:r>
            <w:r>
              <w:rPr>
                <w:rFonts w:hint="eastAsia" w:asciiTheme="minorEastAsia" w:hAnsiTheme="minorEastAsia" w:eastAsiaTheme="minorEastAsia" w:cstheme="minorEastAsia"/>
                <w:kern w:val="0"/>
                <w:szCs w:val="21"/>
                <w:highlight w:val="none"/>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3" w:hRule="atLeast"/>
        </w:trPr>
        <w:tc>
          <w:tcPr>
            <w:tcW w:w="421" w:type="dxa"/>
            <w:vMerge w:val="restart"/>
            <w:noWrap/>
            <w:vAlign w:val="center"/>
          </w:tcPr>
          <w:p>
            <w:pPr>
              <w:spacing w:after="48" w:afterLines="20" w:line="360" w:lineRule="exact"/>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color w:val="auto"/>
                <w:sz w:val="21"/>
                <w:szCs w:val="21"/>
                <w:highlight w:val="none"/>
                <w:lang w:eastAsia="zh-CN"/>
              </w:rPr>
              <w:t>环卫一体化</w:t>
            </w:r>
            <w:r>
              <w:rPr>
                <w:rFonts w:hint="eastAsia" w:asciiTheme="minorEastAsia" w:hAnsiTheme="minorEastAsia" w:eastAsiaTheme="minorEastAsia" w:cstheme="minorEastAsia"/>
                <w:bCs/>
                <w:color w:val="auto"/>
                <w:sz w:val="21"/>
                <w:szCs w:val="21"/>
                <w:highlight w:val="none"/>
              </w:rPr>
              <w:t>一线作业人员</w:t>
            </w:r>
          </w:p>
        </w:tc>
        <w:tc>
          <w:tcPr>
            <w:tcW w:w="1134" w:type="dxa"/>
            <w:gridSpan w:val="2"/>
            <w:noWrap/>
            <w:vAlign w:val="center"/>
          </w:tcPr>
          <w:p>
            <w:pPr>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color w:val="000000" w:themeColor="text1"/>
                <w:szCs w:val="21"/>
                <w14:textFill>
                  <w14:solidFill>
                    <w14:schemeClr w14:val="tx1"/>
                  </w14:solidFill>
                </w14:textFill>
              </w:rPr>
              <w:t>司机</w:t>
            </w: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851"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1672" w:type="dxa"/>
            <w:noWrap/>
            <w:vAlign w:val="center"/>
          </w:tcPr>
          <w:p>
            <w:pPr>
              <w:spacing w:after="48" w:afterLines="20" w:line="360" w:lineRule="exac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单人月平均成本×人数×12个月</w:t>
            </w:r>
          </w:p>
        </w:tc>
        <w:tc>
          <w:tcPr>
            <w:tcW w:w="1730" w:type="dxa"/>
            <w:noWrap/>
          </w:tcPr>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不得少于最低配员要求</w:t>
            </w:r>
            <w:r>
              <w:rPr>
                <w:rFonts w:hint="eastAsia" w:asciiTheme="minorEastAsia" w:hAnsiTheme="minorEastAsia" w:eastAsiaTheme="minorEastAsia" w:cstheme="minorEastAsia"/>
                <w:kern w:val="0"/>
                <w:szCs w:val="21"/>
                <w:u w:val="single"/>
                <w:lang w:val="en-US" w:eastAsia="zh-CN"/>
              </w:rPr>
              <w:t>17</w:t>
            </w:r>
            <w:r>
              <w:rPr>
                <w:rFonts w:hint="eastAsia" w:asciiTheme="minorEastAsia" w:hAnsiTheme="minorEastAsia" w:eastAsiaTheme="minorEastAsia" w:cstheme="minorEastAsia"/>
                <w:kern w:val="0"/>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3" w:hRule="atLeast"/>
        </w:trPr>
        <w:tc>
          <w:tcPr>
            <w:tcW w:w="421" w:type="dxa"/>
            <w:vMerge w:val="continue"/>
            <w:noWrap/>
            <w:vAlign w:val="center"/>
          </w:tcPr>
          <w:p>
            <w:pPr>
              <w:spacing w:after="48" w:afterLines="20" w:line="360" w:lineRule="exact"/>
              <w:jc w:val="center"/>
              <w:rPr>
                <w:rFonts w:hint="eastAsia" w:asciiTheme="minorEastAsia" w:hAnsiTheme="minorEastAsia" w:eastAsiaTheme="minorEastAsia" w:cstheme="minorEastAsia"/>
                <w:kern w:val="0"/>
                <w:szCs w:val="21"/>
              </w:rPr>
            </w:pPr>
          </w:p>
        </w:tc>
        <w:tc>
          <w:tcPr>
            <w:tcW w:w="1134" w:type="dxa"/>
            <w:gridSpan w:val="2"/>
            <w:noWrap/>
            <w:vAlign w:val="center"/>
          </w:tcPr>
          <w:p>
            <w:pPr>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color w:val="000000" w:themeColor="text1"/>
                <w:szCs w:val="21"/>
                <w14:textFill>
                  <w14:solidFill>
                    <w14:schemeClr w14:val="tx1"/>
                  </w14:solidFill>
                </w14:textFill>
              </w:rPr>
              <w:t>跟车辅工</w:t>
            </w: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851"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1672" w:type="dxa"/>
            <w:noWrap/>
            <w:vAlign w:val="center"/>
          </w:tcPr>
          <w:p>
            <w:pPr>
              <w:spacing w:after="48" w:afterLines="20" w:line="360" w:lineRule="exac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单人月平均成本×人数×12个月</w:t>
            </w:r>
          </w:p>
        </w:tc>
        <w:tc>
          <w:tcPr>
            <w:tcW w:w="1730" w:type="dxa"/>
            <w:noWrap/>
          </w:tcPr>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不得少于最低配员要求</w:t>
            </w:r>
            <w:r>
              <w:rPr>
                <w:rFonts w:hint="eastAsia" w:asciiTheme="minorEastAsia" w:hAnsiTheme="minorEastAsia" w:eastAsiaTheme="minorEastAsia" w:cstheme="minorEastAsia"/>
                <w:kern w:val="0"/>
                <w:szCs w:val="21"/>
                <w:u w:val="single"/>
                <w:lang w:val="en-US" w:eastAsia="zh-CN"/>
              </w:rPr>
              <w:t>8</w:t>
            </w:r>
            <w:r>
              <w:rPr>
                <w:rFonts w:hint="eastAsia" w:asciiTheme="minorEastAsia" w:hAnsiTheme="minorEastAsia" w:eastAsiaTheme="minorEastAsia" w:cstheme="minorEastAsia"/>
                <w:kern w:val="0"/>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3" w:hRule="atLeast"/>
        </w:trPr>
        <w:tc>
          <w:tcPr>
            <w:tcW w:w="421" w:type="dxa"/>
            <w:vMerge w:val="continue"/>
            <w:noWrap/>
            <w:vAlign w:val="center"/>
          </w:tcPr>
          <w:p>
            <w:pPr>
              <w:spacing w:after="48" w:afterLines="20" w:line="360" w:lineRule="exact"/>
              <w:jc w:val="center"/>
              <w:rPr>
                <w:rFonts w:hint="eastAsia" w:asciiTheme="minorEastAsia" w:hAnsiTheme="minorEastAsia" w:eastAsiaTheme="minorEastAsia" w:cstheme="minorEastAsia"/>
                <w:kern w:val="0"/>
                <w:szCs w:val="21"/>
              </w:rPr>
            </w:pPr>
          </w:p>
        </w:tc>
        <w:tc>
          <w:tcPr>
            <w:tcW w:w="1134" w:type="dxa"/>
            <w:gridSpan w:val="2"/>
            <w:noWrap/>
            <w:vAlign w:val="center"/>
          </w:tcPr>
          <w:p>
            <w:pPr>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color w:val="000000" w:themeColor="text1"/>
                <w:szCs w:val="21"/>
                <w14:textFill>
                  <w14:solidFill>
                    <w14:schemeClr w14:val="tx1"/>
                  </w14:solidFill>
                </w14:textFill>
              </w:rPr>
              <w:t>清扫保洁人员</w:t>
            </w: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851"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1672" w:type="dxa"/>
            <w:noWrap/>
            <w:vAlign w:val="center"/>
          </w:tcPr>
          <w:p>
            <w:pPr>
              <w:spacing w:after="48" w:afterLines="20" w:line="360" w:lineRule="exac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单人月平均成本×人数×12个月</w:t>
            </w:r>
          </w:p>
        </w:tc>
        <w:tc>
          <w:tcPr>
            <w:tcW w:w="1730" w:type="dxa"/>
            <w:noWrap/>
          </w:tcPr>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不得少于最低配员要求</w:t>
            </w:r>
            <w:r>
              <w:rPr>
                <w:rFonts w:hint="eastAsia" w:asciiTheme="minorEastAsia" w:hAnsiTheme="minorEastAsia" w:eastAsiaTheme="minorEastAsia" w:cstheme="minorEastAsia"/>
                <w:kern w:val="0"/>
                <w:szCs w:val="21"/>
                <w:u w:val="single"/>
                <w:lang w:val="en-US" w:eastAsia="zh-CN"/>
              </w:rPr>
              <w:t>110</w:t>
            </w:r>
            <w:r>
              <w:rPr>
                <w:rFonts w:hint="eastAsia" w:asciiTheme="minorEastAsia" w:hAnsiTheme="minorEastAsia" w:eastAsiaTheme="minorEastAsia" w:cstheme="minorEastAsia"/>
                <w:kern w:val="0"/>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74" w:hRule="atLeast"/>
        </w:trPr>
        <w:tc>
          <w:tcPr>
            <w:tcW w:w="421" w:type="dxa"/>
            <w:vMerge w:val="continue"/>
            <w:noWrap/>
            <w:vAlign w:val="center"/>
          </w:tcPr>
          <w:p>
            <w:pPr>
              <w:spacing w:after="48" w:afterLines="20" w:line="360" w:lineRule="exact"/>
              <w:jc w:val="center"/>
              <w:rPr>
                <w:rFonts w:hint="eastAsia" w:asciiTheme="minorEastAsia" w:hAnsiTheme="minorEastAsia" w:eastAsiaTheme="minorEastAsia" w:cstheme="minorEastAsia"/>
                <w:kern w:val="0"/>
                <w:szCs w:val="21"/>
              </w:rPr>
            </w:pPr>
          </w:p>
        </w:tc>
        <w:tc>
          <w:tcPr>
            <w:tcW w:w="1134" w:type="dxa"/>
            <w:gridSpan w:val="2"/>
            <w:noWrap/>
            <w:vAlign w:val="center"/>
          </w:tcPr>
          <w:p>
            <w:pPr>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color w:val="000000" w:themeColor="text1"/>
                <w:szCs w:val="21"/>
                <w14:textFill>
                  <w14:solidFill>
                    <w14:schemeClr w14:val="tx1"/>
                  </w14:solidFill>
                </w14:textFill>
              </w:rPr>
              <w:t>垃圾站、公厕</w:t>
            </w:r>
            <w:r>
              <w:rPr>
                <w:rFonts w:hint="eastAsia" w:asciiTheme="minorEastAsia" w:hAnsiTheme="minorEastAsia" w:eastAsiaTheme="minorEastAsia" w:cstheme="minorEastAsia"/>
                <w:bCs/>
                <w:color w:val="000000" w:themeColor="text1"/>
                <w:szCs w:val="21"/>
                <w:lang w:eastAsia="zh-CN"/>
                <w14:textFill>
                  <w14:solidFill>
                    <w14:schemeClr w14:val="tx1"/>
                  </w14:solidFill>
                </w14:textFill>
              </w:rPr>
              <w:t>、</w:t>
            </w:r>
            <w:r>
              <w:rPr>
                <w:rFonts w:hint="eastAsia" w:asciiTheme="minorEastAsia" w:hAnsiTheme="minorEastAsia" w:eastAsiaTheme="minorEastAsia" w:cstheme="minorEastAsia"/>
                <w:bCs/>
                <w:color w:val="000000" w:themeColor="text1"/>
                <w:szCs w:val="21"/>
                <w:highlight w:val="none"/>
                <w:lang w:val="en-US" w:eastAsia="zh-CN"/>
                <w14:textFill>
                  <w14:solidFill>
                    <w14:schemeClr w14:val="tx1"/>
                  </w14:solidFill>
                </w14:textFill>
              </w:rPr>
              <w:t>中水点</w:t>
            </w:r>
            <w:r>
              <w:rPr>
                <w:rFonts w:hint="eastAsia" w:asciiTheme="minorEastAsia" w:hAnsiTheme="minorEastAsia" w:eastAsiaTheme="minorEastAsia" w:cstheme="minorEastAsia"/>
                <w:bCs/>
                <w:color w:val="000000" w:themeColor="text1"/>
                <w:szCs w:val="21"/>
                <w14:textFill>
                  <w14:solidFill>
                    <w14:schemeClr w14:val="tx1"/>
                  </w14:solidFill>
                </w14:textFill>
              </w:rPr>
              <w:t>管理人员</w:t>
            </w: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851" w:type="dxa"/>
            <w:noWrap/>
            <w:vAlign w:val="center"/>
          </w:tcPr>
          <w:p>
            <w:pPr>
              <w:spacing w:after="48" w:afterLines="20" w:line="360" w:lineRule="exact"/>
              <w:rPr>
                <w:rFonts w:hint="eastAsia" w:asciiTheme="minorEastAsia" w:hAnsiTheme="minorEastAsia" w:eastAsiaTheme="minorEastAsia" w:cstheme="minorEastAsia"/>
                <w:kern w:val="0"/>
                <w:szCs w:val="21"/>
              </w:rPr>
            </w:pPr>
          </w:p>
        </w:tc>
        <w:tc>
          <w:tcPr>
            <w:tcW w:w="1672" w:type="dxa"/>
            <w:noWrap/>
            <w:vAlign w:val="center"/>
          </w:tcPr>
          <w:p>
            <w:pPr>
              <w:spacing w:after="48" w:afterLines="20" w:line="360" w:lineRule="exac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单人月平均成本×人数×12个月</w:t>
            </w:r>
          </w:p>
        </w:tc>
        <w:tc>
          <w:tcPr>
            <w:tcW w:w="1730" w:type="dxa"/>
            <w:noWrap/>
          </w:tcPr>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不得少于最低配员要求</w:t>
            </w:r>
            <w:r>
              <w:rPr>
                <w:rFonts w:hint="eastAsia" w:asciiTheme="minorEastAsia" w:hAnsiTheme="minorEastAsia" w:eastAsiaTheme="minorEastAsia" w:cstheme="minorEastAsia"/>
                <w:kern w:val="0"/>
                <w:szCs w:val="21"/>
                <w:u w:val="single"/>
                <w:lang w:val="en-US" w:eastAsia="zh-CN"/>
              </w:rPr>
              <w:t>23</w:t>
            </w:r>
            <w:r>
              <w:rPr>
                <w:rFonts w:hint="eastAsia" w:asciiTheme="minorEastAsia" w:hAnsiTheme="minorEastAsia" w:eastAsiaTheme="minorEastAsia" w:cstheme="minorEastAsia"/>
                <w:kern w:val="0"/>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1" w:hRule="atLeast"/>
        </w:trPr>
        <w:tc>
          <w:tcPr>
            <w:tcW w:w="421" w:type="dxa"/>
            <w:vMerge w:val="continue"/>
            <w:noWrap/>
            <w:vAlign w:val="center"/>
          </w:tcPr>
          <w:p>
            <w:pPr>
              <w:spacing w:after="48" w:afterLines="20" w:line="360" w:lineRule="exact"/>
              <w:jc w:val="center"/>
              <w:rPr>
                <w:rFonts w:hint="eastAsia" w:asciiTheme="minorEastAsia" w:hAnsiTheme="minorEastAsia" w:eastAsiaTheme="minorEastAsia" w:cstheme="minorEastAsia"/>
                <w:kern w:val="0"/>
                <w:szCs w:val="21"/>
              </w:rPr>
            </w:pPr>
          </w:p>
        </w:tc>
        <w:tc>
          <w:tcPr>
            <w:tcW w:w="1134" w:type="dxa"/>
            <w:gridSpan w:val="2"/>
            <w:noWrap/>
            <w:vAlign w:val="center"/>
          </w:tcPr>
          <w:p>
            <w:pPr>
              <w:jc w:val="center"/>
              <w:rPr>
                <w:rFonts w:hint="eastAsia" w:asciiTheme="minorEastAsia" w:hAnsiTheme="minorEastAsia" w:eastAsiaTheme="minorEastAsia" w:cs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1"/>
                <w:szCs w:val="21"/>
                <w:highlight w:val="none"/>
                <w:lang w:eastAsia="zh-CN"/>
                <w14:textFill>
                  <w14:solidFill>
                    <w14:schemeClr w14:val="tx1"/>
                  </w14:solidFill>
                </w14:textFill>
              </w:rPr>
              <w:t>非机动车协助管理员</w:t>
            </w: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highlight w:val="none"/>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highlight w:val="none"/>
              </w:rPr>
            </w:pPr>
          </w:p>
        </w:tc>
        <w:tc>
          <w:tcPr>
            <w:tcW w:w="538" w:type="dxa"/>
            <w:noWrap/>
            <w:vAlign w:val="center"/>
          </w:tcPr>
          <w:p>
            <w:pPr>
              <w:spacing w:after="48" w:afterLines="20" w:line="360" w:lineRule="exact"/>
              <w:rPr>
                <w:rFonts w:hint="eastAsia" w:asciiTheme="minorEastAsia" w:hAnsiTheme="minorEastAsia" w:eastAsiaTheme="minorEastAsia" w:cstheme="minorEastAsia"/>
                <w:kern w:val="0"/>
                <w:szCs w:val="21"/>
                <w:highlight w:val="none"/>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highlight w:val="none"/>
              </w:rPr>
            </w:pPr>
          </w:p>
        </w:tc>
        <w:tc>
          <w:tcPr>
            <w:tcW w:w="539" w:type="dxa"/>
            <w:noWrap/>
            <w:vAlign w:val="center"/>
          </w:tcPr>
          <w:p>
            <w:pPr>
              <w:spacing w:after="48" w:afterLines="20" w:line="360" w:lineRule="exact"/>
              <w:rPr>
                <w:rFonts w:hint="eastAsia" w:asciiTheme="minorEastAsia" w:hAnsiTheme="minorEastAsia" w:eastAsiaTheme="minorEastAsia" w:cstheme="minorEastAsia"/>
                <w:kern w:val="0"/>
                <w:szCs w:val="21"/>
                <w:highlight w:val="none"/>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highlight w:val="none"/>
              </w:rPr>
            </w:pPr>
          </w:p>
        </w:tc>
        <w:tc>
          <w:tcPr>
            <w:tcW w:w="992" w:type="dxa"/>
            <w:noWrap/>
            <w:vAlign w:val="center"/>
          </w:tcPr>
          <w:p>
            <w:pPr>
              <w:spacing w:after="48" w:afterLines="20" w:line="360" w:lineRule="exact"/>
              <w:rPr>
                <w:rFonts w:hint="eastAsia" w:asciiTheme="minorEastAsia" w:hAnsiTheme="minorEastAsia" w:eastAsiaTheme="minorEastAsia" w:cstheme="minorEastAsia"/>
                <w:kern w:val="0"/>
                <w:szCs w:val="21"/>
                <w:highlight w:val="none"/>
              </w:rPr>
            </w:pPr>
          </w:p>
        </w:tc>
        <w:tc>
          <w:tcPr>
            <w:tcW w:w="851" w:type="dxa"/>
            <w:noWrap/>
            <w:vAlign w:val="center"/>
          </w:tcPr>
          <w:p>
            <w:pPr>
              <w:spacing w:after="48" w:afterLines="20" w:line="360" w:lineRule="exact"/>
              <w:rPr>
                <w:rFonts w:hint="eastAsia" w:asciiTheme="minorEastAsia" w:hAnsiTheme="minorEastAsia" w:eastAsiaTheme="minorEastAsia" w:cstheme="minorEastAsia"/>
                <w:kern w:val="0"/>
                <w:szCs w:val="21"/>
                <w:highlight w:val="none"/>
              </w:rPr>
            </w:pPr>
          </w:p>
        </w:tc>
        <w:tc>
          <w:tcPr>
            <w:tcW w:w="1672" w:type="dxa"/>
            <w:noWrap/>
            <w:vAlign w:val="center"/>
          </w:tcPr>
          <w:p>
            <w:pPr>
              <w:spacing w:after="48" w:afterLines="20" w:line="360" w:lineRule="exact"/>
              <w:rPr>
                <w:rFonts w:hint="eastAsia" w:asciiTheme="minorEastAsia" w:hAnsiTheme="minorEastAsia" w:eastAsiaTheme="minorEastAsia" w:cstheme="minorEastAsia"/>
                <w:bCs/>
                <w:kern w:val="0"/>
                <w:szCs w:val="21"/>
                <w:highlight w:val="none"/>
              </w:rPr>
            </w:pPr>
            <w:r>
              <w:rPr>
                <w:rFonts w:hint="eastAsia" w:asciiTheme="minorEastAsia" w:hAnsiTheme="minorEastAsia" w:eastAsiaTheme="minorEastAsia" w:cstheme="minorEastAsia"/>
                <w:bCs/>
                <w:kern w:val="0"/>
                <w:szCs w:val="21"/>
                <w:highlight w:val="none"/>
              </w:rPr>
              <w:t>单人月平均成本×人数×12个月</w:t>
            </w:r>
          </w:p>
        </w:tc>
        <w:tc>
          <w:tcPr>
            <w:tcW w:w="1730" w:type="dxa"/>
            <w:noWrap/>
            <w:vAlign w:val="top"/>
          </w:tcPr>
          <w:p>
            <w:pPr>
              <w:spacing w:after="48" w:afterLines="20" w:line="360" w:lineRule="exac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不得少于最低配员要求</w:t>
            </w:r>
            <w:r>
              <w:rPr>
                <w:rFonts w:hint="eastAsia" w:asciiTheme="minorEastAsia" w:hAnsiTheme="minorEastAsia" w:eastAsiaTheme="minorEastAsia" w:cstheme="minorEastAsia"/>
                <w:kern w:val="0"/>
                <w:szCs w:val="21"/>
                <w:highlight w:val="none"/>
                <w:u w:val="single"/>
                <w:lang w:val="en-US" w:eastAsia="zh-CN"/>
              </w:rPr>
              <w:t>6</w:t>
            </w:r>
            <w:r>
              <w:rPr>
                <w:rFonts w:hint="eastAsia" w:asciiTheme="minorEastAsia" w:hAnsiTheme="minorEastAsia" w:eastAsiaTheme="minorEastAsia" w:cstheme="minorEastAsia"/>
                <w:kern w:val="0"/>
                <w:szCs w:val="21"/>
                <w:highlight w:val="none"/>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34" w:hRule="atLeast"/>
        </w:trPr>
        <w:tc>
          <w:tcPr>
            <w:tcW w:w="10485" w:type="dxa"/>
            <w:gridSpan w:val="13"/>
            <w:noWrap/>
          </w:tcPr>
          <w:p>
            <w:pPr>
              <w:spacing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注：</w:t>
            </w:r>
          </w:p>
          <w:p>
            <w:pPr>
              <w:tabs>
                <w:tab w:val="left" w:pos="312"/>
              </w:tabs>
              <w:spacing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w:t>
            </w:r>
            <w:r>
              <w:rPr>
                <w:rFonts w:hint="eastAsia" w:asciiTheme="minorEastAsia" w:hAnsiTheme="minorEastAsia" w:eastAsiaTheme="minorEastAsia" w:cstheme="minorEastAsia"/>
                <w:b/>
                <w:bCs/>
                <w:kern w:val="0"/>
                <w:szCs w:val="21"/>
              </w:rPr>
              <w:t>一线作业人员基础工资</w:t>
            </w:r>
            <w:r>
              <w:rPr>
                <w:rFonts w:hint="eastAsia" w:asciiTheme="minorEastAsia" w:hAnsiTheme="minorEastAsia" w:eastAsiaTheme="minorEastAsia" w:cstheme="minorEastAsia"/>
                <w:kern w:val="0"/>
                <w:szCs w:val="21"/>
              </w:rPr>
              <w:t>不得低于深圳最低工资标准的110%（正常工作时间为21.75天/月）。</w:t>
            </w:r>
          </w:p>
          <w:p>
            <w:pPr>
              <w:tabs>
                <w:tab w:val="left" w:pos="312"/>
              </w:tabs>
              <w:spacing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w:t>
            </w:r>
            <w:r>
              <w:rPr>
                <w:rFonts w:hint="eastAsia" w:asciiTheme="minorEastAsia" w:hAnsiTheme="minorEastAsia" w:eastAsiaTheme="minorEastAsia" w:cstheme="minorEastAsia"/>
                <w:b/>
                <w:bCs/>
                <w:kern w:val="0"/>
                <w:szCs w:val="21"/>
              </w:rPr>
              <w:t>加班工资</w:t>
            </w:r>
            <w:r>
              <w:rPr>
                <w:rFonts w:hint="eastAsia" w:asciiTheme="minorEastAsia" w:hAnsiTheme="minorEastAsia" w:eastAsiaTheme="minorEastAsia" w:cstheme="minorEastAsia"/>
                <w:kern w:val="0"/>
                <w:szCs w:val="21"/>
              </w:rPr>
              <w:t>按《关于进一步改善环卫工人待遇实施细则》（深府办〔2017〕4号）执行。</w:t>
            </w:r>
          </w:p>
          <w:p>
            <w:pPr>
              <w:tabs>
                <w:tab w:val="left" w:pos="312"/>
              </w:tabs>
              <w:spacing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w:t>
            </w:r>
            <w:r>
              <w:rPr>
                <w:rFonts w:hint="eastAsia" w:asciiTheme="minorEastAsia" w:hAnsiTheme="minorEastAsia" w:eastAsiaTheme="minorEastAsia" w:cstheme="minorEastAsia"/>
                <w:b/>
                <w:bCs/>
                <w:kern w:val="0"/>
                <w:szCs w:val="21"/>
              </w:rPr>
              <w:t>津贴补助</w:t>
            </w:r>
            <w:r>
              <w:rPr>
                <w:rFonts w:hint="eastAsia" w:asciiTheme="minorEastAsia" w:hAnsiTheme="minorEastAsia" w:eastAsiaTheme="minorEastAsia" w:cstheme="minorEastAsia"/>
                <w:kern w:val="0"/>
                <w:szCs w:val="21"/>
              </w:rPr>
              <w:t>分为高温津贴和环卫岗位津贴，高温津贴为室外作业人员6-10月高温期按300元/（人·月）标准发放，岗位津贴按《关于进一步改善环卫工人待遇实施细则》（深府办〔2017〕4号）执行，一类岗位（如</w:t>
            </w:r>
            <w:r>
              <w:rPr>
                <w:rFonts w:hint="eastAsia" w:asciiTheme="minorEastAsia" w:hAnsiTheme="minorEastAsia" w:eastAsiaTheme="minorEastAsia" w:cstheme="minorEastAsia"/>
                <w:kern w:val="0"/>
                <w:szCs w:val="21"/>
                <w:lang w:eastAsia="zh-CN"/>
              </w:rPr>
              <w:t>清扫保洁人员</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Cs w:val="21"/>
                <w:lang w:eastAsia="zh-CN"/>
              </w:rPr>
              <w:t>垃圾站管理员、公厕管理员、垃圾运输车司机、</w:t>
            </w:r>
            <w:r>
              <w:rPr>
                <w:rFonts w:hint="eastAsia" w:asciiTheme="minorEastAsia" w:hAnsiTheme="minorEastAsia" w:eastAsiaTheme="minorEastAsia" w:cstheme="minorEastAsia"/>
                <w:kern w:val="0"/>
                <w:szCs w:val="21"/>
              </w:rPr>
              <w:t>跟车辅工）不低于18元/天·人、二类岗位（如</w:t>
            </w:r>
            <w:r>
              <w:rPr>
                <w:rFonts w:hint="eastAsia" w:asciiTheme="minorEastAsia" w:hAnsiTheme="minorEastAsia" w:eastAsiaTheme="minorEastAsia" w:cstheme="minorEastAsia"/>
                <w:kern w:val="0"/>
                <w:szCs w:val="21"/>
                <w:lang w:eastAsia="zh-CN"/>
              </w:rPr>
              <w:t>机扫车司机、洒水车</w:t>
            </w:r>
            <w:r>
              <w:rPr>
                <w:rFonts w:hint="eastAsia" w:asciiTheme="minorEastAsia" w:hAnsiTheme="minorEastAsia" w:eastAsiaTheme="minorEastAsia" w:cstheme="minorEastAsia"/>
                <w:kern w:val="0"/>
                <w:szCs w:val="21"/>
              </w:rPr>
              <w:t>司机）不低于15元/天·人</w:t>
            </w:r>
            <w:r>
              <w:rPr>
                <w:rFonts w:hint="eastAsia" w:asciiTheme="minorEastAsia" w:hAnsiTheme="minorEastAsia" w:eastAsiaTheme="minorEastAsia" w:cstheme="minorEastAsia"/>
                <w:kern w:val="0"/>
                <w:szCs w:val="21"/>
                <w:lang w:eastAsia="zh-CN"/>
              </w:rPr>
              <w:t>、三</w:t>
            </w:r>
            <w:r>
              <w:rPr>
                <w:rFonts w:hint="eastAsia" w:asciiTheme="minorEastAsia" w:hAnsiTheme="minorEastAsia" w:eastAsiaTheme="minorEastAsia" w:cstheme="minorEastAsia"/>
                <w:kern w:val="0"/>
                <w:szCs w:val="21"/>
              </w:rPr>
              <w:t>类岗位（如</w:t>
            </w:r>
            <w:r>
              <w:rPr>
                <w:rFonts w:hint="eastAsia" w:asciiTheme="minorEastAsia" w:hAnsiTheme="minorEastAsia" w:eastAsiaTheme="minorEastAsia" w:cstheme="minorEastAsia"/>
                <w:kern w:val="0"/>
                <w:szCs w:val="21"/>
                <w:lang w:eastAsia="zh-CN"/>
              </w:rPr>
              <w:t>中水点管理员、非机动车协助管理员</w:t>
            </w:r>
            <w:r>
              <w:rPr>
                <w:rFonts w:hint="eastAsia" w:asciiTheme="minorEastAsia" w:hAnsiTheme="minorEastAsia" w:eastAsiaTheme="minorEastAsia" w:cstheme="minorEastAsia"/>
                <w:kern w:val="0"/>
                <w:szCs w:val="21"/>
              </w:rPr>
              <w:t>）不低于1</w:t>
            </w:r>
            <w:r>
              <w:rPr>
                <w:rFonts w:hint="eastAsia" w:asciiTheme="minorEastAsia" w:hAnsiTheme="minorEastAsia" w:eastAsiaTheme="minorEastAsia" w:cstheme="minorEastAsia"/>
                <w:kern w:val="0"/>
                <w:szCs w:val="21"/>
                <w:lang w:val="en-US" w:eastAsia="zh-CN"/>
              </w:rPr>
              <w:t>3</w:t>
            </w:r>
            <w:r>
              <w:rPr>
                <w:rFonts w:hint="eastAsia" w:asciiTheme="minorEastAsia" w:hAnsiTheme="minorEastAsia" w:eastAsiaTheme="minorEastAsia" w:cstheme="minorEastAsia"/>
                <w:kern w:val="0"/>
                <w:szCs w:val="21"/>
              </w:rPr>
              <w:t>元/天·人。</w:t>
            </w:r>
          </w:p>
          <w:p>
            <w:pPr>
              <w:tabs>
                <w:tab w:val="left" w:pos="312"/>
              </w:tabs>
              <w:spacing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4.</w:t>
            </w:r>
            <w:r>
              <w:rPr>
                <w:rFonts w:hint="eastAsia" w:asciiTheme="minorEastAsia" w:hAnsiTheme="minorEastAsia" w:eastAsiaTheme="minorEastAsia" w:cstheme="minorEastAsia"/>
                <w:b/>
                <w:bCs/>
                <w:kern w:val="0"/>
                <w:szCs w:val="21"/>
              </w:rPr>
              <w:t>社保</w:t>
            </w:r>
            <w:r>
              <w:rPr>
                <w:rFonts w:hint="eastAsia" w:asciiTheme="minorEastAsia" w:hAnsiTheme="minorEastAsia" w:eastAsiaTheme="minorEastAsia" w:cstheme="minorEastAsia"/>
                <w:kern w:val="0"/>
                <w:szCs w:val="21"/>
              </w:rPr>
              <w:t>包括员工养老保险、医疗保险、失业保险、工伤保险和生育保险（包括企业和个人缴纳部分）。</w:t>
            </w:r>
          </w:p>
          <w:p>
            <w:pPr>
              <w:tabs>
                <w:tab w:val="left" w:pos="312"/>
              </w:tabs>
              <w:spacing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5.</w:t>
            </w:r>
            <w:r>
              <w:rPr>
                <w:rFonts w:hint="eastAsia" w:asciiTheme="minorEastAsia" w:hAnsiTheme="minorEastAsia" w:eastAsiaTheme="minorEastAsia" w:cstheme="minorEastAsia"/>
                <w:b/>
                <w:bCs/>
                <w:kern w:val="0"/>
                <w:szCs w:val="21"/>
              </w:rPr>
              <w:t>住房公积金</w:t>
            </w:r>
            <w:r>
              <w:rPr>
                <w:rFonts w:hint="eastAsia" w:asciiTheme="minorEastAsia" w:hAnsiTheme="minorEastAsia" w:eastAsiaTheme="minorEastAsia" w:cstheme="minorEastAsia"/>
                <w:kern w:val="0"/>
                <w:szCs w:val="21"/>
              </w:rPr>
              <w:t>应当按照深圳市相应标准予以缴纳（包括企业和个人缴纳部分）。</w:t>
            </w:r>
          </w:p>
          <w:p>
            <w:pPr>
              <w:tabs>
                <w:tab w:val="left" w:pos="312"/>
              </w:tabs>
              <w:spacing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6.</w:t>
            </w:r>
            <w:r>
              <w:rPr>
                <w:rFonts w:hint="eastAsia" w:asciiTheme="minorEastAsia" w:hAnsiTheme="minorEastAsia" w:eastAsiaTheme="minorEastAsia" w:cstheme="minorEastAsia"/>
                <w:b/>
                <w:bCs/>
                <w:kern w:val="0"/>
                <w:szCs w:val="21"/>
              </w:rPr>
              <w:t>单人月平均成本</w:t>
            </w:r>
            <w:r>
              <w:rPr>
                <w:rFonts w:hint="eastAsia" w:asciiTheme="minorEastAsia" w:hAnsiTheme="minorEastAsia" w:eastAsiaTheme="minorEastAsia" w:cstheme="minorEastAsia"/>
                <w:kern w:val="0"/>
                <w:szCs w:val="21"/>
              </w:rPr>
              <w:t>为人员基本工资、加班工资、津贴补助、过节费、社保及住房公积金（企业和个人缴纳之和）等所有与人员成本有关费用总和。</w:t>
            </w:r>
          </w:p>
          <w:p>
            <w:pPr>
              <w:spacing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7.</w:t>
            </w:r>
            <w:r>
              <w:rPr>
                <w:rFonts w:hint="eastAsia" w:asciiTheme="minorEastAsia" w:hAnsiTheme="minorEastAsia" w:eastAsiaTheme="minorEastAsia" w:cstheme="minorEastAsia"/>
                <w:szCs w:val="21"/>
              </w:rPr>
              <w:t>《人员、车辆等成本分项报价表》与《投标单价一览表》《投标总价一览表》涉及人员数量、机械车辆设备数量要相互对应，各自成本要完整体现，合计报价要保持一致。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02" w:hRule="atLeast"/>
        </w:trPr>
        <w:tc>
          <w:tcPr>
            <w:tcW w:w="7083" w:type="dxa"/>
            <w:gridSpan w:val="11"/>
            <w:noWrap/>
            <w:vAlign w:val="center"/>
          </w:tcPr>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
                <w:szCs w:val="21"/>
              </w:rPr>
              <w:t>人工成本小计：__________元</w:t>
            </w:r>
          </w:p>
        </w:tc>
        <w:tc>
          <w:tcPr>
            <w:tcW w:w="3402" w:type="dxa"/>
            <w:gridSpan w:val="2"/>
            <w:noWrap/>
            <w:vAlign w:val="center"/>
          </w:tcPr>
          <w:p>
            <w:pPr>
              <w:spacing w:after="48" w:afterLines="20" w:line="360" w:lineRule="exact"/>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b/>
                <w:szCs w:val="21"/>
              </w:rPr>
              <w:t>占年投标总价的（______%）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0" w:hRule="atLeast"/>
        </w:trPr>
        <w:tc>
          <w:tcPr>
            <w:tcW w:w="10485" w:type="dxa"/>
            <w:gridSpan w:val="13"/>
            <w:noWrap/>
            <w:vAlign w:val="center"/>
          </w:tcPr>
          <w:p>
            <w:pPr>
              <w:spacing w:after="48" w:afterLines="20" w:line="360" w:lineRule="exact"/>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lang w:val="en-US" w:eastAsia="zh-CN"/>
              </w:rPr>
              <w:t>二</w:t>
            </w:r>
            <w:r>
              <w:rPr>
                <w:rFonts w:hint="eastAsia" w:asciiTheme="minorEastAsia" w:hAnsiTheme="minorEastAsia" w:eastAsiaTheme="minorEastAsia" w:cstheme="minorEastAsia"/>
                <w:b/>
                <w:kern w:val="0"/>
                <w:szCs w:val="21"/>
              </w:rPr>
              <w:t>、</w:t>
            </w:r>
            <w:r>
              <w:rPr>
                <w:rFonts w:hint="eastAsia" w:asciiTheme="minorEastAsia" w:hAnsiTheme="minorEastAsia" w:eastAsiaTheme="minorEastAsia" w:cstheme="minorEastAsia"/>
                <w:b/>
                <w:szCs w:val="21"/>
              </w:rPr>
              <w:t>车辆、机械使用成本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0" w:hRule="atLeast"/>
        </w:trPr>
        <w:tc>
          <w:tcPr>
            <w:tcW w:w="1409" w:type="dxa"/>
            <w:gridSpan w:val="2"/>
            <w:noWrap/>
          </w:tcPr>
          <w:p>
            <w:pPr>
              <w:spacing w:after="48" w:afterLines="20" w:line="360" w:lineRule="exact"/>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车辆、</w:t>
            </w:r>
          </w:p>
          <w:p>
            <w:pPr>
              <w:spacing w:after="48" w:afterLines="20"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szCs w:val="21"/>
              </w:rPr>
              <w:t>机械折旧</w:t>
            </w:r>
          </w:p>
        </w:tc>
        <w:tc>
          <w:tcPr>
            <w:tcW w:w="5674" w:type="dxa"/>
            <w:gridSpan w:val="9"/>
            <w:noWrap/>
            <w:vAlign w:val="center"/>
          </w:tcPr>
          <w:p>
            <w:pPr>
              <w:spacing w:after="48" w:afterLines="20" w:line="360" w:lineRule="exact"/>
              <w:jc w:val="center"/>
              <w:rPr>
                <w:rFonts w:hint="eastAsia" w:asciiTheme="minorEastAsia" w:hAnsiTheme="minorEastAsia" w:eastAsiaTheme="minorEastAsia" w:cstheme="minorEastAsia"/>
                <w:bCs/>
                <w:kern w:val="0"/>
                <w:szCs w:val="21"/>
              </w:rPr>
            </w:pPr>
          </w:p>
        </w:tc>
        <w:tc>
          <w:tcPr>
            <w:tcW w:w="3402" w:type="dxa"/>
            <w:gridSpan w:val="2"/>
            <w:noWrap/>
            <w:vAlign w:val="center"/>
          </w:tcPr>
          <w:p>
            <w:pPr>
              <w:spacing w:after="48" w:afterLines="20" w:line="360" w:lineRule="exact"/>
              <w:jc w:val="center"/>
              <w:rPr>
                <w:rFonts w:hint="eastAsia" w:asciiTheme="minorEastAsia" w:hAnsiTheme="minorEastAsia" w:eastAsiaTheme="minorEastAsia" w:cstheme="minorEastAsia"/>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0" w:hRule="atLeast"/>
        </w:trPr>
        <w:tc>
          <w:tcPr>
            <w:tcW w:w="1409" w:type="dxa"/>
            <w:gridSpan w:val="2"/>
            <w:noWrap/>
            <w:vAlign w:val="center"/>
          </w:tcPr>
          <w:p>
            <w:pPr>
              <w:spacing w:after="48" w:afterLines="20" w:line="360" w:lineRule="exact"/>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车辆、</w:t>
            </w:r>
          </w:p>
          <w:p>
            <w:pPr>
              <w:spacing w:after="48" w:afterLines="20"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szCs w:val="21"/>
              </w:rPr>
              <w:t>机械维修费</w:t>
            </w:r>
          </w:p>
        </w:tc>
        <w:tc>
          <w:tcPr>
            <w:tcW w:w="5674" w:type="dxa"/>
            <w:gridSpan w:val="9"/>
            <w:noWrap/>
            <w:vAlign w:val="center"/>
          </w:tcPr>
          <w:p>
            <w:pPr>
              <w:spacing w:after="48" w:afterLines="20" w:line="360" w:lineRule="exact"/>
              <w:jc w:val="center"/>
              <w:rPr>
                <w:rFonts w:hint="eastAsia" w:asciiTheme="minorEastAsia" w:hAnsiTheme="minorEastAsia" w:eastAsiaTheme="minorEastAsia" w:cstheme="minorEastAsia"/>
                <w:bCs/>
                <w:kern w:val="0"/>
                <w:szCs w:val="21"/>
              </w:rPr>
            </w:pPr>
          </w:p>
        </w:tc>
        <w:tc>
          <w:tcPr>
            <w:tcW w:w="3402" w:type="dxa"/>
            <w:gridSpan w:val="2"/>
            <w:noWrap/>
            <w:vAlign w:val="center"/>
          </w:tcPr>
          <w:p>
            <w:pPr>
              <w:spacing w:after="48" w:afterLines="20" w:line="360" w:lineRule="exact"/>
              <w:jc w:val="center"/>
              <w:rPr>
                <w:rFonts w:hint="eastAsia" w:asciiTheme="minorEastAsia" w:hAnsiTheme="minorEastAsia" w:eastAsiaTheme="minorEastAsia" w:cstheme="minorEastAsia"/>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0" w:hRule="atLeast"/>
        </w:trPr>
        <w:tc>
          <w:tcPr>
            <w:tcW w:w="1409" w:type="dxa"/>
            <w:gridSpan w:val="2"/>
            <w:noWrap/>
            <w:vAlign w:val="center"/>
          </w:tcPr>
          <w:p>
            <w:pPr>
              <w:spacing w:after="48" w:afterLines="20"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szCs w:val="21"/>
              </w:rPr>
              <w:t>车辆、机械油电费</w:t>
            </w:r>
          </w:p>
        </w:tc>
        <w:tc>
          <w:tcPr>
            <w:tcW w:w="5674" w:type="dxa"/>
            <w:gridSpan w:val="9"/>
            <w:noWrap/>
            <w:vAlign w:val="center"/>
          </w:tcPr>
          <w:p>
            <w:pPr>
              <w:spacing w:after="48" w:afterLines="20" w:line="360" w:lineRule="exact"/>
              <w:jc w:val="center"/>
              <w:rPr>
                <w:rFonts w:hint="eastAsia" w:asciiTheme="minorEastAsia" w:hAnsiTheme="minorEastAsia" w:eastAsiaTheme="minorEastAsia" w:cstheme="minorEastAsia"/>
                <w:bCs/>
                <w:kern w:val="0"/>
                <w:szCs w:val="21"/>
              </w:rPr>
            </w:pPr>
          </w:p>
        </w:tc>
        <w:tc>
          <w:tcPr>
            <w:tcW w:w="3402" w:type="dxa"/>
            <w:gridSpan w:val="2"/>
            <w:noWrap/>
            <w:vAlign w:val="center"/>
          </w:tcPr>
          <w:p>
            <w:pPr>
              <w:spacing w:after="48" w:afterLines="20" w:line="360" w:lineRule="exact"/>
              <w:jc w:val="center"/>
              <w:rPr>
                <w:rFonts w:hint="eastAsia" w:asciiTheme="minorEastAsia" w:hAnsiTheme="minorEastAsia" w:eastAsiaTheme="minorEastAsia" w:cstheme="minorEastAsia"/>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0" w:hRule="atLeast"/>
        </w:trPr>
        <w:tc>
          <w:tcPr>
            <w:tcW w:w="1409" w:type="dxa"/>
            <w:gridSpan w:val="2"/>
            <w:noWrap/>
            <w:vAlign w:val="center"/>
          </w:tcPr>
          <w:p>
            <w:pPr>
              <w:spacing w:after="48" w:afterLines="20"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szCs w:val="21"/>
              </w:rPr>
              <w:t>车辆规费</w:t>
            </w:r>
          </w:p>
        </w:tc>
        <w:tc>
          <w:tcPr>
            <w:tcW w:w="5674" w:type="dxa"/>
            <w:gridSpan w:val="9"/>
            <w:noWrap/>
            <w:vAlign w:val="center"/>
          </w:tcPr>
          <w:p>
            <w:pPr>
              <w:spacing w:after="48" w:afterLines="20" w:line="360" w:lineRule="exact"/>
              <w:jc w:val="center"/>
              <w:rPr>
                <w:rFonts w:hint="eastAsia" w:asciiTheme="minorEastAsia" w:hAnsiTheme="minorEastAsia" w:eastAsiaTheme="minorEastAsia" w:cstheme="minorEastAsia"/>
                <w:bCs/>
                <w:kern w:val="0"/>
                <w:szCs w:val="21"/>
              </w:rPr>
            </w:pPr>
          </w:p>
        </w:tc>
        <w:tc>
          <w:tcPr>
            <w:tcW w:w="3402" w:type="dxa"/>
            <w:gridSpan w:val="2"/>
            <w:noWrap/>
            <w:vAlign w:val="center"/>
          </w:tcPr>
          <w:p>
            <w:pPr>
              <w:spacing w:after="48" w:afterLines="20" w:line="360" w:lineRule="exac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Cs/>
                <w:szCs w:val="21"/>
              </w:rPr>
              <w:t>包含交强险、车船税等国家规定征收的交通车辆费用。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0" w:hRule="atLeast"/>
        </w:trPr>
        <w:tc>
          <w:tcPr>
            <w:tcW w:w="1409" w:type="dxa"/>
            <w:gridSpan w:val="2"/>
            <w:noWrap/>
            <w:vAlign w:val="center"/>
          </w:tcPr>
          <w:p>
            <w:pPr>
              <w:spacing w:after="48" w:afterLines="20"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szCs w:val="21"/>
              </w:rPr>
              <w:t>车辆商业险</w:t>
            </w:r>
          </w:p>
        </w:tc>
        <w:tc>
          <w:tcPr>
            <w:tcW w:w="5674" w:type="dxa"/>
            <w:gridSpan w:val="9"/>
            <w:noWrap/>
            <w:vAlign w:val="center"/>
          </w:tcPr>
          <w:p>
            <w:pPr>
              <w:spacing w:after="48" w:afterLines="20" w:line="360" w:lineRule="exact"/>
              <w:jc w:val="center"/>
              <w:rPr>
                <w:rFonts w:hint="eastAsia" w:asciiTheme="minorEastAsia" w:hAnsiTheme="minorEastAsia" w:eastAsiaTheme="minorEastAsia" w:cstheme="minorEastAsia"/>
                <w:bCs/>
                <w:kern w:val="0"/>
                <w:szCs w:val="21"/>
              </w:rPr>
            </w:pPr>
          </w:p>
        </w:tc>
        <w:tc>
          <w:tcPr>
            <w:tcW w:w="3402" w:type="dxa"/>
            <w:gridSpan w:val="2"/>
            <w:noWrap/>
            <w:vAlign w:val="center"/>
          </w:tcPr>
          <w:p>
            <w:pPr>
              <w:spacing w:after="48" w:afterLines="20" w:line="360" w:lineRule="exac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Cs/>
                <w:szCs w:val="21"/>
              </w:rPr>
              <w:t>包含车辆商业险。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0" w:hRule="atLeast"/>
        </w:trPr>
        <w:tc>
          <w:tcPr>
            <w:tcW w:w="1409" w:type="dxa"/>
            <w:gridSpan w:val="2"/>
            <w:noWrap/>
            <w:vAlign w:val="center"/>
          </w:tcPr>
          <w:p>
            <w:pPr>
              <w:spacing w:after="48" w:afterLines="20"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szCs w:val="21"/>
              </w:rPr>
              <w:t>定位费用</w:t>
            </w:r>
          </w:p>
        </w:tc>
        <w:tc>
          <w:tcPr>
            <w:tcW w:w="5674" w:type="dxa"/>
            <w:gridSpan w:val="9"/>
            <w:noWrap/>
            <w:vAlign w:val="center"/>
          </w:tcPr>
          <w:p>
            <w:pPr>
              <w:spacing w:after="48" w:afterLines="20" w:line="360" w:lineRule="exact"/>
              <w:jc w:val="center"/>
              <w:rPr>
                <w:rFonts w:hint="eastAsia" w:asciiTheme="minorEastAsia" w:hAnsiTheme="minorEastAsia" w:eastAsiaTheme="minorEastAsia" w:cstheme="minorEastAsia"/>
                <w:bCs/>
                <w:kern w:val="0"/>
                <w:szCs w:val="21"/>
              </w:rPr>
            </w:pPr>
          </w:p>
        </w:tc>
        <w:tc>
          <w:tcPr>
            <w:tcW w:w="3402" w:type="dxa"/>
            <w:gridSpan w:val="2"/>
            <w:noWrap/>
            <w:vAlign w:val="center"/>
          </w:tcPr>
          <w:p>
            <w:pPr>
              <w:spacing w:after="48" w:afterLines="20" w:line="360" w:lineRule="exac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Cs/>
                <w:szCs w:val="21"/>
              </w:rPr>
              <w:t>定位设备及通讯费用。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0" w:hRule="atLeast"/>
        </w:trPr>
        <w:tc>
          <w:tcPr>
            <w:tcW w:w="1409" w:type="dxa"/>
            <w:gridSpan w:val="2"/>
            <w:noWrap/>
            <w:vAlign w:val="center"/>
          </w:tcPr>
          <w:p>
            <w:pPr>
              <w:spacing w:after="48" w:afterLines="20" w:line="360" w:lineRule="exact"/>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szCs w:val="21"/>
              </w:rPr>
              <w:t>其他</w:t>
            </w:r>
          </w:p>
        </w:tc>
        <w:tc>
          <w:tcPr>
            <w:tcW w:w="5674" w:type="dxa"/>
            <w:gridSpan w:val="9"/>
            <w:noWrap/>
            <w:vAlign w:val="center"/>
          </w:tcPr>
          <w:p>
            <w:pPr>
              <w:spacing w:after="48" w:afterLines="20" w:line="360" w:lineRule="exact"/>
              <w:jc w:val="center"/>
              <w:rPr>
                <w:rFonts w:hint="eastAsia" w:asciiTheme="minorEastAsia" w:hAnsiTheme="minorEastAsia" w:eastAsiaTheme="minorEastAsia" w:cstheme="minorEastAsia"/>
                <w:bCs/>
                <w:kern w:val="0"/>
                <w:szCs w:val="21"/>
              </w:rPr>
            </w:pPr>
          </w:p>
        </w:tc>
        <w:tc>
          <w:tcPr>
            <w:tcW w:w="3402" w:type="dxa"/>
            <w:gridSpan w:val="2"/>
            <w:noWrap/>
            <w:vAlign w:val="center"/>
          </w:tcPr>
          <w:p>
            <w:pPr>
              <w:spacing w:after="48" w:afterLines="20" w:line="360" w:lineRule="exact"/>
              <w:jc w:val="center"/>
              <w:rPr>
                <w:rFonts w:hint="eastAsia" w:asciiTheme="minorEastAsia" w:hAnsiTheme="minorEastAsia" w:eastAsiaTheme="minorEastAsia" w:cstheme="minorEastAsia"/>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0" w:hRule="atLeast"/>
        </w:trPr>
        <w:tc>
          <w:tcPr>
            <w:tcW w:w="7083" w:type="dxa"/>
            <w:gridSpan w:val="11"/>
            <w:noWrap/>
            <w:vAlign w:val="center"/>
          </w:tcPr>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
                <w:szCs w:val="21"/>
              </w:rPr>
              <w:t>车辆、机械使用成本小计：__________元</w:t>
            </w:r>
          </w:p>
        </w:tc>
        <w:tc>
          <w:tcPr>
            <w:tcW w:w="3402" w:type="dxa"/>
            <w:gridSpan w:val="2"/>
            <w:noWrap/>
            <w:vAlign w:val="center"/>
          </w:tcPr>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
                <w:szCs w:val="21"/>
              </w:rPr>
              <w:t>占年投标总价的（______%）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0" w:hRule="atLeast"/>
        </w:trPr>
        <w:tc>
          <w:tcPr>
            <w:tcW w:w="7083" w:type="dxa"/>
            <w:gridSpan w:val="11"/>
            <w:noWrap/>
            <w:vAlign w:val="center"/>
          </w:tcPr>
          <w:p>
            <w:pPr>
              <w:spacing w:after="48" w:afterLines="20" w:line="360" w:lineRule="exact"/>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szCs w:val="21"/>
                <w:lang w:val="en-US" w:eastAsia="zh-CN"/>
              </w:rPr>
              <w:t>三</w:t>
            </w:r>
            <w:r>
              <w:rPr>
                <w:rFonts w:hint="eastAsia" w:asciiTheme="minorEastAsia" w:hAnsiTheme="minorEastAsia" w:eastAsiaTheme="minorEastAsia" w:cstheme="minorEastAsia"/>
                <w:b/>
                <w:szCs w:val="21"/>
              </w:rPr>
              <w:t>、材料成本</w:t>
            </w:r>
            <w:r>
              <w:rPr>
                <w:rFonts w:hint="eastAsia" w:asciiTheme="minorEastAsia" w:hAnsiTheme="minorEastAsia" w:eastAsiaTheme="minorEastAsia" w:cstheme="minorEastAsia"/>
                <w:b/>
                <w:kern w:val="0"/>
                <w:szCs w:val="21"/>
              </w:rPr>
              <w:t>：__________元</w:t>
            </w:r>
          </w:p>
        </w:tc>
        <w:tc>
          <w:tcPr>
            <w:tcW w:w="3402" w:type="dxa"/>
            <w:gridSpan w:val="2"/>
            <w:noWrap/>
            <w:vAlign w:val="center"/>
          </w:tcPr>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
                <w:szCs w:val="21"/>
              </w:rPr>
              <w:t>占年投标总价的（______%）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0" w:hRule="atLeast"/>
        </w:trPr>
        <w:tc>
          <w:tcPr>
            <w:tcW w:w="7083" w:type="dxa"/>
            <w:gridSpan w:val="11"/>
            <w:noWrap/>
            <w:vAlign w:val="center"/>
          </w:tcPr>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
                <w:szCs w:val="21"/>
                <w:lang w:val="en-US" w:eastAsia="zh-CN"/>
              </w:rPr>
              <w:t>四</w:t>
            </w:r>
            <w:r>
              <w:rPr>
                <w:rFonts w:hint="eastAsia" w:asciiTheme="minorEastAsia" w:hAnsiTheme="minorEastAsia" w:eastAsiaTheme="minorEastAsia" w:cstheme="minorEastAsia"/>
                <w:b/>
                <w:szCs w:val="21"/>
              </w:rPr>
              <w:t>、管理费</w:t>
            </w:r>
            <w:r>
              <w:rPr>
                <w:rFonts w:hint="eastAsia" w:asciiTheme="minorEastAsia" w:hAnsiTheme="minorEastAsia" w:eastAsiaTheme="minorEastAsia" w:cstheme="minorEastAsia"/>
                <w:b/>
                <w:kern w:val="0"/>
                <w:szCs w:val="21"/>
              </w:rPr>
              <w:t>：__________元</w:t>
            </w:r>
          </w:p>
        </w:tc>
        <w:tc>
          <w:tcPr>
            <w:tcW w:w="3402" w:type="dxa"/>
            <w:gridSpan w:val="2"/>
            <w:noWrap/>
            <w:vAlign w:val="center"/>
          </w:tcPr>
          <w:p>
            <w:pPr>
              <w:spacing w:after="48" w:afterLines="20" w:line="360" w:lineRule="exact"/>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管理费率=管理费/（人工成本+车辆机械成本×0.1）</w:t>
            </w:r>
          </w:p>
          <w:p>
            <w:pPr>
              <w:spacing w:after="48" w:afterLines="20" w:line="360" w:lineRule="exact"/>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kern w:val="0"/>
                <w:szCs w:val="21"/>
              </w:rPr>
              <w:t>管理费率（______</w:t>
            </w:r>
            <w:r>
              <w:rPr>
                <w:rFonts w:hint="eastAsia" w:asciiTheme="minorEastAsia" w:hAnsiTheme="minorEastAsia" w:eastAsiaTheme="minorEastAsia" w:cstheme="minorEastAsia"/>
                <w:b/>
                <w:bCs/>
                <w:szCs w:val="21"/>
              </w:rPr>
              <w:t>%</w:t>
            </w:r>
            <w:r>
              <w:rPr>
                <w:rFonts w:hint="eastAsia" w:asciiTheme="minorEastAsia" w:hAnsiTheme="minorEastAsia" w:eastAsiaTheme="minorEastAsia" w:cstheme="minorEastAsia"/>
                <w:b/>
                <w:bCs/>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0" w:hRule="atLeast"/>
        </w:trPr>
        <w:tc>
          <w:tcPr>
            <w:tcW w:w="7083" w:type="dxa"/>
            <w:gridSpan w:val="11"/>
            <w:noWrap/>
            <w:vAlign w:val="center"/>
          </w:tcPr>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
                <w:szCs w:val="21"/>
                <w:lang w:val="en-US" w:eastAsia="zh-CN"/>
              </w:rPr>
              <w:t>五</w:t>
            </w:r>
            <w:r>
              <w:rPr>
                <w:rFonts w:hint="eastAsia" w:asciiTheme="minorEastAsia" w:hAnsiTheme="minorEastAsia" w:eastAsiaTheme="minorEastAsia" w:cstheme="minorEastAsia"/>
                <w:b/>
                <w:szCs w:val="21"/>
              </w:rPr>
              <w:t>、利润</w:t>
            </w:r>
            <w:r>
              <w:rPr>
                <w:rFonts w:hint="eastAsia" w:asciiTheme="minorEastAsia" w:hAnsiTheme="minorEastAsia" w:eastAsiaTheme="minorEastAsia" w:cstheme="minorEastAsia"/>
                <w:b/>
                <w:kern w:val="0"/>
                <w:szCs w:val="21"/>
              </w:rPr>
              <w:t>：__________元</w:t>
            </w:r>
          </w:p>
        </w:tc>
        <w:tc>
          <w:tcPr>
            <w:tcW w:w="3402" w:type="dxa"/>
            <w:gridSpan w:val="2"/>
            <w:noWrap/>
            <w:vAlign w:val="center"/>
          </w:tcPr>
          <w:p>
            <w:pPr>
              <w:spacing w:after="48" w:afterLines="20" w:line="360" w:lineRule="exac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利润率=利润/（一+二+三+四）</w:t>
            </w:r>
          </w:p>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
                <w:szCs w:val="21"/>
              </w:rPr>
              <w:t>利润率（________%）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0" w:hRule="atLeast"/>
        </w:trPr>
        <w:tc>
          <w:tcPr>
            <w:tcW w:w="7083" w:type="dxa"/>
            <w:gridSpan w:val="11"/>
            <w:noWrap/>
            <w:vAlign w:val="center"/>
          </w:tcPr>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
                <w:szCs w:val="21"/>
                <w:lang w:val="en-US" w:eastAsia="zh-CN"/>
              </w:rPr>
              <w:t>六</w:t>
            </w:r>
            <w:r>
              <w:rPr>
                <w:rFonts w:hint="eastAsia" w:asciiTheme="minorEastAsia" w:hAnsiTheme="minorEastAsia" w:eastAsiaTheme="minorEastAsia" w:cstheme="minorEastAsia"/>
                <w:b/>
                <w:szCs w:val="21"/>
              </w:rPr>
              <w:t>、税金</w:t>
            </w:r>
            <w:r>
              <w:rPr>
                <w:rFonts w:hint="eastAsia" w:asciiTheme="minorEastAsia" w:hAnsiTheme="minorEastAsia" w:eastAsiaTheme="minorEastAsia" w:cstheme="minorEastAsia"/>
                <w:b/>
                <w:kern w:val="0"/>
                <w:szCs w:val="21"/>
              </w:rPr>
              <w:t>：__________元</w:t>
            </w:r>
          </w:p>
        </w:tc>
        <w:tc>
          <w:tcPr>
            <w:tcW w:w="3402" w:type="dxa"/>
            <w:gridSpan w:val="2"/>
            <w:noWrap/>
            <w:vAlign w:val="center"/>
          </w:tcPr>
          <w:p>
            <w:pPr>
              <w:spacing w:after="48" w:afterLines="20" w:line="360" w:lineRule="exac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Cs/>
                <w:szCs w:val="21"/>
              </w:rPr>
              <w:t>包括但不限于营业税、城建税、教育费附加、合同印花税等。</w:t>
            </w:r>
          </w:p>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
                <w:szCs w:val="21"/>
              </w:rPr>
              <w:t>占年投标总价的（_______%）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0" w:hRule="atLeast"/>
        </w:trPr>
        <w:tc>
          <w:tcPr>
            <w:tcW w:w="7083" w:type="dxa"/>
            <w:gridSpan w:val="11"/>
            <w:noWrap/>
            <w:vAlign w:val="center"/>
          </w:tcPr>
          <w:p>
            <w:pPr>
              <w:spacing w:after="48" w:afterLines="20" w:line="360" w:lineRule="exac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
                <w:szCs w:val="21"/>
                <w:lang w:val="en-US" w:eastAsia="zh-CN"/>
              </w:rPr>
              <w:t>七</w:t>
            </w:r>
            <w:r>
              <w:rPr>
                <w:rFonts w:hint="eastAsia" w:asciiTheme="minorEastAsia" w:hAnsiTheme="minorEastAsia" w:eastAsiaTheme="minorEastAsia" w:cstheme="minorEastAsia"/>
                <w:b/>
                <w:szCs w:val="21"/>
              </w:rPr>
              <w:t>、其他</w:t>
            </w:r>
            <w:r>
              <w:rPr>
                <w:rFonts w:hint="eastAsia" w:asciiTheme="minorEastAsia" w:hAnsiTheme="minorEastAsia" w:eastAsiaTheme="minorEastAsia" w:cstheme="minorEastAsia"/>
                <w:b/>
                <w:kern w:val="0"/>
                <w:szCs w:val="21"/>
              </w:rPr>
              <w:t>：__________元</w:t>
            </w:r>
          </w:p>
        </w:tc>
        <w:tc>
          <w:tcPr>
            <w:tcW w:w="3402" w:type="dxa"/>
            <w:gridSpan w:val="2"/>
            <w:noWrap/>
            <w:vAlign w:val="center"/>
          </w:tcPr>
          <w:p>
            <w:pPr>
              <w:spacing w:after="48" w:afterLines="20" w:line="360" w:lineRule="exac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除上述一到六项费用之外的其他杂项费用.</w:t>
            </w:r>
          </w:p>
          <w:p>
            <w:pPr>
              <w:spacing w:after="48" w:afterLines="20" w:line="360" w:lineRule="exac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占年投标总价的（_______%）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22" w:hRule="atLeast"/>
        </w:trPr>
        <w:tc>
          <w:tcPr>
            <w:tcW w:w="7083" w:type="dxa"/>
            <w:gridSpan w:val="11"/>
            <w:noWrap/>
            <w:vAlign w:val="center"/>
          </w:tcPr>
          <w:p>
            <w:pPr>
              <w:spacing w:after="48" w:afterLines="20" w:line="360" w:lineRule="exact"/>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合计年投标总价：__________元</w:t>
            </w:r>
          </w:p>
        </w:tc>
        <w:tc>
          <w:tcPr>
            <w:tcW w:w="3402" w:type="dxa"/>
            <w:gridSpan w:val="2"/>
            <w:noWrap/>
            <w:vAlign w:val="center"/>
          </w:tcPr>
          <w:p>
            <w:pPr>
              <w:spacing w:after="48" w:afterLines="20" w:line="360" w:lineRule="exact"/>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年投标总价为以上第一至第</w:t>
            </w:r>
            <w:r>
              <w:rPr>
                <w:rFonts w:hint="eastAsia" w:asciiTheme="minorEastAsia" w:hAnsiTheme="minorEastAsia" w:eastAsiaTheme="minorEastAsia" w:cstheme="minorEastAsia"/>
                <w:b/>
                <w:szCs w:val="21"/>
              </w:rPr>
              <w:t>七</w:t>
            </w:r>
            <w:r>
              <w:rPr>
                <w:rFonts w:hint="eastAsia" w:asciiTheme="minorEastAsia" w:hAnsiTheme="minorEastAsia" w:eastAsiaTheme="minorEastAsia" w:cstheme="minorEastAsia"/>
                <w:b/>
                <w:kern w:val="0"/>
                <w:szCs w:val="21"/>
              </w:rPr>
              <w:t>项的总和。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20" w:hRule="atLeast"/>
        </w:trPr>
        <w:tc>
          <w:tcPr>
            <w:tcW w:w="10485" w:type="dxa"/>
            <w:gridSpan w:val="13"/>
            <w:noWrap/>
          </w:tcPr>
          <w:p>
            <w:pPr>
              <w:spacing w:before="48" w:beforeLines="20" w:after="48" w:afterLines="20" w:line="360" w:lineRule="exact"/>
              <w:rPr>
                <w:rFonts w:hint="eastAsia" w:asciiTheme="minorEastAsia" w:hAnsiTheme="minorEastAsia" w:eastAsiaTheme="minorEastAsia" w:cstheme="minorEastAsia"/>
                <w:strike/>
                <w:kern w:val="0"/>
                <w:szCs w:val="21"/>
              </w:rPr>
            </w:pPr>
          </w:p>
        </w:tc>
      </w:tr>
    </w:tbl>
    <w:p>
      <w:pPr>
        <w:spacing w:before="48" w:beforeLines="20" w:line="360" w:lineRule="exact"/>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注：1.税金包括但不限于营业税、城建税、教育费附加、合同印花税等，一般为年投标报价的</w:t>
      </w:r>
      <w:r>
        <w:rPr>
          <w:rFonts w:hint="eastAsia" w:asciiTheme="minorEastAsia" w:hAnsiTheme="minorEastAsia" w:eastAsiaTheme="minorEastAsia" w:cstheme="minorEastAsia"/>
          <w:kern w:val="0"/>
          <w:szCs w:val="21"/>
          <w:u w:val="single"/>
        </w:rPr>
        <w:t>6.720</w:t>
      </w:r>
      <w:r>
        <w:rPr>
          <w:rFonts w:hint="eastAsia" w:asciiTheme="minorEastAsia" w:hAnsiTheme="minorEastAsia" w:eastAsiaTheme="minorEastAsia" w:cstheme="minorEastAsia"/>
          <w:kern w:val="0"/>
          <w:szCs w:val="21"/>
        </w:rPr>
        <w:t>%，请投标人结合实际合理报价。</w:t>
      </w:r>
    </w:p>
    <w:p>
      <w:pPr>
        <w:spacing w:line="360" w:lineRule="exact"/>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2.报价按“元”保留到小数点后三位。</w:t>
      </w:r>
    </w:p>
    <w:p>
      <w:pPr>
        <w:spacing w:line="360" w:lineRule="exact"/>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lang w:val="en-US" w:eastAsia="zh-CN"/>
        </w:rPr>
        <w:t>3</w:t>
      </w:r>
      <w:r>
        <w:rPr>
          <w:rFonts w:hint="eastAsia" w:asciiTheme="minorEastAsia" w:hAnsiTheme="minorEastAsia" w:eastAsiaTheme="minorEastAsia" w:cstheme="minorEastAsia"/>
          <w:kern w:val="0"/>
          <w:szCs w:val="21"/>
          <w:highlight w:val="none"/>
        </w:rPr>
        <w:t>.投标人必须按照招标文件表格内容、格式及要求进行报价，如总价、单价和分项报价清单（包括全部三项表格）有缺项漏项、单项负数或前后不一致、不符合招标文件要求或不符合国家相关规定的，“拟投入本项目一线作业人员工资水平评价”评分项作不得分处理。</w:t>
      </w:r>
    </w:p>
    <w:p>
      <w:pPr>
        <w:spacing w:line="360" w:lineRule="exact"/>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lang w:val="en-US" w:eastAsia="zh-CN"/>
        </w:rPr>
        <w:t>4</w:t>
      </w:r>
      <w:r>
        <w:rPr>
          <w:rFonts w:hint="eastAsia" w:asciiTheme="minorEastAsia" w:hAnsiTheme="minorEastAsia" w:eastAsiaTheme="minorEastAsia" w:cstheme="minorEastAsia"/>
          <w:kern w:val="0"/>
          <w:szCs w:val="21"/>
        </w:rPr>
        <w:t>.《政府采购货物和服务招标投标管理办法》（财政部令第87号）第五十一条规定，对于投标文件中含义不明确、同类问题表述不一致或者有明显文字和计算错误的内容，评标委员会应当以书面形式要求投标人作出必要的澄清、说明或者补正。投标人的澄清、说明或者补正应当采用书面形式，并加盖公章，或者由法定代表人或其授权的代表签字。投标人的澄清、说明或者补正不得超出投标文件的范围或者改变投标文件的实质性内容。</w:t>
      </w:r>
    </w:p>
    <w:p>
      <w:pPr>
        <w:spacing w:line="360" w:lineRule="exact"/>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lang w:val="en-US" w:eastAsia="zh-CN"/>
        </w:rPr>
        <w:t>5</w:t>
      </w:r>
      <w:r>
        <w:rPr>
          <w:rFonts w:hint="eastAsia" w:asciiTheme="minorEastAsia" w:hAnsiTheme="minorEastAsia" w:eastAsiaTheme="minorEastAsia" w:cstheme="minorEastAsia"/>
          <w:kern w:val="0"/>
          <w:szCs w:val="21"/>
        </w:rPr>
        <w:t>.根据《政府采购货物和服务招标投标管理办法》（财政部令第87号）第六十条规定，投标人的报价明显低于其他通过符合性审查投标人的报价，有可能影响产品质量或者不能诚信履约的，评委会有权要求投标供应商在规定时间内提供书面说明以及必要的证明材料，并根据投标人的说明作相应处理。</w:t>
      </w:r>
    </w:p>
    <w:p>
      <w:pPr>
        <w:rPr>
          <w:rFonts w:hint="eastAsia" w:asciiTheme="minorEastAsia" w:hAnsiTheme="minorEastAsia" w:eastAsiaTheme="minorEastAsia" w:cstheme="minorEastAsia"/>
          <w:b/>
          <w:bCs/>
        </w:rPr>
      </w:pPr>
      <w:r>
        <w:rPr>
          <w:rFonts w:hint="eastAsia" w:asciiTheme="minorEastAsia" w:hAnsiTheme="minorEastAsia" w:eastAsiaTheme="minorEastAsia" w:cstheme="minorEastAsia"/>
          <w:kern w:val="0"/>
          <w:szCs w:val="21"/>
          <w:lang w:val="en-US" w:eastAsia="zh-CN"/>
        </w:rPr>
        <w:t>6</w:t>
      </w:r>
      <w:r>
        <w:rPr>
          <w:rFonts w:hint="eastAsia" w:asciiTheme="minorEastAsia" w:hAnsiTheme="minorEastAsia" w:eastAsiaTheme="minorEastAsia" w:cstheme="minorEastAsia"/>
          <w:kern w:val="0"/>
          <w:szCs w:val="21"/>
        </w:rPr>
        <w:t>.如《人员、车辆等成本分项报价表》与《投标单价一览表》或《投标总价一览表》内容不一致，以《人员、车辆等成本分项报价表》内容为准。</w:t>
      </w:r>
    </w:p>
    <w:p/>
    <w:p>
      <w:pPr>
        <w:pStyle w:val="5"/>
        <w:jc w:val="center"/>
        <w:rPr>
          <w:rFonts w:ascii="黑体" w:eastAsia="黑体"/>
          <w:b w:val="0"/>
          <w:kern w:val="0"/>
          <w:sz w:val="24"/>
          <w:szCs w:val="24"/>
        </w:rPr>
      </w:pPr>
      <w:r>
        <w:rPr>
          <w:rFonts w:hint="eastAsia" w:ascii="黑体" w:eastAsia="黑体"/>
          <w:b w:val="0"/>
          <w:kern w:val="0"/>
          <w:sz w:val="24"/>
          <w:szCs w:val="24"/>
        </w:rPr>
        <w:t>五、</w:t>
      </w:r>
      <w:bookmarkStart w:id="47" w:name="_Hlk72092634"/>
      <w:r>
        <w:rPr>
          <w:rFonts w:hint="eastAsia" w:ascii="黑体" w:eastAsia="黑体"/>
          <w:b w:val="0"/>
          <w:kern w:val="0"/>
          <w:sz w:val="24"/>
          <w:szCs w:val="24"/>
        </w:rPr>
        <w:t>实质性条款响应情况表</w:t>
      </w:r>
      <w:bookmarkEnd w:id="47"/>
    </w:p>
    <w:tbl>
      <w:tblPr>
        <w:tblStyle w:val="44"/>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2664"/>
        <w:gridCol w:w="1588"/>
        <w:gridCol w:w="1842"/>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5" w:type="dxa"/>
            <w:vAlign w:val="center"/>
          </w:tcPr>
          <w:p>
            <w:pPr>
              <w:adjustRightInd w:val="0"/>
              <w:snapToGrid w:val="0"/>
              <w:spacing w:line="360" w:lineRule="auto"/>
              <w:jc w:val="center"/>
              <w:rPr>
                <w:rFonts w:ascii="宋体" w:hAnsi="宋体"/>
                <w:kern w:val="0"/>
                <w:szCs w:val="21"/>
              </w:rPr>
            </w:pPr>
            <w:bookmarkStart w:id="48" w:name="_Hlk72092651"/>
            <w:r>
              <w:rPr>
                <w:rFonts w:hint="eastAsia" w:ascii="宋体" w:hAnsi="宋体"/>
                <w:kern w:val="0"/>
                <w:szCs w:val="21"/>
              </w:rPr>
              <w:t>序号</w:t>
            </w:r>
          </w:p>
        </w:tc>
        <w:tc>
          <w:tcPr>
            <w:tcW w:w="2664" w:type="dxa"/>
            <w:vAlign w:val="center"/>
          </w:tcPr>
          <w:p>
            <w:pPr>
              <w:adjustRightInd w:val="0"/>
              <w:snapToGrid w:val="0"/>
              <w:spacing w:line="360" w:lineRule="auto"/>
              <w:jc w:val="center"/>
              <w:rPr>
                <w:rFonts w:ascii="宋体" w:hAnsi="宋体"/>
                <w:kern w:val="0"/>
                <w:szCs w:val="21"/>
              </w:rPr>
            </w:pPr>
            <w:r>
              <w:rPr>
                <w:rFonts w:hint="eastAsia" w:ascii="宋体" w:hAnsi="宋体"/>
                <w:kern w:val="0"/>
                <w:szCs w:val="21"/>
              </w:rPr>
              <w:t>实质性条款具体内容</w:t>
            </w:r>
          </w:p>
        </w:tc>
        <w:tc>
          <w:tcPr>
            <w:tcW w:w="1588" w:type="dxa"/>
            <w:vAlign w:val="center"/>
          </w:tcPr>
          <w:p>
            <w:pPr>
              <w:adjustRightInd w:val="0"/>
              <w:snapToGrid w:val="0"/>
              <w:spacing w:line="360" w:lineRule="auto"/>
              <w:jc w:val="center"/>
              <w:rPr>
                <w:rFonts w:ascii="宋体" w:hAnsi="宋体"/>
                <w:kern w:val="0"/>
                <w:szCs w:val="21"/>
              </w:rPr>
            </w:pPr>
            <w:r>
              <w:rPr>
                <w:rFonts w:hint="eastAsia"/>
              </w:rPr>
              <w:t>投标响应</w:t>
            </w:r>
          </w:p>
        </w:tc>
        <w:tc>
          <w:tcPr>
            <w:tcW w:w="1842" w:type="dxa"/>
            <w:vAlign w:val="center"/>
          </w:tcPr>
          <w:p>
            <w:pPr>
              <w:adjustRightInd w:val="0"/>
              <w:snapToGrid w:val="0"/>
              <w:spacing w:line="360" w:lineRule="auto"/>
              <w:jc w:val="center"/>
              <w:rPr>
                <w:rFonts w:ascii="宋体" w:hAnsi="宋体"/>
                <w:kern w:val="0"/>
                <w:szCs w:val="21"/>
              </w:rPr>
            </w:pPr>
            <w:r>
              <w:rPr>
                <w:rFonts w:hint="eastAsia"/>
              </w:rPr>
              <w:t>偏离情况</w:t>
            </w:r>
          </w:p>
        </w:tc>
        <w:tc>
          <w:tcPr>
            <w:tcW w:w="1418" w:type="dxa"/>
            <w:vAlign w:val="center"/>
          </w:tcPr>
          <w:p>
            <w:pPr>
              <w:adjustRightInd w:val="0"/>
              <w:snapToGrid w:val="0"/>
              <w:spacing w:line="360" w:lineRule="auto"/>
              <w:jc w:val="center"/>
              <w:rPr>
                <w:rFonts w:ascii="宋体" w:hAnsi="宋体"/>
                <w:kern w:val="0"/>
                <w:szCs w:val="21"/>
              </w:rPr>
            </w:pPr>
            <w:r>
              <w:rPr>
                <w:rFonts w:hint="eastAsia"/>
              </w:rPr>
              <w:t>说明</w:t>
            </w:r>
          </w:p>
        </w:tc>
      </w:tr>
      <w:bookmarkEnd w:id="4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jc w:val="left"/>
              <w:rPr>
                <w:rFonts w:ascii="宋体" w:hAnsi="宋体"/>
                <w:kern w:val="0"/>
                <w:szCs w:val="21"/>
              </w:rPr>
            </w:pPr>
            <w:r>
              <w:rPr>
                <w:rFonts w:hint="eastAsia" w:ascii="宋体" w:hAnsi="宋体"/>
                <w:kern w:val="0"/>
                <w:szCs w:val="21"/>
              </w:rPr>
              <w:t>1</w:t>
            </w:r>
          </w:p>
        </w:tc>
        <w:tc>
          <w:tcPr>
            <w:tcW w:w="2664" w:type="dxa"/>
          </w:tcPr>
          <w:p>
            <w:pPr>
              <w:adjustRightInd w:val="0"/>
              <w:snapToGrid w:val="0"/>
              <w:spacing w:line="360" w:lineRule="auto"/>
              <w:jc w:val="left"/>
              <w:rPr>
                <w:rFonts w:hAnsi="宋体"/>
                <w:kern w:val="0"/>
                <w:szCs w:val="21"/>
              </w:rPr>
            </w:pPr>
            <w:r>
              <w:rPr>
                <w:rFonts w:hint="eastAsia"/>
                <w:color w:val="FF0000"/>
                <w:szCs w:val="21"/>
              </w:rPr>
              <w:t>★</w:t>
            </w:r>
            <w:r>
              <w:rPr>
                <w:rFonts w:hint="eastAsia"/>
                <w:color w:val="FF0000"/>
              </w:rPr>
              <w:t>完全满足本项目服务期限的要求。</w:t>
            </w:r>
          </w:p>
        </w:tc>
        <w:tc>
          <w:tcPr>
            <w:tcW w:w="1588" w:type="dxa"/>
          </w:tcPr>
          <w:p>
            <w:pPr>
              <w:adjustRightInd w:val="0"/>
              <w:snapToGrid w:val="0"/>
              <w:spacing w:line="360" w:lineRule="auto"/>
              <w:rPr>
                <w:rFonts w:ascii="宋体" w:hAnsi="宋体"/>
                <w:kern w:val="0"/>
                <w:szCs w:val="21"/>
              </w:rPr>
            </w:pPr>
          </w:p>
        </w:tc>
        <w:tc>
          <w:tcPr>
            <w:tcW w:w="1842" w:type="dxa"/>
          </w:tcPr>
          <w:p>
            <w:pPr>
              <w:adjustRightInd w:val="0"/>
              <w:snapToGrid w:val="0"/>
              <w:spacing w:line="360" w:lineRule="auto"/>
              <w:rPr>
                <w:rFonts w:ascii="宋体" w:hAnsi="宋体"/>
                <w:kern w:val="0"/>
                <w:szCs w:val="21"/>
              </w:rPr>
            </w:pPr>
          </w:p>
        </w:tc>
        <w:tc>
          <w:tcPr>
            <w:tcW w:w="1418" w:type="dxa"/>
          </w:tcPr>
          <w:p>
            <w:pPr>
              <w:adjustRightInd w:val="0"/>
              <w:snapToGrid w:val="0"/>
              <w:spacing w:line="360" w:lineRule="auto"/>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jc w:val="left"/>
              <w:rPr>
                <w:rFonts w:ascii="宋体" w:hAnsi="宋体"/>
                <w:kern w:val="0"/>
                <w:szCs w:val="21"/>
              </w:rPr>
            </w:pPr>
            <w:r>
              <w:rPr>
                <w:rFonts w:hint="eastAsia" w:ascii="宋体" w:hAnsi="宋体"/>
                <w:kern w:val="0"/>
                <w:szCs w:val="21"/>
              </w:rPr>
              <w:t>2</w:t>
            </w:r>
          </w:p>
        </w:tc>
        <w:tc>
          <w:tcPr>
            <w:tcW w:w="2664" w:type="dxa"/>
            <w:vAlign w:val="center"/>
          </w:tcPr>
          <w:p>
            <w:pPr>
              <w:adjustRightInd w:val="0"/>
              <w:snapToGrid w:val="0"/>
              <w:spacing w:line="360" w:lineRule="auto"/>
              <w:jc w:val="left"/>
              <w:rPr>
                <w:rFonts w:hAnsi="宋体"/>
                <w:kern w:val="0"/>
                <w:szCs w:val="21"/>
              </w:rPr>
            </w:pPr>
            <w:r>
              <w:rPr>
                <w:rFonts w:hint="eastAsia"/>
                <w:color w:val="FF0000"/>
                <w:szCs w:val="21"/>
              </w:rPr>
              <w:t>★</w:t>
            </w:r>
            <w:r>
              <w:rPr>
                <w:rFonts w:hint="eastAsia" w:ascii="宋体" w:hAnsi="宋体"/>
                <w:color w:val="FF0000"/>
              </w:rPr>
              <w:t>完全满足本项目其他★标记条款的要求。</w:t>
            </w:r>
          </w:p>
        </w:tc>
        <w:tc>
          <w:tcPr>
            <w:tcW w:w="1588" w:type="dxa"/>
          </w:tcPr>
          <w:p>
            <w:pPr>
              <w:adjustRightInd w:val="0"/>
              <w:snapToGrid w:val="0"/>
              <w:spacing w:line="360" w:lineRule="auto"/>
              <w:rPr>
                <w:rFonts w:ascii="宋体" w:hAnsi="宋体"/>
                <w:kern w:val="0"/>
                <w:szCs w:val="21"/>
              </w:rPr>
            </w:pPr>
          </w:p>
        </w:tc>
        <w:tc>
          <w:tcPr>
            <w:tcW w:w="1842" w:type="dxa"/>
          </w:tcPr>
          <w:p>
            <w:pPr>
              <w:adjustRightInd w:val="0"/>
              <w:snapToGrid w:val="0"/>
              <w:spacing w:line="360" w:lineRule="auto"/>
              <w:rPr>
                <w:rFonts w:ascii="宋体" w:hAnsi="宋体"/>
                <w:kern w:val="0"/>
                <w:szCs w:val="21"/>
              </w:rPr>
            </w:pPr>
          </w:p>
        </w:tc>
        <w:tc>
          <w:tcPr>
            <w:tcW w:w="1418" w:type="dxa"/>
          </w:tcPr>
          <w:p>
            <w:pPr>
              <w:adjustRightInd w:val="0"/>
              <w:snapToGrid w:val="0"/>
              <w:spacing w:line="360" w:lineRule="auto"/>
              <w:rPr>
                <w:rFonts w:ascii="宋体" w:hAnsi="宋体"/>
                <w:kern w:val="0"/>
                <w:szCs w:val="21"/>
              </w:rPr>
            </w:pPr>
          </w:p>
        </w:tc>
      </w:tr>
    </w:tbl>
    <w:p>
      <w:pPr>
        <w:ind w:firstLine="481" w:firstLineChars="200"/>
        <w:rPr>
          <w:b/>
          <w:sz w:val="24"/>
          <w:szCs w:val="22"/>
        </w:rPr>
      </w:pPr>
      <w:r>
        <w:rPr>
          <w:rFonts w:hint="eastAsia"/>
          <w:b/>
          <w:sz w:val="24"/>
          <w:szCs w:val="22"/>
        </w:rPr>
        <w:t>注：1.上表所列各项均为不可负偏离条款。</w:t>
      </w:r>
    </w:p>
    <w:p>
      <w:pPr>
        <w:ind w:firstLine="481" w:firstLineChars="200"/>
        <w:rPr>
          <w:b/>
          <w:sz w:val="24"/>
          <w:szCs w:val="22"/>
        </w:rPr>
      </w:pPr>
      <w:r>
        <w:rPr>
          <w:rFonts w:hint="eastAsia"/>
          <w:b/>
          <w:sz w:val="24"/>
          <w:szCs w:val="22"/>
        </w:rPr>
        <w:t>2.“投标响应”一栏应当详细填写投标人自身响应情况，而不能不合理照搬照抄实质性条款具体内容。</w:t>
      </w:r>
    </w:p>
    <w:p>
      <w:pPr>
        <w:ind w:firstLine="481" w:firstLineChars="200"/>
        <w:rPr>
          <w:b/>
          <w:sz w:val="24"/>
          <w:szCs w:val="22"/>
        </w:rPr>
      </w:pPr>
      <w:r>
        <w:rPr>
          <w:rFonts w:hint="eastAsia"/>
          <w:b/>
          <w:sz w:val="24"/>
          <w:szCs w:val="22"/>
        </w:rPr>
        <w:t>3</w:t>
      </w:r>
      <w:r>
        <w:rPr>
          <w:b/>
          <w:sz w:val="24"/>
          <w:szCs w:val="22"/>
        </w:rPr>
        <w:t>.</w:t>
      </w:r>
      <w:r>
        <w:rPr>
          <w:rFonts w:hint="eastAsia"/>
          <w:b/>
          <w:sz w:val="24"/>
          <w:szCs w:val="22"/>
        </w:rPr>
        <w:t>“偏离情况”一栏应填写“正偏离”“负偏离”或“无偏离”，</w:t>
      </w:r>
      <w:r>
        <w:rPr>
          <w:rFonts w:hint="eastAsia"/>
          <w:b/>
          <w:sz w:val="24"/>
        </w:rPr>
        <w:t>“正偏离”表示“投标响应优于实质性条款具体内容要求”，“负偏离”表示“投标响应不满足实质性条款具体内容要求”，“无偏离”表示“投标响应与实质性条款具体内容要求一致”。</w:t>
      </w:r>
    </w:p>
    <w:p>
      <w:pPr>
        <w:ind w:firstLine="481" w:firstLineChars="200"/>
        <w:rPr>
          <w:b/>
          <w:sz w:val="24"/>
        </w:rPr>
      </w:pPr>
      <w:r>
        <w:rPr>
          <w:b/>
          <w:sz w:val="24"/>
        </w:rPr>
        <w:t>4.</w:t>
      </w:r>
      <w:r>
        <w:rPr>
          <w:rFonts w:hint="eastAsia"/>
          <w:b/>
          <w:sz w:val="24"/>
        </w:rPr>
        <w:t>评审委员会有权对投标响应情况作出判断（作出评审结论）。</w:t>
      </w:r>
    </w:p>
    <w:p>
      <w:pPr>
        <w:ind w:firstLine="481" w:firstLineChars="200"/>
        <w:rPr>
          <w:b/>
          <w:sz w:val="24"/>
          <w:szCs w:val="22"/>
        </w:rPr>
      </w:pPr>
      <w:r>
        <w:rPr>
          <w:b/>
          <w:sz w:val="24"/>
          <w:szCs w:val="22"/>
        </w:rPr>
        <w:t>5</w:t>
      </w:r>
      <w:r>
        <w:rPr>
          <w:rFonts w:hint="eastAsia"/>
          <w:b/>
          <w:sz w:val="24"/>
          <w:szCs w:val="22"/>
        </w:rPr>
        <w:t>.要求提供证明资料，在“说明”一栏中列明证明资料的位置，以便评审；未要求提供证明材料的，投标人可以不提供。</w:t>
      </w:r>
    </w:p>
    <w:p>
      <w:pPr>
        <w:ind w:firstLine="420" w:firstLineChars="200"/>
      </w:pPr>
    </w:p>
    <w:p>
      <w:pPr>
        <w:rPr>
          <w:b/>
          <w:bCs/>
          <w:sz w:val="24"/>
        </w:rPr>
      </w:pPr>
    </w:p>
    <w:p>
      <w:pPr>
        <w:pStyle w:val="5"/>
        <w:jc w:val="center"/>
        <w:rPr>
          <w:rFonts w:hint="eastAsia" w:ascii="黑体" w:eastAsia="黑体"/>
          <w:b w:val="0"/>
          <w:bCs w:val="0"/>
          <w:sz w:val="24"/>
          <w:szCs w:val="20"/>
        </w:rPr>
      </w:pPr>
      <w:r>
        <w:rPr>
          <w:rFonts w:hint="eastAsia" w:ascii="黑体" w:eastAsia="黑体"/>
          <w:b w:val="0"/>
          <w:bCs w:val="0"/>
          <w:sz w:val="24"/>
          <w:szCs w:val="20"/>
        </w:rPr>
        <w:t>六、实施方案</w:t>
      </w:r>
    </w:p>
    <w:p>
      <w:pPr>
        <w:jc w:val="center"/>
        <w:rPr>
          <w:rFonts w:ascii="宋体" w:hAnsi="宋体" w:cs="宋体"/>
          <w:b/>
          <w:bCs/>
          <w:szCs w:val="21"/>
        </w:rPr>
      </w:pPr>
      <w:r>
        <w:rPr>
          <w:rFonts w:hint="eastAsia" w:ascii="宋体" w:hAnsi="宋体" w:cs="宋体"/>
          <w:b/>
          <w:bCs/>
          <w:szCs w:val="21"/>
        </w:rPr>
        <w:t>实施方案承诺函</w:t>
      </w:r>
    </w:p>
    <w:p>
      <w:pPr>
        <w:spacing w:line="360" w:lineRule="auto"/>
        <w:rPr>
          <w:rFonts w:ascii="宋体" w:hAnsi="宋体"/>
          <w:szCs w:val="21"/>
        </w:rPr>
      </w:pPr>
      <w:r>
        <w:rPr>
          <w:rFonts w:hint="eastAsia" w:ascii="宋体" w:hAnsi="宋体"/>
          <w:szCs w:val="21"/>
        </w:rPr>
        <w:t>致：</w:t>
      </w:r>
      <w:r>
        <w:rPr>
          <w:rFonts w:hint="eastAsia" w:ascii="宋体" w:hAnsi="宋体"/>
          <w:szCs w:val="21"/>
          <w:u w:val="single"/>
        </w:rPr>
        <w:t xml:space="preserve">  深圳公共资源交易中心 </w:t>
      </w:r>
    </w:p>
    <w:p>
      <w:pPr>
        <w:widowControl/>
        <w:spacing w:line="360" w:lineRule="auto"/>
        <w:ind w:firstLine="424" w:firstLineChars="202"/>
        <w:jc w:val="left"/>
        <w:rPr>
          <w:rFonts w:ascii="宋体" w:hAnsi="宋体" w:cs="宋体"/>
          <w:bCs/>
          <w:kern w:val="0"/>
          <w:szCs w:val="21"/>
        </w:rPr>
      </w:pPr>
      <w:r>
        <w:rPr>
          <w:rFonts w:hint="eastAsia" w:ascii="宋体" w:hAnsi="宋体" w:cs="宋体"/>
          <w:bCs/>
          <w:kern w:val="0"/>
          <w:szCs w:val="21"/>
        </w:rPr>
        <w:t>我公司承诺：</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根据招标文件要求，我公司承诺响应如下：</w:t>
      </w:r>
    </w:p>
    <w:p>
      <w:pPr>
        <w:widowControl/>
        <w:spacing w:line="360" w:lineRule="auto"/>
        <w:ind w:firstLine="425" w:firstLineChars="202"/>
        <w:jc w:val="left"/>
        <w:rPr>
          <w:rFonts w:ascii="宋体" w:hAnsi="宋体" w:cs="宋体"/>
          <w:b/>
          <w:bCs/>
          <w:kern w:val="0"/>
          <w:szCs w:val="21"/>
        </w:rPr>
      </w:pPr>
      <w:r>
        <w:rPr>
          <w:rFonts w:hint="eastAsia" w:ascii="宋体" w:hAnsi="宋体" w:cs="宋体"/>
          <w:b/>
          <w:bCs/>
          <w:kern w:val="0"/>
          <w:szCs w:val="21"/>
        </w:rPr>
        <w:t>一、人员管理、培训方案</w:t>
      </w:r>
    </w:p>
    <w:p>
      <w:pPr>
        <w:widowControl/>
        <w:spacing w:line="360" w:lineRule="auto"/>
        <w:ind w:firstLine="425" w:firstLineChars="202"/>
        <w:jc w:val="left"/>
        <w:rPr>
          <w:rFonts w:ascii="宋体" w:hAnsi="宋体" w:cs="宋体"/>
          <w:b/>
          <w:bCs/>
          <w:kern w:val="0"/>
          <w:szCs w:val="21"/>
        </w:rPr>
      </w:pPr>
      <w:r>
        <w:rPr>
          <w:rFonts w:hint="eastAsia" w:ascii="宋体" w:hAnsi="宋体" w:cs="宋体"/>
          <w:b/>
          <w:bCs/>
          <w:kern w:val="0"/>
          <w:szCs w:val="21"/>
        </w:rPr>
        <w:t>（一）员工管理</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除招标文件要求的作业人员配置要求外，承诺中标后制定含如下内容的员工管理方案：</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1</w:t>
      </w:r>
      <w:r>
        <w:rPr>
          <w:rFonts w:ascii="宋体" w:hAnsi="宋体" w:cs="宋体"/>
          <w:kern w:val="0"/>
          <w:szCs w:val="21"/>
        </w:rPr>
        <w:t>.明确员工日常管理要求</w:t>
      </w:r>
      <w:r>
        <w:rPr>
          <w:rFonts w:hint="eastAsia" w:ascii="宋体" w:hAnsi="宋体" w:cs="宋体"/>
          <w:kern w:val="0"/>
          <w:szCs w:val="21"/>
        </w:rPr>
        <w:t>。</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2</w:t>
      </w:r>
      <w:r>
        <w:rPr>
          <w:rFonts w:ascii="宋体" w:hAnsi="宋体" w:cs="宋体"/>
          <w:kern w:val="0"/>
          <w:szCs w:val="21"/>
        </w:rPr>
        <w:t>.明确不同管理及作业人员岗位职责、工作内容并提供分岗位职责明细表</w:t>
      </w:r>
      <w:r>
        <w:rPr>
          <w:rFonts w:hint="eastAsia" w:ascii="宋体" w:hAnsi="宋体" w:cs="宋体"/>
          <w:kern w:val="0"/>
          <w:szCs w:val="21"/>
        </w:rPr>
        <w:t>。</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3</w:t>
      </w:r>
      <w:r>
        <w:rPr>
          <w:rFonts w:ascii="宋体" w:hAnsi="宋体" w:cs="宋体"/>
          <w:kern w:val="0"/>
          <w:szCs w:val="21"/>
        </w:rPr>
        <w:t>.明确作业人员排班、交接班安排，且符合劳动保障相关法律要求。</w:t>
      </w:r>
    </w:p>
    <w:p>
      <w:pPr>
        <w:widowControl/>
        <w:spacing w:line="360" w:lineRule="auto"/>
        <w:ind w:firstLine="425" w:firstLineChars="202"/>
        <w:jc w:val="left"/>
        <w:rPr>
          <w:rFonts w:ascii="宋体" w:hAnsi="宋体" w:cs="宋体"/>
          <w:b/>
          <w:bCs/>
          <w:kern w:val="0"/>
          <w:szCs w:val="21"/>
        </w:rPr>
      </w:pPr>
      <w:r>
        <w:rPr>
          <w:rFonts w:hint="eastAsia" w:ascii="宋体" w:hAnsi="宋体" w:cs="宋体"/>
          <w:b/>
          <w:bCs/>
          <w:kern w:val="0"/>
          <w:szCs w:val="21"/>
        </w:rPr>
        <w:t>（二）员工培训</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承诺中标后对本项目人员制定含如下内容的培训方案，并按项目需求落实员工培训制度：</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1.培训类别；2.培训内容；3.培训对象；4.培训频次；5.培训考核及奖惩机制；6.培训台账管理。</w:t>
      </w:r>
    </w:p>
    <w:p>
      <w:pPr>
        <w:widowControl/>
        <w:spacing w:line="360" w:lineRule="auto"/>
        <w:ind w:firstLine="425" w:firstLineChars="202"/>
        <w:jc w:val="left"/>
        <w:rPr>
          <w:rFonts w:ascii="宋体" w:hAnsi="宋体" w:cs="宋体"/>
          <w:b/>
          <w:bCs/>
          <w:kern w:val="0"/>
          <w:szCs w:val="21"/>
        </w:rPr>
      </w:pPr>
      <w:r>
        <w:rPr>
          <w:rFonts w:hint="eastAsia" w:ascii="宋体" w:hAnsi="宋体" w:cs="宋体"/>
          <w:b/>
          <w:bCs/>
          <w:kern w:val="0"/>
          <w:szCs w:val="21"/>
        </w:rPr>
        <w:t>二、安全应急方案</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承诺中标后对本项目制定含如下内容的安全应急方案：</w:t>
      </w:r>
    </w:p>
    <w:p>
      <w:pPr>
        <w:widowControl/>
        <w:spacing w:line="360" w:lineRule="auto"/>
        <w:ind w:firstLine="424" w:firstLineChars="202"/>
        <w:jc w:val="left"/>
        <w:rPr>
          <w:rFonts w:ascii="宋体" w:hAnsi="宋体" w:cs="宋体"/>
          <w:kern w:val="0"/>
          <w:szCs w:val="21"/>
        </w:rPr>
      </w:pPr>
      <w:r>
        <w:rPr>
          <w:rFonts w:ascii="宋体" w:hAnsi="宋体" w:cs="宋体"/>
          <w:kern w:val="0"/>
          <w:szCs w:val="21"/>
        </w:rPr>
        <w:t>1.</w:t>
      </w:r>
      <w:r>
        <w:rPr>
          <w:rFonts w:hint="eastAsia" w:ascii="宋体" w:hAnsi="宋体" w:cs="宋体"/>
          <w:kern w:val="0"/>
          <w:szCs w:val="21"/>
        </w:rPr>
        <w:t>方案内容</w:t>
      </w:r>
      <w:r>
        <w:rPr>
          <w:rFonts w:ascii="宋体" w:hAnsi="宋体" w:cs="宋体"/>
          <w:kern w:val="0"/>
          <w:szCs w:val="21"/>
        </w:rPr>
        <w:t>包含①组织机构（安全生产管理组织机构、安全生产应急处置组织机构、消防安全领导小组组织机构）、②全员安全生产责任制、③环卫作业安全操作要求、④环卫作业安全设施设备配置、⑤环卫安全检查制度、⑥安全考核奖惩机制</w:t>
      </w:r>
      <w:r>
        <w:rPr>
          <w:rFonts w:hint="eastAsia" w:ascii="宋体" w:hAnsi="宋体" w:cs="宋体"/>
          <w:kern w:val="0"/>
          <w:szCs w:val="21"/>
        </w:rPr>
        <w:t>。</w:t>
      </w:r>
    </w:p>
    <w:p>
      <w:pPr>
        <w:widowControl/>
        <w:spacing w:line="360" w:lineRule="auto"/>
        <w:ind w:firstLine="424" w:firstLineChars="202"/>
        <w:jc w:val="left"/>
        <w:rPr>
          <w:rFonts w:ascii="宋体" w:hAnsi="宋体" w:cs="宋体"/>
          <w:kern w:val="0"/>
          <w:szCs w:val="21"/>
        </w:rPr>
      </w:pPr>
      <w:r>
        <w:rPr>
          <w:rFonts w:ascii="宋体" w:hAnsi="宋体" w:cs="宋体"/>
          <w:kern w:val="0"/>
          <w:szCs w:val="21"/>
        </w:rPr>
        <w:t>2.制定各类突发事件及大型活动的应急预案，明确应急作业人员调配及应急车辆、设备配置。</w:t>
      </w:r>
    </w:p>
    <w:p>
      <w:pPr>
        <w:widowControl/>
        <w:spacing w:line="360" w:lineRule="auto"/>
        <w:ind w:firstLine="424" w:firstLineChars="202"/>
        <w:jc w:val="left"/>
        <w:rPr>
          <w:rFonts w:ascii="宋体" w:hAnsi="宋体" w:cs="宋体"/>
          <w:kern w:val="0"/>
          <w:szCs w:val="21"/>
        </w:rPr>
      </w:pPr>
      <w:r>
        <w:rPr>
          <w:rFonts w:ascii="宋体" w:hAnsi="宋体" w:cs="宋体"/>
          <w:kern w:val="0"/>
          <w:szCs w:val="21"/>
        </w:rPr>
        <w:t>3.承诺严格落实安全生产和突发应急处置制度</w:t>
      </w:r>
      <w:r>
        <w:rPr>
          <w:rFonts w:hint="eastAsia" w:ascii="宋体" w:hAnsi="宋体" w:cs="宋体"/>
          <w:kern w:val="0"/>
          <w:szCs w:val="21"/>
        </w:rPr>
        <w:t>，</w:t>
      </w:r>
      <w:r>
        <w:rPr>
          <w:rFonts w:ascii="宋体" w:hAnsi="宋体" w:cs="宋体"/>
          <w:kern w:val="0"/>
          <w:szCs w:val="21"/>
        </w:rPr>
        <w:t>明确全员安全生产责任制，并全员签订安全生产责任书。按照相关法律法规和各级环卫管理部门的要求落实安全生产管理台账制定和管理工作。严格按照突发事件及大型活动的应急预案，结合实际情况，迅速、正确地处置台风、暴雨水浸、断电等突发事件和大型活动。如面对突发事件或有重大活动等应急任务时，需要额外配备车辆、设备和作业人员的，积极予以配置。</w:t>
      </w:r>
    </w:p>
    <w:p>
      <w:pPr>
        <w:widowControl/>
        <w:spacing w:line="360" w:lineRule="auto"/>
        <w:ind w:firstLine="425" w:firstLineChars="202"/>
        <w:jc w:val="left"/>
        <w:rPr>
          <w:rFonts w:ascii="宋体" w:hAnsi="宋体" w:cs="宋体"/>
          <w:b/>
          <w:bCs/>
          <w:kern w:val="0"/>
          <w:szCs w:val="21"/>
        </w:rPr>
      </w:pPr>
      <w:r>
        <w:rPr>
          <w:rFonts w:hint="eastAsia" w:ascii="宋体" w:hAnsi="宋体" w:cs="宋体"/>
          <w:b/>
          <w:bCs/>
          <w:kern w:val="0"/>
          <w:szCs w:val="21"/>
        </w:rPr>
        <w:t>三、员工福利待遇保障承诺函</w:t>
      </w:r>
    </w:p>
    <w:p>
      <w:pPr>
        <w:spacing w:line="360" w:lineRule="exact"/>
        <w:ind w:firstLine="420" w:firstLineChars="200"/>
      </w:pPr>
      <w:r>
        <w:rPr>
          <w:rFonts w:hint="eastAsia"/>
        </w:rPr>
        <w:t>（一）我单位中标后，将按照国家、省、市发布的最新劳动待遇保障法律法规要求及时足额发放员工基本工资、</w:t>
      </w:r>
      <w:r>
        <w:t>加班工资、</w:t>
      </w:r>
      <w:r>
        <w:rPr>
          <w:szCs w:val="22"/>
        </w:rPr>
        <w:t>岗位津贴</w:t>
      </w:r>
      <w:r>
        <w:rPr>
          <w:rFonts w:hint="eastAsia"/>
          <w:szCs w:val="22"/>
        </w:rPr>
        <w:t>、</w:t>
      </w:r>
      <w:r>
        <w:rPr>
          <w:szCs w:val="22"/>
        </w:rPr>
        <w:t>社保</w:t>
      </w:r>
      <w:r>
        <w:rPr>
          <w:rFonts w:hint="eastAsia"/>
          <w:szCs w:val="22"/>
        </w:rPr>
        <w:t>公积金</w:t>
      </w:r>
      <w:r>
        <w:rPr>
          <w:szCs w:val="22"/>
        </w:rPr>
        <w:t>、福利（包括</w:t>
      </w:r>
      <w:r>
        <w:rPr>
          <w:rFonts w:hint="eastAsia"/>
          <w:szCs w:val="22"/>
        </w:rPr>
        <w:t>住房补贴</w:t>
      </w:r>
      <w:r>
        <w:rPr>
          <w:szCs w:val="22"/>
        </w:rPr>
        <w:t>、人身意外伤害保险、经济补偿金等）</w:t>
      </w:r>
      <w:r>
        <w:rPr>
          <w:rFonts w:hint="eastAsia"/>
        </w:rPr>
        <w:t>。</w:t>
      </w:r>
    </w:p>
    <w:p>
      <w:pPr>
        <w:spacing w:line="360" w:lineRule="exact"/>
        <w:ind w:firstLine="420" w:firstLineChars="200"/>
      </w:pPr>
      <w:r>
        <w:rPr>
          <w:rFonts w:hint="eastAsia"/>
        </w:rPr>
        <w:t>（二）我单位中标后，将为所有员工购买商业险（人身意外伤害保险和雇主责任险），商业险保额合计不低于每人每年</w:t>
      </w:r>
      <w:r>
        <w:rPr>
          <w:rFonts w:hint="eastAsia"/>
          <w:lang w:val="en-US" w:eastAsia="zh-CN"/>
        </w:rPr>
        <w:t>50</w:t>
      </w:r>
      <w:r>
        <w:rPr>
          <w:rFonts w:hint="eastAsia"/>
        </w:rPr>
        <w:t>万元，且人身意外伤害保险的受益人为被保险人</w:t>
      </w:r>
      <w:r>
        <w:t>。</w:t>
      </w:r>
    </w:p>
    <w:p>
      <w:pPr>
        <w:spacing w:line="360" w:lineRule="exact"/>
        <w:ind w:firstLine="420" w:firstLineChars="200"/>
      </w:pPr>
      <w:r>
        <w:rPr>
          <w:rFonts w:hint="eastAsia"/>
        </w:rPr>
        <w:t>（三）我单位中标后，将通过</w:t>
      </w:r>
      <w:r>
        <w:t>____________________[</w:t>
      </w:r>
      <w:r>
        <w:rPr>
          <w:rFonts w:hint="eastAsia"/>
        </w:rPr>
        <w:t>填写可操作的住房保障方式，如供靠近工作地点的一线环卫工人廉租宿舍，或者发放住（租）房补贴每人每月不低于</w:t>
      </w:r>
      <w:r>
        <w:rPr>
          <w:u w:val="single"/>
        </w:rPr>
        <w:t>300</w:t>
      </w:r>
      <w:r>
        <w:rPr>
          <w:rFonts w:hint="eastAsia"/>
        </w:rPr>
        <w:t>元等</w:t>
      </w:r>
      <w:r>
        <w:t>]</w:t>
      </w:r>
      <w:r>
        <w:rPr>
          <w:rFonts w:hint="eastAsia"/>
        </w:rPr>
        <w:t>的方式落实一线环卫工人住房保障。</w:t>
      </w:r>
    </w:p>
    <w:p>
      <w:pPr>
        <w:spacing w:line="360" w:lineRule="exact"/>
        <w:ind w:firstLine="420" w:firstLineChars="200"/>
        <w:rPr>
          <w:rFonts w:ascii="宋体" w:hAnsi="宋体" w:cs="宋体"/>
          <w:b/>
          <w:bCs/>
          <w:kern w:val="0"/>
          <w:szCs w:val="21"/>
        </w:rPr>
      </w:pPr>
      <w:r>
        <w:rPr>
          <w:rFonts w:hint="eastAsia"/>
        </w:rPr>
        <w:t>（四）我单位中标后，</w:t>
      </w:r>
      <w:r>
        <w:rPr>
          <w:rFonts w:hint="eastAsia" w:ascii="宋体" w:hAnsi="宋体" w:cs="宋体"/>
          <w:bCs/>
          <w:color w:val="000000"/>
          <w:szCs w:val="21"/>
        </w:rPr>
        <w:t>按深圳市相关标准为一线环卫工人</w:t>
      </w:r>
      <w:r>
        <w:rPr>
          <w:rFonts w:hint="eastAsia"/>
        </w:rPr>
        <w:t>免费配备工作服，每年至少提供</w:t>
      </w:r>
      <w:r>
        <w:t>1</w:t>
      </w:r>
      <w:r>
        <w:rPr>
          <w:rFonts w:hint="eastAsia"/>
        </w:rPr>
        <w:t>次免费体检。</w:t>
      </w:r>
    </w:p>
    <w:p>
      <w:pPr>
        <w:widowControl/>
        <w:spacing w:line="360" w:lineRule="auto"/>
        <w:ind w:firstLine="425" w:firstLineChars="202"/>
        <w:jc w:val="left"/>
        <w:rPr>
          <w:rFonts w:ascii="宋体" w:hAnsi="宋体" w:cs="宋体"/>
          <w:b/>
          <w:bCs/>
          <w:kern w:val="0"/>
          <w:szCs w:val="21"/>
        </w:rPr>
      </w:pPr>
      <w:r>
        <w:rPr>
          <w:rFonts w:hint="eastAsia" w:ascii="宋体" w:hAnsi="宋体" w:cs="宋体"/>
          <w:b/>
          <w:bCs/>
          <w:kern w:val="0"/>
          <w:szCs w:val="21"/>
        </w:rPr>
        <w:t>四、作业方案</w:t>
      </w:r>
    </w:p>
    <w:p>
      <w:pPr>
        <w:widowControl/>
        <w:spacing w:line="360" w:lineRule="auto"/>
        <w:ind w:firstLine="425" w:firstLineChars="202"/>
        <w:jc w:val="left"/>
        <w:rPr>
          <w:rFonts w:ascii="宋体" w:hAnsi="宋体" w:cs="宋体"/>
          <w:b/>
          <w:bCs/>
          <w:kern w:val="0"/>
          <w:szCs w:val="21"/>
        </w:rPr>
      </w:pPr>
      <w:r>
        <w:rPr>
          <w:rFonts w:hint="eastAsia" w:ascii="宋体" w:hAnsi="宋体" w:cs="宋体"/>
          <w:b/>
          <w:bCs/>
          <w:kern w:val="0"/>
          <w:szCs w:val="21"/>
        </w:rPr>
        <w:t>（一）市政清扫保洁作业方案</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承诺中标后按如下要求提供作业方案，并在采购人提出修改意见时，积极做出相应的修改：</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1.</w:t>
      </w:r>
      <w:r>
        <w:rPr>
          <w:rFonts w:ascii="宋体" w:hAnsi="宋体" w:cs="宋体"/>
          <w:kern w:val="0"/>
          <w:szCs w:val="21"/>
        </w:rPr>
        <w:t>针对本项目道路清扫保洁服务区域开展作业重难点分析，并提出对应措施。</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2.</w:t>
      </w:r>
      <w:r>
        <w:rPr>
          <w:rFonts w:ascii="宋体" w:hAnsi="宋体" w:cs="宋体"/>
          <w:kern w:val="0"/>
          <w:szCs w:val="21"/>
        </w:rPr>
        <w:t>根据《公共区域环境卫生质量和管理要求》</w:t>
      </w:r>
      <w:r>
        <w:rPr>
          <w:rFonts w:hint="eastAsia" w:ascii="宋体" w:hAnsi="宋体" w:cs="宋体"/>
          <w:kern w:val="0"/>
          <w:szCs w:val="21"/>
        </w:rPr>
        <w:t>及招标文件</w:t>
      </w:r>
      <w:r>
        <w:rPr>
          <w:rFonts w:ascii="宋体" w:hAnsi="宋体" w:cs="宋体"/>
          <w:kern w:val="0"/>
          <w:szCs w:val="21"/>
        </w:rPr>
        <w:t>相应要求明确本项目人工及机械化清扫保洁方案，包含①道路清扫保洁所需环卫作业车辆及环卫机械化设备配置安排、各服务路段的人力配置安排、车辆停放场所；②道路人工清扫保洁作业方案；③道路机械化清扫保洁作业方案；④道路机械化冲洗保洁作业方案；⑤道路机械化洒水作业方案；⑥环卫设施、绿化隔离带及其他公共设施保洁作业方案。</w:t>
      </w:r>
    </w:p>
    <w:p>
      <w:pPr>
        <w:spacing w:line="360" w:lineRule="auto"/>
        <w:ind w:firstLine="424" w:firstLineChars="202"/>
        <w:rPr>
          <w:rFonts w:ascii="宋体" w:hAnsi="宋体" w:cs="宋体"/>
          <w:kern w:val="0"/>
          <w:szCs w:val="21"/>
        </w:rPr>
      </w:pPr>
      <w:r>
        <w:rPr>
          <w:rFonts w:hint="eastAsia" w:ascii="宋体" w:hAnsi="宋体" w:cs="宋体"/>
          <w:kern w:val="0"/>
          <w:szCs w:val="21"/>
        </w:rPr>
        <w:t>3.</w:t>
      </w:r>
      <w:r>
        <w:rPr>
          <w:rFonts w:ascii="宋体" w:hAnsi="宋体" w:cs="宋体"/>
          <w:kern w:val="0"/>
          <w:szCs w:val="21"/>
        </w:rPr>
        <w:t>明确质量监督保障措施，建立环卫服务质量监督检查考核机制和方案，明确台账管理工作。</w:t>
      </w:r>
    </w:p>
    <w:p>
      <w:pPr>
        <w:spacing w:line="360" w:lineRule="auto"/>
        <w:ind w:firstLine="425" w:firstLineChars="202"/>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（二）垃圾收运作业方案</w:t>
      </w:r>
    </w:p>
    <w:p>
      <w:pPr>
        <w:spacing w:line="360" w:lineRule="auto"/>
        <w:ind w:firstLine="424" w:firstLineChars="202"/>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制定完整、可行、详细的垃圾清运服务组织实施方案，垃圾收运实施方案至少应包括资源的合理配置、环卫车辆与环卫设备的配备和人员详细情况、各片区垃圾收集方式及收集次数、作业时间、质量标准、检查考核办法、安全措施、奖惩措施等内容。</w:t>
      </w:r>
    </w:p>
    <w:p>
      <w:pPr>
        <w:spacing w:line="360" w:lineRule="auto"/>
        <w:ind w:firstLine="424" w:firstLineChars="202"/>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2.制订服务组织实施方案时，应充分结合本项目的收运点分布情况，考虑各片区的垃圾产生量及收运等实际情况。</w:t>
      </w:r>
    </w:p>
    <w:p>
      <w:pPr>
        <w:spacing w:line="360" w:lineRule="auto"/>
        <w:ind w:firstLine="425" w:firstLineChars="202"/>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（三）市政公厕管理维护方案</w:t>
      </w:r>
    </w:p>
    <w:p>
      <w:pPr>
        <w:spacing w:line="360" w:lineRule="auto"/>
        <w:ind w:firstLine="424" w:firstLineChars="202"/>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制定详细的市政公厕管理维护方案，包括作业时间、质量标准、检查考核办法、安全措施、奖惩措施及公厕的管理和维护等内容。</w:t>
      </w:r>
    </w:p>
    <w:p>
      <w:pPr>
        <w:spacing w:line="360" w:lineRule="auto"/>
        <w:ind w:firstLine="425" w:firstLineChars="202"/>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（四）环卫迎检及应急预案</w:t>
      </w:r>
    </w:p>
    <w:p>
      <w:pPr>
        <w:spacing w:line="360" w:lineRule="auto"/>
        <w:ind w:firstLine="424" w:firstLineChars="202"/>
        <w:rPr>
          <w:rFonts w:ascii="宋体" w:hAnsi="宋体" w:cs="宋体"/>
          <w:b/>
          <w:bCs/>
          <w:kern w:val="0"/>
          <w:szCs w:val="21"/>
        </w:rPr>
      </w:pPr>
      <w:r>
        <w:rPr>
          <w:rFonts w:hint="eastAsia" w:asciiTheme="minorEastAsia" w:hAnsiTheme="minorEastAsia" w:eastAsiaTheme="minorEastAsia" w:cstheme="minorEastAsia"/>
          <w:szCs w:val="21"/>
        </w:rPr>
        <w:t>预案内容包括出现台风、暴雨水浸、断电、等突发事件，或有迎检及重大活动等应急任务时，调配一定数量人员进行清扫保洁或调配一定数量的应急垃圾压缩（机）箱、桶装垃圾运输车、660L垃圾桶和380V动力发电机作为应急备用，并调配足够的应急作业人员以保障迎检工作、重大活动及突发事件的清扫保洁和垃圾清运任务的完成等内容。</w:t>
      </w:r>
    </w:p>
    <w:p>
      <w:pPr>
        <w:widowControl/>
        <w:spacing w:line="360" w:lineRule="auto"/>
        <w:ind w:firstLine="425" w:firstLineChars="202"/>
        <w:jc w:val="left"/>
        <w:rPr>
          <w:rFonts w:ascii="宋体" w:hAnsi="宋体" w:cs="宋体"/>
          <w:b/>
          <w:bCs/>
          <w:kern w:val="0"/>
          <w:szCs w:val="21"/>
        </w:rPr>
      </w:pPr>
      <w:r>
        <w:rPr>
          <w:rFonts w:hint="eastAsia" w:ascii="宋体" w:hAnsi="宋体" w:cs="宋体"/>
          <w:b/>
          <w:bCs/>
          <w:kern w:val="0"/>
          <w:szCs w:val="21"/>
        </w:rPr>
        <w:t>四、项目交接过渡方案</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承诺中标后按如下要求提供</w:t>
      </w:r>
      <w:r>
        <w:rPr>
          <w:rFonts w:ascii="宋体" w:hAnsi="宋体" w:cs="宋体"/>
          <w:kern w:val="0"/>
          <w:szCs w:val="21"/>
        </w:rPr>
        <w:t>合同交接过渡期（含合同始止期）方案</w:t>
      </w:r>
      <w:r>
        <w:rPr>
          <w:rFonts w:hint="eastAsia" w:ascii="宋体" w:hAnsi="宋体" w:cs="宋体"/>
          <w:kern w:val="0"/>
          <w:szCs w:val="21"/>
        </w:rPr>
        <w:t>：</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1</w:t>
      </w:r>
      <w:r>
        <w:rPr>
          <w:rFonts w:ascii="宋体" w:hAnsi="宋体" w:cs="宋体"/>
          <w:kern w:val="0"/>
          <w:szCs w:val="21"/>
        </w:rPr>
        <w:t>.内容包括人员、设备、配套管理服务到位的计划、实现措施、保障方法。</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2</w:t>
      </w:r>
      <w:r>
        <w:rPr>
          <w:rFonts w:ascii="宋体" w:hAnsi="宋体" w:cs="宋体"/>
          <w:kern w:val="0"/>
          <w:szCs w:val="21"/>
        </w:rPr>
        <w:t>.</w:t>
      </w:r>
      <w:r>
        <w:rPr>
          <w:rFonts w:hint="eastAsia" w:ascii="宋体" w:hAnsi="宋体" w:cs="宋体"/>
          <w:kern w:val="0"/>
          <w:szCs w:val="21"/>
        </w:rPr>
        <w:t>明确在本项目服务期即将开始时，做好相关服务的配备交接。</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3</w:t>
      </w:r>
      <w:r>
        <w:rPr>
          <w:rFonts w:ascii="宋体" w:hAnsi="宋体" w:cs="宋体"/>
          <w:kern w:val="0"/>
          <w:szCs w:val="21"/>
        </w:rPr>
        <w:t>.</w:t>
      </w:r>
      <w:r>
        <w:rPr>
          <w:rFonts w:hint="eastAsia" w:ascii="宋体" w:hAnsi="宋体" w:cs="宋体"/>
          <w:kern w:val="0"/>
          <w:szCs w:val="21"/>
        </w:rPr>
        <w:t>明确在本项目服务期即将结束时，保证过渡期服务品质质量。</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4</w:t>
      </w:r>
      <w:r>
        <w:rPr>
          <w:rFonts w:ascii="宋体" w:hAnsi="宋体" w:cs="宋体"/>
          <w:kern w:val="0"/>
          <w:szCs w:val="21"/>
        </w:rPr>
        <w:t>.</w:t>
      </w:r>
      <w:r>
        <w:rPr>
          <w:rFonts w:hint="eastAsia" w:ascii="宋体" w:hAnsi="宋体" w:cs="宋体"/>
          <w:kern w:val="0"/>
          <w:szCs w:val="21"/>
        </w:rPr>
        <w:t>明确在本项目服务期结束时，移交设施设备，配合新中标单位做好交接。</w:t>
      </w:r>
    </w:p>
    <w:p>
      <w:pPr>
        <w:widowControl/>
        <w:spacing w:line="360" w:lineRule="auto"/>
        <w:ind w:firstLine="425" w:firstLineChars="202"/>
        <w:jc w:val="left"/>
        <w:rPr>
          <w:rFonts w:ascii="宋体" w:hAnsi="宋体" w:cs="宋体"/>
          <w:b/>
          <w:bCs/>
          <w:kern w:val="0"/>
          <w:szCs w:val="21"/>
        </w:rPr>
      </w:pPr>
      <w:r>
        <w:rPr>
          <w:rFonts w:hint="eastAsia" w:ascii="宋体" w:hAnsi="宋体" w:cs="宋体"/>
          <w:b/>
          <w:bCs/>
          <w:kern w:val="0"/>
          <w:szCs w:val="21"/>
        </w:rPr>
        <w:t>五、环卫人工智能方案</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承诺中标后按如下要求提供环卫人工智能方案：</w:t>
      </w:r>
    </w:p>
    <w:p>
      <w:pPr>
        <w:spacing w:line="360" w:lineRule="auto"/>
        <w:ind w:firstLine="425" w:firstLineChars="202"/>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（一）人工智能环卫机器人协同人工作业方案</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1.技术方案：明确人工智能环卫机器人与人工协同作业方案，包括在标段的应用技术和应用方法，人工智能环卫机器人的特点和性能指标，并提供相关的技术资料。</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2.作业流程：明确人工智能环卫机器人及人工协同清扫作业的整体流程，包括设备调度、路线规划、作业执行等；给出清扫作业的时间安排和作业效率预测。</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3.装备和设备：列举并承诺配置的人工智能环卫机器人型号及其数量，并提供设备的性能参数和使用说明。</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4.数据分析与报告：明确人工智能环卫清扫作业数据的采集方式和存储方法，并提供清扫作业数据分析方法和报告。</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5.资金预算：提供人工智能环卫清扫作业所需的资金预算，包括设备采购、人员培训和维护等费用。</w:t>
      </w:r>
    </w:p>
    <w:p>
      <w:pPr>
        <w:spacing w:line="360" w:lineRule="auto"/>
        <w:ind w:firstLine="425" w:firstLineChars="202"/>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（二）人工智能作业区域质量方案</w:t>
      </w:r>
    </w:p>
    <w:p>
      <w:pPr>
        <w:spacing w:line="360" w:lineRule="auto"/>
        <w:ind w:firstLine="424" w:firstLineChars="202"/>
        <w:rPr>
          <w:rFonts w:ascii="宋体" w:hAnsi="宋体" w:cs="宋体"/>
          <w:kern w:val="0"/>
          <w:szCs w:val="21"/>
        </w:rPr>
      </w:pPr>
      <w:r>
        <w:rPr>
          <w:rFonts w:hint="eastAsia" w:ascii="宋体" w:hAnsi="宋体" w:cs="宋体"/>
          <w:bCs/>
          <w:color w:val="000000"/>
          <w:szCs w:val="21"/>
        </w:rPr>
        <w:t>明确人工智能作业区域的质量标准及质量要求，确保人工智能环卫机器人作业区域的清扫保洁质量不低于《公共区域环境卫生质量和管理要求》中的相关标准，建立人工智能环卫机器人作业质量监督检查机制，明确人工智能作业质量的管理措施。</w:t>
      </w:r>
    </w:p>
    <w:p>
      <w:pPr>
        <w:widowControl/>
        <w:spacing w:line="360" w:lineRule="auto"/>
        <w:ind w:firstLine="425" w:firstLineChars="202"/>
        <w:jc w:val="left"/>
        <w:rPr>
          <w:rFonts w:ascii="宋体" w:hAnsi="宋体" w:cs="宋体"/>
          <w:b/>
          <w:bCs/>
          <w:kern w:val="0"/>
          <w:szCs w:val="21"/>
        </w:rPr>
      </w:pPr>
      <w:r>
        <w:rPr>
          <w:rFonts w:hint="eastAsia" w:ascii="宋体" w:hAnsi="宋体" w:cs="宋体"/>
          <w:b/>
          <w:bCs/>
          <w:kern w:val="0"/>
          <w:szCs w:val="21"/>
        </w:rPr>
        <w:t>六、信息化管理方案</w:t>
      </w:r>
    </w:p>
    <w:p>
      <w:pPr>
        <w:widowControl/>
        <w:spacing w:line="360" w:lineRule="auto"/>
        <w:ind w:firstLine="424" w:firstLineChars="202"/>
        <w:jc w:val="left"/>
        <w:rPr>
          <w:rFonts w:ascii="宋体" w:hAnsi="宋体" w:cs="宋体"/>
          <w:kern w:val="0"/>
          <w:szCs w:val="21"/>
        </w:rPr>
      </w:pPr>
      <w:r>
        <w:rPr>
          <w:rFonts w:hint="eastAsia" w:ascii="宋体" w:hAnsi="宋体" w:cs="宋体"/>
          <w:kern w:val="0"/>
          <w:szCs w:val="21"/>
        </w:rPr>
        <w:t>承诺中标后，结合现有市、区环卫智慧化监管平台，采用信息化手段，为加强对本项目作业服务的管理，制定含如下内容的信息化管理方案：</w:t>
      </w:r>
    </w:p>
    <w:p>
      <w:pPr>
        <w:widowControl/>
        <w:spacing w:line="360" w:lineRule="auto"/>
        <w:ind w:firstLine="424" w:firstLineChars="202"/>
        <w:jc w:val="left"/>
        <w:rPr>
          <w:rFonts w:ascii="宋体" w:hAnsi="宋体" w:cs="宋体"/>
          <w:kern w:val="0"/>
          <w:szCs w:val="21"/>
        </w:rPr>
      </w:pPr>
      <w:r>
        <w:rPr>
          <w:rFonts w:ascii="宋体" w:hAnsi="宋体" w:cs="宋体"/>
          <w:kern w:val="0"/>
          <w:szCs w:val="21"/>
        </w:rPr>
        <w:t>1.配置至少1名本科或本科以上的专职信息化管理人员（或团队）。</w:t>
      </w:r>
    </w:p>
    <w:p>
      <w:pPr>
        <w:widowControl/>
        <w:spacing w:line="360" w:lineRule="auto"/>
        <w:ind w:firstLine="424" w:firstLineChars="202"/>
        <w:jc w:val="left"/>
        <w:rPr>
          <w:rFonts w:ascii="宋体" w:hAnsi="宋体" w:cs="宋体"/>
          <w:kern w:val="0"/>
          <w:szCs w:val="21"/>
        </w:rPr>
      </w:pPr>
      <w:r>
        <w:rPr>
          <w:rFonts w:ascii="宋体" w:hAnsi="宋体" w:cs="宋体"/>
          <w:kern w:val="0"/>
          <w:szCs w:val="21"/>
        </w:rPr>
        <w:t>2.针对一线环卫工人，方案包含环卫工人基本信息录入、排班情况、作业状态实时监管、带定位功能的智能穿戴设备情况、环卫工人出勤、考核、工资待遇、培训情况。</w:t>
      </w:r>
    </w:p>
    <w:p>
      <w:pPr>
        <w:widowControl/>
        <w:spacing w:line="360" w:lineRule="auto"/>
        <w:ind w:firstLine="424" w:firstLineChars="202"/>
        <w:jc w:val="left"/>
        <w:rPr>
          <w:rFonts w:ascii="宋体" w:hAnsi="宋体" w:cs="宋体"/>
          <w:kern w:val="0"/>
          <w:szCs w:val="21"/>
        </w:rPr>
      </w:pPr>
      <w:r>
        <w:rPr>
          <w:rFonts w:ascii="宋体" w:hAnsi="宋体" w:cs="宋体"/>
          <w:kern w:val="0"/>
          <w:szCs w:val="21"/>
        </w:rPr>
        <w:t>3.针对环卫设施设备，方案包含车辆基本信息录入、作业状态实时监管、定位设备、智能视频监控报警系统终端情况、车辆的出勤及作业量考核、车辆安全状况、车辆开卡情况。</w:t>
      </w:r>
    </w:p>
    <w:p>
      <w:pPr>
        <w:widowControl/>
        <w:spacing w:line="360" w:lineRule="auto"/>
        <w:ind w:firstLine="424" w:firstLineChars="202"/>
        <w:jc w:val="left"/>
        <w:rPr>
          <w:rFonts w:ascii="宋体" w:hAnsi="宋体" w:cs="宋体"/>
          <w:kern w:val="0"/>
          <w:szCs w:val="21"/>
        </w:rPr>
      </w:pPr>
      <w:r>
        <w:rPr>
          <w:rFonts w:ascii="宋体" w:hAnsi="宋体" w:cs="宋体"/>
          <w:kern w:val="0"/>
          <w:szCs w:val="21"/>
        </w:rPr>
        <w:t>4.针对市、区、街道的环卫巡查督办问题，方案体现对督办问题的响应整改，且对环境卫生问题频发的区域制定有效的管理措施，以确保环卫问题及时整改。</w:t>
      </w:r>
    </w:p>
    <w:p>
      <w:pPr>
        <w:widowControl/>
        <w:spacing w:line="360" w:lineRule="auto"/>
        <w:ind w:firstLine="424" w:firstLineChars="202"/>
        <w:jc w:val="left"/>
        <w:rPr>
          <w:rFonts w:ascii="宋体" w:hAnsi="宋体" w:cs="宋体"/>
          <w:kern w:val="0"/>
          <w:szCs w:val="21"/>
        </w:rPr>
      </w:pPr>
      <w:r>
        <w:rPr>
          <w:rFonts w:ascii="宋体" w:hAnsi="宋体" w:cs="宋体"/>
          <w:kern w:val="0"/>
          <w:szCs w:val="21"/>
        </w:rPr>
        <w:t>5.结合环卫信息化管理系统，制定相应的服务质量提升方案及措施。</w:t>
      </w:r>
    </w:p>
    <w:p>
      <w:pPr>
        <w:widowControl/>
        <w:spacing w:line="360" w:lineRule="auto"/>
        <w:ind w:firstLine="422"/>
        <w:jc w:val="left"/>
        <w:rPr>
          <w:rFonts w:ascii="宋体" w:hAnsi="宋体" w:cs="宋体"/>
          <w:b/>
          <w:bCs/>
          <w:kern w:val="0"/>
          <w:szCs w:val="21"/>
        </w:rPr>
      </w:pPr>
    </w:p>
    <w:p>
      <w:pPr>
        <w:widowControl/>
        <w:spacing w:line="360" w:lineRule="auto"/>
        <w:ind w:firstLine="4830" w:firstLineChars="2300"/>
        <w:jc w:val="left"/>
        <w:rPr>
          <w:rFonts w:ascii="宋体" w:hAnsi="宋体" w:cs="宋体"/>
          <w:kern w:val="0"/>
          <w:szCs w:val="21"/>
        </w:rPr>
      </w:pPr>
      <w:r>
        <w:rPr>
          <w:rFonts w:hint="eastAsia" w:ascii="宋体" w:hAnsi="宋体" w:cs="宋体"/>
          <w:kern w:val="0"/>
          <w:szCs w:val="21"/>
        </w:rPr>
        <w:t>投标人：</w:t>
      </w:r>
    </w:p>
    <w:p>
      <w:pPr>
        <w:spacing w:line="360" w:lineRule="auto"/>
        <w:rPr>
          <w:rFonts w:ascii="宋体" w:hAnsi="宋体" w:cs="宋体"/>
          <w:kern w:val="0"/>
          <w:szCs w:val="21"/>
        </w:rPr>
      </w:pPr>
      <w:r>
        <w:rPr>
          <w:rFonts w:hint="eastAsia" w:ascii="宋体" w:hAnsi="宋体" w:cs="宋体"/>
          <w:kern w:val="0"/>
          <w:szCs w:val="21"/>
        </w:rPr>
        <w:t xml:space="preserve">                                              日期：年月日</w:t>
      </w:r>
    </w:p>
    <w:p>
      <w:pPr>
        <w:spacing w:line="360" w:lineRule="auto"/>
        <w:rPr>
          <w:b/>
          <w:bCs/>
          <w:sz w:val="24"/>
        </w:rPr>
      </w:pPr>
      <w:r>
        <w:rPr>
          <w:rFonts w:hint="eastAsia" w:ascii="黑体" w:hAnsi="宋体" w:eastAsia="黑体"/>
          <w:color w:val="FF0000"/>
          <w:highlight w:val="yellow"/>
        </w:rPr>
        <w:t>备注：如联合体投标，投标人一栏须填写联合体所有成员单位的名称。</w:t>
      </w:r>
    </w:p>
    <w:p>
      <w:pPr>
        <w:pStyle w:val="5"/>
        <w:jc w:val="center"/>
        <w:rPr>
          <w:rFonts w:hint="eastAsia" w:ascii="黑体" w:eastAsia="黑体"/>
          <w:b w:val="0"/>
          <w:bCs w:val="0"/>
          <w:sz w:val="24"/>
          <w:szCs w:val="20"/>
        </w:rPr>
      </w:pPr>
    </w:p>
    <w:p>
      <w:pPr>
        <w:pStyle w:val="5"/>
        <w:jc w:val="center"/>
        <w:rPr>
          <w:rFonts w:hint="eastAsia" w:ascii="黑体" w:eastAsia="黑体"/>
          <w:b w:val="0"/>
          <w:bCs w:val="0"/>
          <w:sz w:val="24"/>
          <w:szCs w:val="20"/>
        </w:rPr>
      </w:pPr>
      <w:r>
        <w:rPr>
          <w:rFonts w:hint="eastAsia" w:ascii="黑体" w:eastAsia="黑体"/>
          <w:b w:val="0"/>
          <w:bCs w:val="0"/>
          <w:sz w:val="24"/>
          <w:szCs w:val="20"/>
          <w:lang w:val="en-US" w:eastAsia="zh-CN"/>
        </w:rPr>
        <w:t>七、</w:t>
      </w:r>
      <w:r>
        <w:rPr>
          <w:rFonts w:hint="eastAsia" w:ascii="黑体" w:eastAsia="黑体"/>
          <w:b w:val="0"/>
          <w:bCs w:val="0"/>
          <w:sz w:val="24"/>
          <w:szCs w:val="20"/>
        </w:rPr>
        <w:t>项目重点难点分析、应对措施及相关的合理化建议</w:t>
      </w:r>
    </w:p>
    <w:p>
      <w:pPr>
        <w:pStyle w:val="5"/>
        <w:jc w:val="center"/>
        <w:rPr>
          <w:rFonts w:hint="eastAsia" w:ascii="黑体" w:eastAsia="黑体"/>
          <w:b w:val="0"/>
          <w:bCs w:val="0"/>
          <w:sz w:val="24"/>
          <w:szCs w:val="20"/>
        </w:rPr>
      </w:pPr>
    </w:p>
    <w:p>
      <w:pPr>
        <w:pStyle w:val="5"/>
        <w:jc w:val="center"/>
        <w:rPr>
          <w:rFonts w:hint="eastAsia" w:ascii="黑体" w:eastAsia="黑体"/>
          <w:b w:val="0"/>
          <w:bCs w:val="0"/>
          <w:sz w:val="24"/>
          <w:szCs w:val="20"/>
        </w:rPr>
      </w:pPr>
      <w:r>
        <w:rPr>
          <w:rFonts w:hint="eastAsia" w:ascii="黑体" w:eastAsia="黑体"/>
          <w:b w:val="0"/>
          <w:bCs w:val="0"/>
          <w:sz w:val="24"/>
          <w:szCs w:val="20"/>
          <w:lang w:val="en-US" w:eastAsia="zh-CN"/>
        </w:rPr>
        <w:t>八、</w:t>
      </w:r>
      <w:r>
        <w:rPr>
          <w:rFonts w:hint="eastAsia" w:ascii="黑体" w:eastAsia="黑体"/>
          <w:b w:val="0"/>
          <w:bCs w:val="0"/>
          <w:sz w:val="24"/>
          <w:szCs w:val="20"/>
        </w:rPr>
        <w:t>质量（完成时间、安全、环保）保障措施及方案</w:t>
      </w:r>
    </w:p>
    <w:p>
      <w:pPr>
        <w:pStyle w:val="5"/>
        <w:jc w:val="center"/>
        <w:rPr>
          <w:rFonts w:hint="eastAsia" w:ascii="黑体" w:eastAsia="黑体"/>
          <w:b w:val="0"/>
          <w:bCs w:val="0"/>
          <w:sz w:val="24"/>
          <w:szCs w:val="20"/>
        </w:rPr>
      </w:pPr>
    </w:p>
    <w:p>
      <w:pPr>
        <w:pStyle w:val="5"/>
        <w:jc w:val="center"/>
        <w:rPr>
          <w:rFonts w:hint="eastAsia" w:ascii="黑体" w:eastAsia="黑体"/>
          <w:b w:val="0"/>
          <w:bCs w:val="0"/>
          <w:sz w:val="24"/>
          <w:szCs w:val="20"/>
        </w:rPr>
      </w:pPr>
      <w:r>
        <w:rPr>
          <w:rFonts w:hint="eastAsia" w:ascii="黑体" w:eastAsia="黑体"/>
          <w:b w:val="0"/>
          <w:bCs w:val="0"/>
          <w:sz w:val="24"/>
          <w:szCs w:val="20"/>
          <w:lang w:val="en-US" w:eastAsia="zh-CN"/>
        </w:rPr>
        <w:t>九、</w:t>
      </w:r>
      <w:r>
        <w:rPr>
          <w:rFonts w:hint="eastAsia" w:ascii="黑体" w:eastAsia="黑体"/>
          <w:b w:val="0"/>
          <w:bCs w:val="0"/>
          <w:sz w:val="24"/>
          <w:szCs w:val="20"/>
        </w:rPr>
        <w:t>违约及清洁环保承诺</w:t>
      </w:r>
    </w:p>
    <w:p>
      <w:pPr>
        <w:pStyle w:val="5"/>
        <w:jc w:val="center"/>
        <w:rPr>
          <w:rFonts w:hint="eastAsia" w:ascii="黑体" w:eastAsia="黑体"/>
          <w:b w:val="0"/>
          <w:bCs w:val="0"/>
          <w:sz w:val="24"/>
          <w:szCs w:val="20"/>
        </w:rPr>
      </w:pPr>
    </w:p>
    <w:p>
      <w:pPr>
        <w:pStyle w:val="5"/>
        <w:jc w:val="center"/>
        <w:rPr>
          <w:rFonts w:hint="eastAsia" w:ascii="黑体" w:eastAsia="黑体"/>
          <w:b w:val="0"/>
          <w:bCs w:val="0"/>
          <w:sz w:val="24"/>
          <w:szCs w:val="20"/>
        </w:rPr>
      </w:pPr>
      <w:r>
        <w:rPr>
          <w:rFonts w:hint="eastAsia" w:ascii="黑体" w:eastAsia="黑体"/>
          <w:b w:val="0"/>
          <w:bCs w:val="0"/>
          <w:sz w:val="24"/>
          <w:szCs w:val="20"/>
          <w:lang w:val="en-US" w:eastAsia="zh-CN"/>
        </w:rPr>
        <w:t>十、</w:t>
      </w:r>
      <w:r>
        <w:rPr>
          <w:rFonts w:hint="eastAsia" w:ascii="黑体" w:eastAsia="黑体"/>
          <w:b w:val="0"/>
          <w:bCs w:val="0"/>
          <w:sz w:val="24"/>
          <w:szCs w:val="20"/>
        </w:rPr>
        <w:t>投标人具有车辆设备情况</w:t>
      </w:r>
    </w:p>
    <w:p>
      <w:pPr>
        <w:pStyle w:val="5"/>
        <w:jc w:val="center"/>
        <w:rPr>
          <w:rFonts w:hint="eastAsia" w:ascii="黑体" w:eastAsia="黑体"/>
          <w:b w:val="0"/>
          <w:bCs w:val="0"/>
          <w:sz w:val="24"/>
          <w:szCs w:val="20"/>
        </w:rPr>
      </w:pPr>
    </w:p>
    <w:p>
      <w:pPr>
        <w:pStyle w:val="5"/>
        <w:jc w:val="center"/>
        <w:rPr>
          <w:rFonts w:hint="eastAsia" w:ascii="黑体" w:eastAsia="黑体"/>
          <w:b w:val="0"/>
          <w:bCs w:val="0"/>
          <w:sz w:val="24"/>
          <w:szCs w:val="20"/>
        </w:rPr>
      </w:pPr>
      <w:r>
        <w:rPr>
          <w:rFonts w:hint="eastAsia" w:ascii="黑体" w:eastAsia="黑体"/>
          <w:b w:val="0"/>
          <w:bCs w:val="0"/>
          <w:sz w:val="24"/>
          <w:szCs w:val="20"/>
          <w:lang w:val="en-US" w:eastAsia="zh-CN"/>
        </w:rPr>
        <w:t>十一、</w:t>
      </w:r>
      <w:r>
        <w:rPr>
          <w:rFonts w:hint="eastAsia" w:ascii="黑体" w:eastAsia="黑体"/>
          <w:b w:val="0"/>
          <w:bCs w:val="0"/>
          <w:sz w:val="24"/>
          <w:szCs w:val="20"/>
        </w:rPr>
        <w:t>拟安排的项目负责人情况（仅限一人）</w:t>
      </w:r>
    </w:p>
    <w:p>
      <w:pPr>
        <w:pStyle w:val="5"/>
        <w:jc w:val="center"/>
        <w:rPr>
          <w:rFonts w:hint="eastAsia" w:ascii="黑体" w:eastAsia="黑体"/>
          <w:b w:val="0"/>
          <w:bCs w:val="0"/>
          <w:sz w:val="24"/>
          <w:szCs w:val="20"/>
        </w:rPr>
      </w:pPr>
    </w:p>
    <w:p>
      <w:pPr>
        <w:pStyle w:val="5"/>
        <w:jc w:val="center"/>
        <w:rPr>
          <w:rFonts w:hint="eastAsia" w:ascii="黑体" w:eastAsia="黑体"/>
          <w:b w:val="0"/>
          <w:bCs w:val="0"/>
          <w:sz w:val="24"/>
          <w:szCs w:val="20"/>
        </w:rPr>
      </w:pPr>
      <w:r>
        <w:rPr>
          <w:rFonts w:hint="eastAsia" w:ascii="黑体" w:eastAsia="黑体"/>
          <w:b w:val="0"/>
          <w:bCs w:val="0"/>
          <w:sz w:val="24"/>
          <w:szCs w:val="20"/>
          <w:lang w:val="en-US" w:eastAsia="zh-CN"/>
        </w:rPr>
        <w:t>十二、</w:t>
      </w:r>
      <w:r>
        <w:rPr>
          <w:rFonts w:hint="eastAsia" w:ascii="黑体" w:eastAsia="黑体"/>
          <w:b w:val="0"/>
          <w:bCs w:val="0"/>
          <w:sz w:val="24"/>
          <w:szCs w:val="20"/>
        </w:rPr>
        <w:t>拟安排的项目团队成员（主要技术人员）情况（项目负责人除外）</w:t>
      </w:r>
    </w:p>
    <w:p>
      <w:pPr>
        <w:pStyle w:val="5"/>
        <w:jc w:val="center"/>
        <w:rPr>
          <w:rFonts w:hint="eastAsia" w:ascii="黑体" w:eastAsia="黑体"/>
          <w:b w:val="0"/>
          <w:bCs w:val="0"/>
          <w:sz w:val="24"/>
          <w:szCs w:val="20"/>
        </w:rPr>
      </w:pPr>
    </w:p>
    <w:p>
      <w:pPr>
        <w:pStyle w:val="5"/>
        <w:jc w:val="center"/>
        <w:rPr>
          <w:rFonts w:hint="eastAsia" w:ascii="黑体" w:eastAsia="黑体"/>
          <w:b w:val="0"/>
          <w:bCs w:val="0"/>
          <w:sz w:val="24"/>
          <w:szCs w:val="20"/>
        </w:rPr>
      </w:pPr>
      <w:r>
        <w:rPr>
          <w:rFonts w:hint="eastAsia" w:ascii="黑体" w:eastAsia="黑体"/>
          <w:b w:val="0"/>
          <w:bCs w:val="0"/>
          <w:sz w:val="24"/>
          <w:szCs w:val="20"/>
          <w:lang w:val="en-US" w:eastAsia="zh-CN"/>
        </w:rPr>
        <w:t>十三、</w:t>
      </w:r>
      <w:r>
        <w:rPr>
          <w:rFonts w:hint="eastAsia" w:ascii="黑体" w:eastAsia="黑体"/>
          <w:b w:val="0"/>
          <w:bCs w:val="0"/>
          <w:sz w:val="24"/>
          <w:szCs w:val="20"/>
        </w:rPr>
        <w:t>拟投入本项目一线作业人员工资水平评价</w:t>
      </w:r>
    </w:p>
    <w:p>
      <w:pPr>
        <w:pStyle w:val="5"/>
        <w:jc w:val="center"/>
        <w:rPr>
          <w:rFonts w:hint="eastAsia" w:ascii="黑体" w:eastAsia="黑体"/>
          <w:b w:val="0"/>
          <w:bCs w:val="0"/>
          <w:sz w:val="24"/>
          <w:szCs w:val="20"/>
        </w:rPr>
      </w:pPr>
    </w:p>
    <w:p>
      <w:pPr>
        <w:pStyle w:val="5"/>
        <w:jc w:val="center"/>
        <w:rPr>
          <w:rFonts w:hint="eastAsia" w:ascii="黑体" w:eastAsia="黑体"/>
          <w:b w:val="0"/>
          <w:bCs w:val="0"/>
          <w:sz w:val="24"/>
          <w:szCs w:val="20"/>
        </w:rPr>
      </w:pPr>
      <w:r>
        <w:rPr>
          <w:rFonts w:hint="eastAsia" w:ascii="黑体" w:eastAsia="黑体"/>
          <w:b w:val="0"/>
          <w:bCs w:val="0"/>
          <w:sz w:val="24"/>
          <w:szCs w:val="20"/>
          <w:lang w:val="en-US" w:eastAsia="zh-CN"/>
        </w:rPr>
        <w:t>十四、</w:t>
      </w:r>
      <w:r>
        <w:rPr>
          <w:rFonts w:hint="eastAsia" w:ascii="黑体" w:eastAsia="黑体"/>
          <w:b w:val="0"/>
          <w:bCs w:val="0"/>
          <w:sz w:val="24"/>
          <w:szCs w:val="20"/>
        </w:rPr>
        <w:t>投标人停车场、维修场地、应急工作能力情况评价</w:t>
      </w:r>
    </w:p>
    <w:p>
      <w:pPr>
        <w:pStyle w:val="5"/>
        <w:jc w:val="center"/>
        <w:rPr>
          <w:rFonts w:hint="eastAsia" w:ascii="黑体" w:eastAsia="黑体"/>
          <w:b w:val="0"/>
          <w:bCs w:val="0"/>
          <w:sz w:val="24"/>
          <w:szCs w:val="20"/>
        </w:rPr>
      </w:pPr>
    </w:p>
    <w:p>
      <w:pPr>
        <w:pStyle w:val="5"/>
        <w:jc w:val="center"/>
      </w:pPr>
      <w:r>
        <w:rPr>
          <w:rFonts w:hint="eastAsia" w:ascii="黑体" w:eastAsia="黑体"/>
          <w:b w:val="0"/>
          <w:bCs w:val="0"/>
          <w:sz w:val="24"/>
          <w:szCs w:val="20"/>
          <w:lang w:val="en-US" w:eastAsia="zh-CN"/>
        </w:rPr>
        <w:t>十五、</w:t>
      </w:r>
      <w:r>
        <w:rPr>
          <w:rFonts w:hint="eastAsia" w:ascii="黑体" w:eastAsia="黑体"/>
          <w:b w:val="0"/>
          <w:bCs w:val="0"/>
          <w:sz w:val="24"/>
          <w:szCs w:val="20"/>
        </w:rPr>
        <w:t>投标人同类项目业绩情况</w:t>
      </w:r>
    </w:p>
    <w:p/>
    <w:p>
      <w:pPr>
        <w:pStyle w:val="2"/>
      </w:pPr>
    </w:p>
    <w:p>
      <w:pPr>
        <w:pStyle w:val="5"/>
        <w:jc w:val="center"/>
        <w:rPr>
          <w:rFonts w:ascii="黑体" w:eastAsia="黑体"/>
          <w:b w:val="0"/>
          <w:bCs w:val="0"/>
          <w:sz w:val="24"/>
          <w:szCs w:val="20"/>
        </w:rPr>
      </w:pPr>
      <w:r>
        <w:rPr>
          <w:rFonts w:hint="eastAsia" w:ascii="黑体" w:eastAsia="黑体"/>
          <w:b w:val="0"/>
          <w:bCs w:val="0"/>
          <w:sz w:val="24"/>
          <w:szCs w:val="20"/>
          <w:lang w:val="en-US" w:eastAsia="zh-CN"/>
        </w:rPr>
        <w:t>十六</w:t>
      </w:r>
      <w:r>
        <w:rPr>
          <w:rFonts w:hint="eastAsia" w:ascii="黑体" w:eastAsia="黑体"/>
          <w:b w:val="0"/>
          <w:bCs w:val="0"/>
          <w:sz w:val="24"/>
          <w:szCs w:val="20"/>
        </w:rPr>
        <w:t>、</w:t>
      </w:r>
      <w:bookmarkStart w:id="49" w:name="_Hlk72062872"/>
      <w:r>
        <w:rPr>
          <w:rFonts w:hint="eastAsia" w:ascii="黑体" w:eastAsia="黑体"/>
          <w:b w:val="0"/>
          <w:bCs w:val="0"/>
          <w:sz w:val="24"/>
          <w:szCs w:val="20"/>
        </w:rPr>
        <w:t>投标人认为需要加以说明的其他内容</w:t>
      </w:r>
      <w:bookmarkEnd w:id="49"/>
    </w:p>
    <w:p>
      <w:pPr>
        <w:widowControl/>
        <w:jc w:val="center"/>
        <w:rPr>
          <w:rFonts w:ascii="黑体" w:hAnsi="宋体" w:eastAsia="黑体"/>
          <w:kern w:val="0"/>
          <w:sz w:val="24"/>
          <w:szCs w:val="20"/>
        </w:rPr>
      </w:pPr>
      <w:r>
        <w:rPr>
          <w:rFonts w:hint="eastAsia" w:ascii="黑体" w:hAnsi="宋体" w:eastAsia="黑体"/>
          <w:kern w:val="0"/>
          <w:sz w:val="24"/>
          <w:szCs w:val="20"/>
        </w:rPr>
        <w:t>（一）</w:t>
      </w:r>
      <w:r>
        <w:rPr>
          <w:rFonts w:hint="eastAsia" w:ascii="黑体" w:hAnsi="宋体" w:eastAsia="黑体"/>
          <w:kern w:val="0"/>
          <w:sz w:val="24"/>
          <w:szCs w:val="20"/>
          <w:highlight w:val="yellow"/>
        </w:rPr>
        <w:t>政府采购违法行为风险知悉确认书</w:t>
      </w:r>
    </w:p>
    <w:p>
      <w:pPr>
        <w:widowControl/>
        <w:jc w:val="center"/>
        <w:rPr>
          <w:rFonts w:ascii="黑体" w:hAnsi="宋体" w:eastAsia="黑体"/>
          <w:kern w:val="0"/>
          <w:sz w:val="24"/>
          <w:szCs w:val="20"/>
        </w:rPr>
      </w:pPr>
    </w:p>
    <w:p>
      <w:pPr>
        <w:spacing w:after="120" w:afterLines="50" w:line="360" w:lineRule="exact"/>
        <w:ind w:firstLine="421" w:firstLineChars="200"/>
        <w:rPr>
          <w:rFonts w:ascii="宋体" w:hAnsi="宋体" w:cs="宋体"/>
          <w:b/>
          <w:bCs/>
          <w:szCs w:val="21"/>
        </w:rPr>
      </w:pPr>
      <w:r>
        <w:rPr>
          <w:rFonts w:hint="eastAsia" w:ascii="宋体" w:hAnsi="宋体" w:cs="宋体"/>
          <w:b/>
          <w:bCs/>
          <w:szCs w:val="21"/>
        </w:rPr>
        <w:t>我单位在投标前已充分知悉以下情形为参与政府采购活动时的重大风险事项，并承诺已对下述风险提示事项重点排查，若存在下述情况，我单位愿意依法承担被记入供应商诚信档案、罚款、取消参与政府采购资格、吊销营业执照等处罚；构成犯罪的，依法承担刑事责任。</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7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11" w:type="dxa"/>
          </w:tcPr>
          <w:p>
            <w:pPr>
              <w:spacing w:line="400" w:lineRule="exact"/>
              <w:jc w:val="center"/>
              <w:rPr>
                <w:rFonts w:ascii="宋体" w:hAnsi="宋体" w:cs="宋体"/>
                <w:szCs w:val="21"/>
              </w:rPr>
            </w:pPr>
            <w:r>
              <w:rPr>
                <w:rFonts w:hint="eastAsia" w:ascii="宋体" w:hAnsi="宋体" w:cs="宋体"/>
                <w:szCs w:val="21"/>
              </w:rPr>
              <w:t>序号</w:t>
            </w:r>
          </w:p>
        </w:tc>
        <w:tc>
          <w:tcPr>
            <w:tcW w:w="7811" w:type="dxa"/>
          </w:tcPr>
          <w:p>
            <w:pPr>
              <w:spacing w:line="400" w:lineRule="exact"/>
              <w:jc w:val="center"/>
              <w:rPr>
                <w:rFonts w:ascii="宋体" w:hAnsi="宋体" w:cs="宋体"/>
                <w:szCs w:val="21"/>
              </w:rPr>
            </w:pPr>
            <w:r>
              <w:rPr>
                <w:rFonts w:hint="eastAsia" w:ascii="宋体" w:hAnsi="宋体" w:cs="宋体"/>
                <w:b/>
                <w:bCs/>
                <w:szCs w:val="21"/>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pPr>
              <w:spacing w:line="400" w:lineRule="exact"/>
              <w:jc w:val="center"/>
              <w:rPr>
                <w:rFonts w:ascii="宋体" w:hAnsi="宋体" w:cs="宋体"/>
                <w:szCs w:val="21"/>
              </w:rPr>
            </w:pPr>
            <w:r>
              <w:rPr>
                <w:rFonts w:hint="eastAsia" w:ascii="宋体" w:hAnsi="宋体" w:cs="宋体"/>
                <w:szCs w:val="21"/>
              </w:rPr>
              <w:t>1</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与其他投标供应商的法定代表人、主要经营负责人、投标授权代表人、项目负责人、主要技术人员为</w:t>
            </w:r>
            <w:r>
              <w:rPr>
                <w:rFonts w:hint="eastAsia" w:ascii="宋体" w:hAnsi="宋体" w:cs="宋体"/>
                <w:b/>
                <w:bCs/>
                <w:szCs w:val="21"/>
              </w:rPr>
              <w:t>同一人、属同一单位或者在同一单位缴纳社会保险</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pPr>
              <w:spacing w:line="400" w:lineRule="exact"/>
              <w:jc w:val="center"/>
              <w:rPr>
                <w:rFonts w:ascii="宋体" w:hAnsi="宋体" w:cs="宋体"/>
                <w:szCs w:val="21"/>
              </w:rPr>
            </w:pPr>
            <w:r>
              <w:rPr>
                <w:rFonts w:hint="eastAsia" w:ascii="宋体" w:hAnsi="宋体" w:cs="宋体"/>
                <w:szCs w:val="21"/>
              </w:rPr>
              <w:t>2</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参与本项目政府采购活动时，与其他投标供应商存在单位负责人为</w:t>
            </w:r>
            <w:r>
              <w:rPr>
                <w:rFonts w:hint="eastAsia" w:ascii="宋体" w:hAnsi="宋体" w:cs="宋体"/>
                <w:b/>
                <w:bCs/>
                <w:szCs w:val="21"/>
              </w:rPr>
              <w:t>同一人或直接控股、管理关系</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1" w:type="dxa"/>
          </w:tcPr>
          <w:p>
            <w:pPr>
              <w:spacing w:line="400" w:lineRule="exact"/>
              <w:jc w:val="center"/>
              <w:rPr>
                <w:rFonts w:ascii="宋体" w:hAnsi="宋体" w:cs="宋体"/>
                <w:szCs w:val="21"/>
              </w:rPr>
            </w:pPr>
            <w:r>
              <w:rPr>
                <w:rFonts w:hint="eastAsia" w:ascii="宋体" w:hAnsi="宋体" w:cs="宋体"/>
                <w:szCs w:val="21"/>
              </w:rPr>
              <w:t>3</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与其他投标供应商的投标文件或部分投标文件</w:t>
            </w:r>
            <w:r>
              <w:rPr>
                <w:rFonts w:hint="eastAsia" w:ascii="宋体" w:hAnsi="宋体" w:cs="宋体"/>
                <w:b/>
                <w:bCs/>
                <w:szCs w:val="21"/>
              </w:rPr>
              <w:t>相互混装或存在非正常一致</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pPr>
              <w:spacing w:line="400" w:lineRule="exact"/>
              <w:jc w:val="center"/>
              <w:rPr>
                <w:rFonts w:ascii="宋体" w:hAnsi="宋体" w:cs="宋体"/>
                <w:szCs w:val="21"/>
              </w:rPr>
            </w:pPr>
            <w:r>
              <w:rPr>
                <w:rFonts w:hint="eastAsia" w:ascii="宋体" w:hAnsi="宋体" w:cs="宋体"/>
                <w:szCs w:val="21"/>
              </w:rPr>
              <w:t>4</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与其他投标供应商的投标文件由</w:t>
            </w:r>
            <w:r>
              <w:rPr>
                <w:rFonts w:hint="eastAsia" w:ascii="宋体" w:hAnsi="宋体" w:cs="宋体"/>
                <w:b/>
                <w:bCs/>
                <w:szCs w:val="21"/>
              </w:rPr>
              <w:t>同一单位或者同一人编制</w:t>
            </w:r>
            <w:r>
              <w:rPr>
                <w:rFonts w:hint="eastAsia" w:ascii="宋体" w:hAnsi="宋体" w:cs="宋体"/>
                <w:szCs w:val="21"/>
              </w:rPr>
              <w:t>，或者使用</w:t>
            </w:r>
            <w:r>
              <w:rPr>
                <w:rFonts w:hint="eastAsia" w:ascii="宋体" w:hAnsi="宋体" w:cs="宋体"/>
                <w:b/>
                <w:bCs/>
                <w:szCs w:val="21"/>
              </w:rPr>
              <w:t>同一设备编制</w:t>
            </w:r>
            <w:r>
              <w:rPr>
                <w:rFonts w:hint="eastAsia" w:ascii="宋体" w:hAnsi="宋体" w:cs="宋体"/>
                <w:szCs w:val="21"/>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pPr>
              <w:spacing w:line="400" w:lineRule="exact"/>
              <w:jc w:val="center"/>
              <w:rPr>
                <w:rFonts w:ascii="宋体" w:hAnsi="宋体" w:cs="宋体"/>
                <w:szCs w:val="21"/>
              </w:rPr>
            </w:pPr>
            <w:r>
              <w:rPr>
                <w:rFonts w:hint="eastAsia" w:ascii="宋体" w:hAnsi="宋体" w:cs="宋体"/>
                <w:szCs w:val="21"/>
              </w:rPr>
              <w:t>5</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提供</w:t>
            </w:r>
            <w:r>
              <w:rPr>
                <w:rFonts w:hint="eastAsia" w:ascii="宋体" w:hAnsi="宋体" w:cs="宋体"/>
                <w:b/>
                <w:bCs/>
                <w:szCs w:val="21"/>
              </w:rPr>
              <w:t>未经出具机构核实</w:t>
            </w:r>
            <w:r>
              <w:rPr>
                <w:rFonts w:hint="eastAsia" w:ascii="宋体" w:hAnsi="宋体" w:cs="宋体"/>
                <w:szCs w:val="21"/>
              </w:rPr>
              <w:t>的虚假的检验检测报告、业绩材料、社保缴纳证明、学历学位证书、职称认证证书等材料。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pPr>
              <w:spacing w:line="400" w:lineRule="exact"/>
              <w:jc w:val="center"/>
              <w:rPr>
                <w:rFonts w:ascii="宋体" w:hAnsi="宋体" w:cs="宋体"/>
                <w:szCs w:val="21"/>
              </w:rPr>
            </w:pPr>
            <w:r>
              <w:rPr>
                <w:rFonts w:hint="eastAsia" w:ascii="宋体" w:hAnsi="宋体" w:cs="宋体"/>
                <w:szCs w:val="21"/>
              </w:rPr>
              <w:t>6</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擅自将投标密钥或电子营业执照出借他人使用或未妥善保管。</w:t>
            </w:r>
          </w:p>
        </w:tc>
      </w:tr>
    </w:tbl>
    <w:p>
      <w:pPr>
        <w:spacing w:before="120" w:beforeLines="50" w:line="380" w:lineRule="exact"/>
        <w:ind w:firstLine="421" w:firstLineChars="200"/>
        <w:rPr>
          <w:rFonts w:ascii="宋体" w:hAnsi="宋体" w:cs="宋体"/>
          <w:b/>
          <w:szCs w:val="21"/>
        </w:rPr>
      </w:pPr>
      <w:r>
        <w:rPr>
          <w:rFonts w:hint="eastAsia" w:ascii="宋体" w:hAnsi="宋体" w:cs="宋体"/>
          <w:b/>
          <w:szCs w:val="21"/>
        </w:rPr>
        <w:t>一、我单位已充分知悉“隐瞒真实情况，提供虚假资料”的法定情形，包括但不限于：</w:t>
      </w:r>
    </w:p>
    <w:p>
      <w:pPr>
        <w:spacing w:line="380" w:lineRule="exact"/>
        <w:ind w:firstLine="420" w:firstLineChars="200"/>
        <w:rPr>
          <w:rFonts w:ascii="宋体" w:hAnsi="宋体" w:cs="宋体"/>
          <w:szCs w:val="21"/>
        </w:rPr>
      </w:pPr>
      <w:r>
        <w:rPr>
          <w:rFonts w:hint="eastAsia" w:ascii="宋体" w:hAnsi="宋体" w:cs="宋体"/>
          <w:szCs w:val="21"/>
        </w:rPr>
        <w:t>（一）通过转让或者租借等方式从其他单位获取资格或者资质证书投标的。</w:t>
      </w:r>
    </w:p>
    <w:p>
      <w:pPr>
        <w:spacing w:line="380" w:lineRule="exact"/>
        <w:ind w:firstLine="420" w:firstLineChars="200"/>
        <w:rPr>
          <w:rFonts w:ascii="宋体" w:hAnsi="宋体" w:cs="宋体"/>
          <w:szCs w:val="21"/>
        </w:rPr>
      </w:pPr>
      <w:r>
        <w:rPr>
          <w:rFonts w:hint="eastAsia" w:ascii="宋体" w:hAnsi="宋体" w:cs="宋体"/>
          <w:szCs w:val="21"/>
        </w:rPr>
        <w:t>（二）由其他单位或者其他单位负责人在投标供应商编制的投标文件上加盖印章或者签字的。</w:t>
      </w:r>
    </w:p>
    <w:p>
      <w:pPr>
        <w:spacing w:line="380" w:lineRule="exact"/>
        <w:ind w:firstLine="420" w:firstLineChars="200"/>
        <w:rPr>
          <w:rFonts w:ascii="宋体" w:hAnsi="宋体" w:cs="宋体"/>
          <w:szCs w:val="21"/>
        </w:rPr>
      </w:pPr>
      <w:r>
        <w:rPr>
          <w:rFonts w:hint="eastAsia" w:ascii="宋体" w:hAnsi="宋体" w:cs="宋体"/>
          <w:szCs w:val="21"/>
        </w:rPr>
        <w:t>（三）项目负责人或者主要技术人员不是本单位人员的。</w:t>
      </w:r>
    </w:p>
    <w:p>
      <w:pPr>
        <w:spacing w:line="380" w:lineRule="exact"/>
        <w:ind w:firstLine="420" w:firstLineChars="200"/>
        <w:rPr>
          <w:rFonts w:ascii="宋体" w:hAnsi="宋体" w:cs="宋体"/>
          <w:szCs w:val="21"/>
        </w:rPr>
      </w:pPr>
      <w:r>
        <w:rPr>
          <w:rFonts w:hint="eastAsia" w:ascii="宋体" w:hAnsi="宋体" w:cs="宋体"/>
          <w:szCs w:val="21"/>
        </w:rPr>
        <w:t>（四）投标保证金不是从投标供应商基本账户转出的。</w:t>
      </w:r>
    </w:p>
    <w:p>
      <w:pPr>
        <w:spacing w:line="380" w:lineRule="exact"/>
        <w:ind w:firstLine="420" w:firstLineChars="200"/>
        <w:rPr>
          <w:rFonts w:ascii="宋体" w:hAnsi="宋体" w:cs="宋体"/>
          <w:szCs w:val="21"/>
        </w:rPr>
      </w:pPr>
      <w:r>
        <w:rPr>
          <w:rFonts w:hint="eastAsia" w:ascii="宋体" w:hAnsi="宋体" w:cs="宋体"/>
          <w:szCs w:val="21"/>
        </w:rPr>
        <w:t>（五）其他隐瞒真实情况、提供虚假资料的行为。</w:t>
      </w:r>
    </w:p>
    <w:p>
      <w:pPr>
        <w:spacing w:line="380" w:lineRule="exact"/>
        <w:ind w:firstLine="421" w:firstLineChars="200"/>
        <w:rPr>
          <w:rFonts w:ascii="宋体" w:hAnsi="宋体" w:cs="宋体"/>
          <w:b/>
          <w:szCs w:val="21"/>
        </w:rPr>
      </w:pPr>
      <w:r>
        <w:rPr>
          <w:rFonts w:hint="eastAsia" w:ascii="宋体" w:hAnsi="宋体" w:cs="宋体"/>
          <w:b/>
          <w:szCs w:val="21"/>
        </w:rPr>
        <w:t>二、我单位已充分知悉“与其他采购参加人串通投标”的法定情形，包括但不限于：</w:t>
      </w:r>
    </w:p>
    <w:p>
      <w:pPr>
        <w:spacing w:line="380" w:lineRule="exact"/>
        <w:ind w:firstLine="420" w:firstLineChars="200"/>
        <w:rPr>
          <w:rFonts w:ascii="宋体" w:hAnsi="宋体" w:cs="宋体"/>
          <w:szCs w:val="21"/>
        </w:rPr>
      </w:pPr>
      <w:r>
        <w:rPr>
          <w:rFonts w:hint="eastAsia" w:ascii="宋体" w:hAnsi="宋体" w:cs="宋体"/>
          <w:szCs w:val="21"/>
        </w:rPr>
        <w:t>（一）投标供应商之间相互约定给予未中标的供应商利益补偿。</w:t>
      </w:r>
    </w:p>
    <w:p>
      <w:pPr>
        <w:spacing w:line="380" w:lineRule="exact"/>
        <w:ind w:firstLine="420" w:firstLineChars="200"/>
        <w:rPr>
          <w:rFonts w:ascii="宋体" w:hAnsi="宋体" w:cs="宋体"/>
          <w:szCs w:val="21"/>
        </w:rPr>
      </w:pPr>
      <w:r>
        <w:rPr>
          <w:rFonts w:hint="eastAsia" w:ascii="宋体" w:hAnsi="宋体" w:cs="宋体"/>
          <w:szCs w:val="21"/>
        </w:rPr>
        <w:t>（二）不同投标供应商的法定代表人、主要经营负责人、项目投标授权代表人、项目负责人、主要技术人员为同一人、属同一单位或者在同一单位缴纳社会保险。</w:t>
      </w:r>
    </w:p>
    <w:p>
      <w:pPr>
        <w:spacing w:line="340" w:lineRule="exact"/>
        <w:ind w:firstLine="420" w:firstLineChars="200"/>
        <w:rPr>
          <w:rFonts w:ascii="宋体" w:hAnsi="宋体" w:cs="宋体"/>
          <w:szCs w:val="21"/>
        </w:rPr>
      </w:pPr>
      <w:r>
        <w:rPr>
          <w:rFonts w:hint="eastAsia" w:ascii="宋体" w:hAnsi="宋体" w:cs="宋体"/>
          <w:szCs w:val="21"/>
        </w:rPr>
        <w:t>（三）不同投标供应商的投标文件由同一单位或者同一人编制，或者由同一人分阶段参与编制的。</w:t>
      </w:r>
    </w:p>
    <w:p>
      <w:pPr>
        <w:spacing w:line="340" w:lineRule="exact"/>
        <w:ind w:firstLine="420" w:firstLineChars="200"/>
        <w:rPr>
          <w:rFonts w:ascii="宋体" w:hAnsi="宋体" w:cs="宋体"/>
          <w:szCs w:val="21"/>
        </w:rPr>
      </w:pPr>
      <w:r>
        <w:rPr>
          <w:rFonts w:hint="eastAsia" w:ascii="宋体" w:hAnsi="宋体" w:cs="宋体"/>
          <w:szCs w:val="21"/>
        </w:rPr>
        <w:t>（四）不同投标供应商的投标文件或部分投标文件相互混装。</w:t>
      </w:r>
    </w:p>
    <w:p>
      <w:pPr>
        <w:spacing w:line="340" w:lineRule="exact"/>
        <w:ind w:firstLine="420" w:firstLineChars="200"/>
        <w:rPr>
          <w:rFonts w:ascii="宋体" w:hAnsi="宋体" w:cs="宋体"/>
          <w:szCs w:val="21"/>
        </w:rPr>
      </w:pPr>
      <w:r>
        <w:rPr>
          <w:rFonts w:hint="eastAsia" w:ascii="宋体" w:hAnsi="宋体" w:cs="宋体"/>
          <w:szCs w:val="21"/>
        </w:rPr>
        <w:t>（五）不同投标供应商的投标文件内容存在非正常一致。</w:t>
      </w:r>
    </w:p>
    <w:p>
      <w:pPr>
        <w:spacing w:line="340" w:lineRule="exact"/>
        <w:ind w:firstLine="420" w:firstLineChars="200"/>
        <w:rPr>
          <w:rFonts w:ascii="宋体" w:hAnsi="宋体" w:cs="宋体"/>
          <w:szCs w:val="21"/>
        </w:rPr>
      </w:pPr>
      <w:r>
        <w:rPr>
          <w:rFonts w:hint="eastAsia" w:ascii="宋体" w:hAnsi="宋体" w:cs="宋体"/>
          <w:szCs w:val="21"/>
        </w:rPr>
        <w:t>（六）由同一单位工作人员为两家以上（含两家）供应商进行同一项投标活动的。</w:t>
      </w:r>
    </w:p>
    <w:p>
      <w:pPr>
        <w:spacing w:line="340" w:lineRule="exact"/>
        <w:ind w:firstLine="420" w:firstLineChars="200"/>
        <w:rPr>
          <w:rFonts w:ascii="宋体" w:hAnsi="宋体" w:cs="宋体"/>
          <w:szCs w:val="21"/>
        </w:rPr>
      </w:pPr>
      <w:r>
        <w:rPr>
          <w:rFonts w:hint="eastAsia" w:ascii="宋体" w:hAnsi="宋体" w:cs="宋体"/>
          <w:szCs w:val="21"/>
        </w:rPr>
        <w:t>（七）不同投标人的投标报价呈规律性差异。</w:t>
      </w:r>
    </w:p>
    <w:p>
      <w:pPr>
        <w:spacing w:line="340" w:lineRule="exact"/>
        <w:ind w:firstLine="420" w:firstLineChars="200"/>
        <w:rPr>
          <w:rFonts w:ascii="宋体" w:hAnsi="宋体" w:cs="宋体"/>
          <w:szCs w:val="21"/>
        </w:rPr>
      </w:pPr>
      <w:r>
        <w:rPr>
          <w:rFonts w:hint="eastAsia" w:ascii="宋体" w:hAnsi="宋体" w:cs="宋体"/>
          <w:szCs w:val="21"/>
        </w:rPr>
        <w:t>（八）不同投标人的投标保证金从同一单位或者个人的账户转出。</w:t>
      </w:r>
    </w:p>
    <w:p>
      <w:pPr>
        <w:spacing w:line="340" w:lineRule="exact"/>
        <w:ind w:firstLine="420" w:firstLineChars="200"/>
        <w:rPr>
          <w:rFonts w:ascii="宋体" w:hAnsi="宋体" w:cs="宋体"/>
          <w:szCs w:val="21"/>
        </w:rPr>
      </w:pPr>
      <w:r>
        <w:rPr>
          <w:rFonts w:hint="eastAsia" w:ascii="宋体" w:hAnsi="宋体" w:cs="宋体"/>
          <w:szCs w:val="21"/>
        </w:rPr>
        <w:t>（九）主管部门依照法律、法规认定的其他情形。</w:t>
      </w:r>
    </w:p>
    <w:p>
      <w:pPr>
        <w:spacing w:line="340" w:lineRule="exact"/>
        <w:ind w:firstLine="421" w:firstLineChars="200"/>
        <w:rPr>
          <w:rFonts w:ascii="宋体" w:hAnsi="宋体" w:cs="宋体"/>
          <w:b/>
          <w:szCs w:val="21"/>
        </w:rPr>
      </w:pPr>
      <w:r>
        <w:rPr>
          <w:rFonts w:hint="eastAsia" w:ascii="宋体" w:hAnsi="宋体" w:cs="宋体"/>
          <w:b/>
          <w:szCs w:val="21"/>
        </w:rPr>
        <w:t>三、我单位已充分知悉下列情形存在法律风险，在投标前已对相关风险事项进行排查。</w:t>
      </w:r>
    </w:p>
    <w:p>
      <w:pPr>
        <w:spacing w:line="340" w:lineRule="exact"/>
        <w:ind w:firstLine="420" w:firstLineChars="200"/>
        <w:rPr>
          <w:rFonts w:ascii="宋体" w:hAnsi="宋体" w:cs="宋体"/>
          <w:b/>
          <w:szCs w:val="21"/>
        </w:rPr>
      </w:pPr>
      <w:r>
        <w:rPr>
          <w:rFonts w:hint="eastAsia" w:ascii="宋体" w:hAnsi="宋体" w:cs="宋体"/>
          <w:szCs w:val="21"/>
        </w:rPr>
        <w:t>（一）对于从其他主体获取的投标资料，我单位应审慎核查，确保其真实性。</w:t>
      </w:r>
      <w:r>
        <w:rPr>
          <w:rFonts w:hint="eastAsia" w:ascii="宋体" w:hAnsi="宋体" w:cs="宋体"/>
          <w:b/>
          <w:szCs w:val="21"/>
        </w:rPr>
        <w:t>如主管部门查实投标文件中存在虚假资料的，无论相关资料是否由第三方或本公司员工提供，均不影响主管部门对供应商存在“隐瞒真实情况，提供虚假资料”违法行为的认定。</w:t>
      </w:r>
    </w:p>
    <w:p>
      <w:pPr>
        <w:spacing w:line="340" w:lineRule="exact"/>
        <w:ind w:firstLine="420" w:firstLineChars="200"/>
        <w:rPr>
          <w:rFonts w:ascii="宋体" w:hAnsi="宋体" w:cs="宋体"/>
          <w:szCs w:val="21"/>
        </w:rPr>
      </w:pPr>
      <w:r>
        <w:rPr>
          <w:rFonts w:hint="eastAsia" w:ascii="宋体" w:hAnsi="宋体" w:cs="宋体"/>
          <w:szCs w:val="21"/>
        </w:rPr>
        <w:t>（二）对于涉及国家机关出具的公文、证件、证明材料等文件，一旦涉嫌虚假，经查实，主管部门将依法从严处理，并移送有关部门追究法律责任；涉嫌犯罪的，移送司法机关处理。</w:t>
      </w:r>
    </w:p>
    <w:p>
      <w:pPr>
        <w:spacing w:line="340" w:lineRule="exact"/>
        <w:ind w:firstLine="420" w:firstLineChars="200"/>
        <w:rPr>
          <w:rFonts w:ascii="宋体" w:hAnsi="宋体" w:cs="宋体"/>
          <w:szCs w:val="21"/>
        </w:rPr>
      </w:pPr>
      <w:r>
        <w:rPr>
          <w:rFonts w:hint="eastAsia" w:ascii="宋体" w:hAnsi="宋体" w:cs="宋体"/>
          <w:szCs w:val="21"/>
        </w:rPr>
        <w:t>（三）我单位对投标电子密钥或电子营业执照负有妥善保管、及时变更和续期等主体责任；使用电子密钥或电子营业执照在深圳政府采购网站进行的活动，均具有法律效力，须承担相应的法律后果。若</w:t>
      </w:r>
      <w:r>
        <w:rPr>
          <w:rFonts w:hint="eastAsia" w:ascii="宋体" w:hAnsi="宋体" w:cs="宋体"/>
          <w:b/>
          <w:bCs/>
          <w:szCs w:val="21"/>
        </w:rPr>
        <w:t>擅自将投标密钥或电子营业执照出借他人使用所造成的法律后果，由我单位自行承担</w:t>
      </w:r>
      <w:r>
        <w:rPr>
          <w:rFonts w:hint="eastAsia" w:ascii="宋体" w:hAnsi="宋体" w:cs="宋体"/>
          <w:szCs w:val="21"/>
        </w:rPr>
        <w:t>。</w:t>
      </w:r>
    </w:p>
    <w:p>
      <w:pPr>
        <w:spacing w:line="340" w:lineRule="exact"/>
        <w:ind w:firstLine="421" w:firstLineChars="200"/>
        <w:rPr>
          <w:rFonts w:ascii="宋体" w:hAnsi="宋体" w:cs="宋体"/>
          <w:b/>
          <w:szCs w:val="21"/>
        </w:rPr>
      </w:pPr>
      <w:r>
        <w:rPr>
          <w:rFonts w:hint="eastAsia" w:ascii="宋体" w:hAnsi="宋体" w:cs="宋体"/>
          <w:b/>
          <w:szCs w:val="21"/>
        </w:rPr>
        <w:t>四、我单位已充分知悉政府采购违法、违规行为的法律后果。</w:t>
      </w:r>
    </w:p>
    <w:p>
      <w:pPr>
        <w:spacing w:line="340" w:lineRule="exact"/>
        <w:ind w:firstLine="420" w:firstLineChars="200"/>
        <w:rPr>
          <w:rFonts w:ascii="宋体" w:hAnsi="宋体" w:cs="宋体"/>
          <w:szCs w:val="21"/>
        </w:rPr>
      </w:pPr>
      <w:r>
        <w:rPr>
          <w:rFonts w:hint="eastAsia" w:ascii="宋体" w:hAnsi="宋体" w:cs="宋体"/>
          <w:szCs w:val="21"/>
        </w:rPr>
        <w:t>经查实，若我单位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分之二十以上千分之三十以下罚款，由市场监管部门依法吊销营业执照。</w:t>
      </w:r>
    </w:p>
    <w:p>
      <w:pPr>
        <w:spacing w:line="340" w:lineRule="exact"/>
        <w:ind w:firstLine="420" w:firstLineChars="200"/>
        <w:rPr>
          <w:rFonts w:ascii="宋体" w:hAnsi="宋体" w:cs="宋体"/>
          <w:szCs w:val="21"/>
          <w:highlight w:val="yellow"/>
        </w:rPr>
      </w:pPr>
      <w:r>
        <w:rPr>
          <w:rFonts w:hint="eastAsia" w:ascii="宋体" w:hAnsi="宋体" w:cs="宋体"/>
          <w:szCs w:val="21"/>
          <w:highlight w:val="yellow"/>
        </w:rPr>
        <w:t>以下文字请投标供应商抄写并确认：“我单位已仔细阅读《政府采购违法行为风险知悉确认书》，充分知悉违法行为的法律后果，并承诺将严谨、诚信、依法依规参与政府采购活动”。</w:t>
      </w:r>
    </w:p>
    <w:tbl>
      <w:tblPr>
        <w:tblStyle w:val="192"/>
        <w:tblW w:w="8529"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9"/>
      </w:tblGrid>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529" w:type="dxa"/>
            <w:tcBorders>
              <w:top w:val="nil"/>
              <w:left w:val="nil"/>
              <w:bottom w:val="single" w:color="000000" w:sz="8" w:space="0"/>
              <w:right w:val="nil"/>
            </w:tcBorders>
          </w:tcPr>
          <w:p>
            <w:pPr>
              <w:autoSpaceDE w:val="0"/>
              <w:autoSpaceDN w:val="0"/>
              <w:spacing w:line="340" w:lineRule="exact"/>
              <w:ind w:firstLine="1866"/>
              <w:rPr>
                <w:rFonts w:ascii="宋体" w:hAnsi="宋体" w:cs="宋体" w:eastAsiaTheme="minorEastAsia"/>
                <w:spacing w:val="-4"/>
                <w:kern w:val="0"/>
                <w:szCs w:val="21"/>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pPr>
              <w:autoSpaceDE w:val="0"/>
              <w:autoSpaceDN w:val="0"/>
              <w:spacing w:line="340" w:lineRule="exact"/>
              <w:ind w:firstLine="1866"/>
              <w:rPr>
                <w:rFonts w:ascii="宋体" w:hAnsi="宋体" w:cs="宋体" w:eastAsiaTheme="minorEastAsia"/>
                <w:spacing w:val="-4"/>
                <w:kern w:val="0"/>
                <w:szCs w:val="21"/>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pPr>
              <w:autoSpaceDE w:val="0"/>
              <w:autoSpaceDN w:val="0"/>
              <w:spacing w:line="340" w:lineRule="exact"/>
              <w:ind w:firstLine="1866"/>
              <w:rPr>
                <w:rFonts w:ascii="宋体" w:hAnsi="宋体" w:cs="宋体" w:eastAsiaTheme="minorEastAsia"/>
                <w:spacing w:val="-4"/>
                <w:kern w:val="0"/>
                <w:szCs w:val="21"/>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auto" w:sz="8" w:space="0"/>
              <w:right w:val="nil"/>
            </w:tcBorders>
          </w:tcPr>
          <w:p>
            <w:pPr>
              <w:autoSpaceDE w:val="0"/>
              <w:autoSpaceDN w:val="0"/>
              <w:spacing w:line="340" w:lineRule="exact"/>
              <w:ind w:firstLine="1866"/>
              <w:rPr>
                <w:rFonts w:ascii="宋体" w:hAnsi="宋体" w:cs="宋体" w:eastAsiaTheme="minorEastAsia"/>
                <w:spacing w:val="-4"/>
                <w:kern w:val="0"/>
                <w:szCs w:val="21"/>
              </w:rPr>
            </w:pPr>
          </w:p>
        </w:tc>
      </w:tr>
    </w:tbl>
    <w:p>
      <w:pPr>
        <w:widowControl/>
        <w:wordWrap w:val="0"/>
        <w:autoSpaceDE w:val="0"/>
        <w:autoSpaceDN w:val="0"/>
        <w:spacing w:line="340" w:lineRule="exact"/>
        <w:ind w:right="808" w:firstLine="404" w:firstLineChars="200"/>
        <w:jc w:val="right"/>
        <w:rPr>
          <w:rFonts w:ascii="宋体" w:hAnsi="宋体" w:cs="宋体"/>
          <w:spacing w:val="-4"/>
          <w:kern w:val="0"/>
          <w:szCs w:val="21"/>
        </w:rPr>
      </w:pPr>
    </w:p>
    <w:p>
      <w:pPr>
        <w:widowControl/>
        <w:wordWrap w:val="0"/>
        <w:autoSpaceDE w:val="0"/>
        <w:autoSpaceDN w:val="0"/>
        <w:spacing w:line="340" w:lineRule="exact"/>
        <w:ind w:right="808" w:firstLine="404" w:firstLineChars="200"/>
        <w:jc w:val="right"/>
        <w:rPr>
          <w:rFonts w:ascii="宋体" w:hAnsi="宋体" w:cs="宋体"/>
          <w:spacing w:val="-4"/>
          <w:kern w:val="0"/>
          <w:szCs w:val="21"/>
          <w:u w:val="single"/>
        </w:rPr>
      </w:pPr>
      <w:r>
        <w:rPr>
          <w:rFonts w:hint="eastAsia" w:ascii="宋体" w:hAnsi="宋体" w:cs="宋体"/>
          <w:spacing w:val="-4"/>
          <w:kern w:val="0"/>
          <w:szCs w:val="21"/>
        </w:rPr>
        <w:t>单位负责人签名：</w:t>
      </w:r>
      <w:r>
        <w:rPr>
          <w:rFonts w:hint="eastAsia" w:ascii="宋体" w:hAnsi="宋体" w:cs="宋体"/>
          <w:spacing w:val="-4"/>
          <w:kern w:val="0"/>
          <w:szCs w:val="21"/>
          <w:u w:val="single"/>
        </w:rPr>
        <w:t xml:space="preserve">              </w:t>
      </w:r>
    </w:p>
    <w:p>
      <w:pPr>
        <w:widowControl/>
        <w:wordWrap w:val="0"/>
        <w:autoSpaceDE w:val="0"/>
        <w:autoSpaceDN w:val="0"/>
        <w:spacing w:line="340" w:lineRule="exact"/>
        <w:ind w:right="808" w:firstLine="404" w:firstLineChars="200"/>
        <w:jc w:val="center"/>
        <w:rPr>
          <w:rFonts w:ascii="宋体" w:hAnsi="宋体" w:cs="宋体"/>
          <w:spacing w:val="-4"/>
          <w:kern w:val="0"/>
          <w:szCs w:val="21"/>
          <w:u w:val="single"/>
        </w:rPr>
      </w:pPr>
      <w:r>
        <w:rPr>
          <w:rFonts w:hint="eastAsia" w:ascii="宋体" w:hAnsi="宋体" w:cs="宋体"/>
          <w:spacing w:val="-4"/>
          <w:kern w:val="0"/>
          <w:szCs w:val="21"/>
        </w:rPr>
        <w:t xml:space="preserve">                                 （加盖公章）</w:t>
      </w:r>
    </w:p>
    <w:p>
      <w:pPr>
        <w:widowControl/>
        <w:wordWrap w:val="0"/>
        <w:autoSpaceDE w:val="0"/>
        <w:autoSpaceDN w:val="0"/>
        <w:spacing w:line="340" w:lineRule="exact"/>
        <w:ind w:right="808" w:firstLine="404" w:firstLineChars="200"/>
        <w:jc w:val="right"/>
        <w:rPr>
          <w:rFonts w:ascii="宋体" w:hAnsi="宋体" w:cs="宋体"/>
          <w:spacing w:val="-4"/>
          <w:kern w:val="0"/>
          <w:szCs w:val="21"/>
          <w:u w:val="single"/>
        </w:rPr>
      </w:pPr>
      <w:r>
        <w:rPr>
          <w:rFonts w:hint="eastAsia" w:ascii="宋体" w:hAnsi="宋体" w:cs="宋体"/>
          <w:spacing w:val="-4"/>
          <w:kern w:val="0"/>
          <w:szCs w:val="21"/>
        </w:rPr>
        <w:t xml:space="preserve">     日期：</w:t>
      </w:r>
      <w:r>
        <w:rPr>
          <w:rFonts w:hint="eastAsia" w:ascii="宋体" w:hAnsi="宋体" w:cs="宋体"/>
          <w:spacing w:val="-4"/>
          <w:kern w:val="0"/>
          <w:szCs w:val="21"/>
          <w:u w:val="single"/>
        </w:rPr>
        <w:t xml:space="preserve">              </w:t>
      </w:r>
    </w:p>
    <w:p>
      <w:pPr>
        <w:widowControl/>
        <w:autoSpaceDE w:val="0"/>
        <w:autoSpaceDN w:val="0"/>
        <w:spacing w:line="340" w:lineRule="exact"/>
        <w:ind w:firstLine="405" w:firstLineChars="200"/>
        <w:jc w:val="left"/>
        <w:rPr>
          <w:rFonts w:ascii="宋体" w:hAnsi="宋体" w:cs="宋体"/>
          <w:b/>
          <w:bCs/>
          <w:spacing w:val="-4"/>
          <w:kern w:val="0"/>
          <w:szCs w:val="21"/>
        </w:rPr>
      </w:pPr>
    </w:p>
    <w:p>
      <w:pPr>
        <w:widowControl/>
        <w:autoSpaceDE w:val="0"/>
        <w:autoSpaceDN w:val="0"/>
        <w:spacing w:line="340" w:lineRule="exact"/>
        <w:ind w:firstLine="405" w:firstLineChars="200"/>
        <w:jc w:val="left"/>
        <w:rPr>
          <w:rFonts w:ascii="宋体" w:hAnsi="宋体" w:cs="宋体"/>
          <w:b/>
          <w:bCs/>
          <w:spacing w:val="-4"/>
          <w:kern w:val="0"/>
          <w:szCs w:val="21"/>
        </w:rPr>
      </w:pPr>
      <w:r>
        <w:rPr>
          <w:rFonts w:hint="eastAsia" w:ascii="宋体" w:hAnsi="宋体" w:cs="宋体"/>
          <w:b/>
          <w:bCs/>
          <w:spacing w:val="-4"/>
          <w:kern w:val="0"/>
          <w:szCs w:val="21"/>
        </w:rPr>
        <w:t>注：1.《政府采购违法行为风险知悉确认书》需由投标供应商负责人签字并加盖单位公章后，扫描上传至投标文件一并提交。</w:t>
      </w:r>
    </w:p>
    <w:p>
      <w:pPr>
        <w:pStyle w:val="194"/>
        <w:rPr>
          <w:lang w:bidi="ar"/>
        </w:rPr>
      </w:pPr>
      <w:r>
        <w:rPr>
          <w:rFonts w:hint="eastAsia" w:ascii="宋体" w:hAnsi="宋体" w:cs="宋体"/>
          <w:b/>
          <w:bCs/>
          <w:spacing w:val="-4"/>
          <w:kern w:val="0"/>
          <w:szCs w:val="21"/>
        </w:rPr>
        <w:t>2.根据《深圳市财政局关于在采购文件及深圳政府采购智慧平台增设供应商投标特别警示条款等事宜的通知》（深财购〔2025〕7号）的要求，《政府采购违法行为风险知悉确认书》用于对供应商违法行为的提醒，不作为供应商资格性审查及符合性审查条件。</w:t>
      </w:r>
    </w:p>
    <w:p>
      <w:pPr>
        <w:widowControl/>
        <w:autoSpaceDE w:val="0"/>
        <w:autoSpaceDN w:val="0"/>
        <w:spacing w:line="400" w:lineRule="exact"/>
        <w:ind w:firstLine="404" w:firstLineChars="200"/>
        <w:jc w:val="left"/>
        <w:rPr>
          <w:rFonts w:ascii="宋体" w:hAnsi="宋体" w:eastAsiaTheme="minorEastAsia"/>
          <w:color w:val="FF0000"/>
          <w:spacing w:val="-4"/>
          <w:kern w:val="0"/>
          <w:szCs w:val="21"/>
        </w:rPr>
      </w:pPr>
    </w:p>
    <w:p>
      <w:pPr>
        <w:widowControl/>
        <w:autoSpaceDE w:val="0"/>
        <w:autoSpaceDN w:val="0"/>
        <w:spacing w:line="400" w:lineRule="exact"/>
        <w:ind w:right="1414" w:firstLine="480" w:firstLineChars="200"/>
        <w:jc w:val="right"/>
        <w:rPr>
          <w:rFonts w:eastAsiaTheme="minorEastAsia"/>
          <w:kern w:val="0"/>
          <w:sz w:val="24"/>
        </w:rPr>
      </w:pPr>
    </w:p>
    <w:p>
      <w:pPr>
        <w:jc w:val="center"/>
        <w:rPr>
          <w:rFonts w:ascii="黑体" w:eastAsia="黑体"/>
          <w:sz w:val="24"/>
          <w:szCs w:val="20"/>
        </w:rPr>
      </w:pPr>
      <w:r>
        <w:rPr>
          <w:rFonts w:hint="eastAsia" w:ascii="黑体" w:eastAsia="黑体"/>
          <w:sz w:val="24"/>
          <w:szCs w:val="20"/>
        </w:rPr>
        <w:t>（二）订单融资情况</w:t>
      </w:r>
    </w:p>
    <w:p>
      <w:pPr>
        <w:ind w:firstLine="421" w:firstLineChars="200"/>
        <w:rPr>
          <w:rFonts w:ascii="宋体" w:hAnsi="宋体" w:cs="宋体"/>
          <w:b/>
          <w:bCs/>
        </w:rPr>
      </w:pPr>
      <w:r>
        <w:rPr>
          <w:rFonts w:hint="eastAsia" w:ascii="宋体" w:hAnsi="宋体" w:cs="宋体"/>
          <w:b/>
          <w:bCs/>
        </w:rPr>
        <w:t>1.关于政府采购订单融资政策</w:t>
      </w:r>
    </w:p>
    <w:p>
      <w:pPr>
        <w:pStyle w:val="2"/>
        <w:spacing w:line="240" w:lineRule="auto"/>
        <w:ind w:firstLine="420" w:firstLineChars="200"/>
        <w:rPr>
          <w:b w:val="0"/>
          <w:sz w:val="21"/>
          <w:szCs w:val="21"/>
        </w:rPr>
      </w:pPr>
      <w:r>
        <w:rPr>
          <w:rFonts w:hint="eastAsia"/>
          <w:b w:val="0"/>
          <w:sz w:val="21"/>
          <w:szCs w:val="21"/>
        </w:rPr>
        <w:t>为深入贯彻落实国家深化政府采购制度改革精神，充分发挥政府采购扶持中小企业发展的政策功能，缓解中小微企业融资难、融资贵的问题，根据《深圳市财政局关于加大力度运用政府采购订单融资政策支持企业发展的通知》要求，参与深圳市政府采购活动供应商可凭借所获取的深圳市政府采购中标通知书与采购合同，向参与订单融资业务的金融机构提出融资申请，金融机构以各自信贷政策为基础，为中标（成交）供应商提供融资授信，订单融资具体流程可登录深圳要素交易金融服务平台(https://finance.szexgrp.com/gtm/web/guarantee/#/)，相关政策法规参阅深圳市政府采购监管网（http://zfcg.sz.gov.cn/）信息公开栏目。</w:t>
      </w:r>
    </w:p>
    <w:p>
      <w:pPr>
        <w:ind w:firstLine="421" w:firstLineChars="200"/>
        <w:rPr>
          <w:rFonts w:ascii="宋体" w:hAnsi="宋体" w:cs="宋体"/>
          <w:b/>
          <w:bCs/>
        </w:rPr>
      </w:pPr>
      <w:r>
        <w:rPr>
          <w:rFonts w:hint="eastAsia" w:ascii="宋体" w:hAnsi="宋体" w:cs="宋体"/>
          <w:b/>
          <w:bCs/>
        </w:rPr>
        <w:t>2.供应商账户信息</w:t>
      </w:r>
    </w:p>
    <w:p>
      <w:pPr>
        <w:ind w:left="420" w:leftChars="200" w:firstLine="210" w:firstLineChars="100"/>
        <w:rPr>
          <w:szCs w:val="21"/>
        </w:rPr>
      </w:pPr>
      <w:r>
        <w:rPr>
          <w:rFonts w:hint="eastAsia"/>
          <w:szCs w:val="21"/>
        </w:rPr>
        <w:t>投标人（单位全称）：</w:t>
      </w:r>
      <w:r>
        <w:rPr>
          <w:rFonts w:hint="eastAsia"/>
          <w:szCs w:val="21"/>
          <w:u w:val="thick"/>
        </w:rPr>
        <w:t xml:space="preserve">                           </w:t>
      </w:r>
      <w:r>
        <w:rPr>
          <w:rFonts w:hint="eastAsia"/>
          <w:szCs w:val="21"/>
        </w:rPr>
        <w:t xml:space="preserve">；  </w:t>
      </w:r>
    </w:p>
    <w:p>
      <w:pPr>
        <w:ind w:left="420" w:leftChars="200" w:firstLine="210" w:firstLineChars="100"/>
        <w:rPr>
          <w:szCs w:val="21"/>
        </w:rPr>
      </w:pPr>
      <w:r>
        <w:rPr>
          <w:rFonts w:hint="eastAsia"/>
          <w:szCs w:val="21"/>
        </w:rPr>
        <w:t>投标人单位地址：</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法定代表人（负责人）或其授权委托代理人：</w:t>
      </w:r>
      <w:r>
        <w:rPr>
          <w:rFonts w:hint="eastAsia"/>
          <w:szCs w:val="21"/>
          <w:u w:val="thick"/>
        </w:rPr>
        <w:t xml:space="preserve">                      </w:t>
      </w:r>
      <w:r>
        <w:rPr>
          <w:rFonts w:hint="eastAsia"/>
          <w:szCs w:val="21"/>
        </w:rPr>
        <w:t>；</w:t>
      </w:r>
    </w:p>
    <w:p>
      <w:pPr>
        <w:ind w:left="420" w:leftChars="200" w:firstLine="210" w:firstLineChars="100"/>
        <w:rPr>
          <w:szCs w:val="21"/>
          <w:u w:val="thick"/>
        </w:rPr>
      </w:pPr>
      <w:r>
        <w:rPr>
          <w:rFonts w:hint="eastAsia"/>
          <w:szCs w:val="21"/>
        </w:rPr>
        <w:t>联系电话：</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开户银行名称：</w:t>
      </w:r>
      <w:r>
        <w:rPr>
          <w:rFonts w:hint="eastAsia"/>
          <w:szCs w:val="21"/>
          <w:u w:val="thick"/>
        </w:rPr>
        <w:t xml:space="preserve">                                                 </w:t>
      </w:r>
      <w:r>
        <w:rPr>
          <w:rFonts w:hint="eastAsia"/>
          <w:szCs w:val="21"/>
        </w:rPr>
        <w:t>；</w:t>
      </w:r>
    </w:p>
    <w:p>
      <w:pPr>
        <w:ind w:left="420" w:leftChars="200" w:firstLine="210" w:firstLineChars="100"/>
        <w:rPr>
          <w:szCs w:val="21"/>
          <w:u w:val="thick"/>
        </w:rPr>
      </w:pPr>
      <w:r>
        <w:rPr>
          <w:rFonts w:hint="eastAsia"/>
          <w:szCs w:val="21"/>
        </w:rPr>
        <w:t>开户银行账号：</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开户银行地址：</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 xml:space="preserve"> </w:t>
      </w:r>
      <w:r>
        <w:rPr>
          <w:rFonts w:hint="eastAsia" w:ascii="宋体" w:hAnsi="宋体" w:eastAsiaTheme="minorEastAsia"/>
          <w:b/>
          <w:bCs/>
          <w:color w:val="FF0000"/>
          <w:spacing w:val="-4"/>
          <w:kern w:val="0"/>
          <w:szCs w:val="21"/>
        </w:rPr>
        <w:t>注：本项填写内容作为订单融资开展的参考信息，不作为供应商资格性审查及符合性审查条件。</w:t>
      </w:r>
    </w:p>
    <w:p>
      <w:pPr>
        <w:widowControl/>
        <w:autoSpaceDE w:val="0"/>
        <w:autoSpaceDN w:val="0"/>
        <w:spacing w:line="400" w:lineRule="exact"/>
        <w:ind w:right="1414" w:firstLine="480" w:firstLineChars="200"/>
        <w:jc w:val="right"/>
        <w:rPr>
          <w:rFonts w:eastAsiaTheme="minorEastAsia"/>
          <w:kern w:val="0"/>
          <w:sz w:val="24"/>
        </w:rPr>
      </w:pPr>
    </w:p>
    <w:p>
      <w:pPr>
        <w:widowControl/>
        <w:autoSpaceDE w:val="0"/>
        <w:autoSpaceDN w:val="0"/>
        <w:spacing w:line="400" w:lineRule="exact"/>
        <w:ind w:right="1414" w:firstLine="480" w:firstLineChars="200"/>
        <w:jc w:val="right"/>
        <w:rPr>
          <w:rFonts w:eastAsiaTheme="minorEastAsia"/>
          <w:kern w:val="0"/>
          <w:sz w:val="24"/>
        </w:rPr>
      </w:pPr>
    </w:p>
    <w:p>
      <w:pPr>
        <w:rPr>
          <w:sz w:val="24"/>
        </w:rPr>
      </w:pPr>
    </w:p>
    <w:p>
      <w:pPr>
        <w:widowControl/>
        <w:spacing w:line="360" w:lineRule="auto"/>
        <w:jc w:val="left"/>
        <w:rPr>
          <w:rFonts w:eastAsiaTheme="minorEastAsia"/>
          <w:b/>
          <w:bCs/>
          <w:kern w:val="0"/>
          <w:sz w:val="24"/>
        </w:rPr>
      </w:pPr>
    </w:p>
    <w:p>
      <w:pPr>
        <w:widowControl/>
        <w:jc w:val="center"/>
        <w:rPr>
          <w:rFonts w:ascii="黑体" w:hAnsi="宋体" w:eastAsia="黑体"/>
          <w:kern w:val="0"/>
          <w:sz w:val="24"/>
          <w:szCs w:val="20"/>
        </w:rPr>
      </w:pPr>
      <w:r>
        <w:rPr>
          <w:rFonts w:hint="eastAsia" w:ascii="黑体" w:hAnsi="宋体" w:eastAsia="黑体"/>
          <w:kern w:val="0"/>
          <w:sz w:val="24"/>
          <w:szCs w:val="20"/>
        </w:rPr>
        <w:t>（三）投标人认为需要加以说明的其他内容（格式自定）</w:t>
      </w:r>
    </w:p>
    <w:p/>
    <w:p>
      <w:pPr>
        <w:pStyle w:val="2"/>
        <w:sectPr>
          <w:pgSz w:w="11907" w:h="16840"/>
          <w:pgMar w:top="1440" w:right="1797" w:bottom="1440" w:left="1797" w:header="851" w:footer="992" w:gutter="0"/>
          <w:cols w:space="425" w:num="1"/>
          <w:titlePg/>
          <w:docGrid w:linePitch="462" w:charSpace="0"/>
        </w:sectPr>
      </w:pPr>
    </w:p>
    <w:p>
      <w:pPr>
        <w:pStyle w:val="2"/>
      </w:pPr>
    </w:p>
    <w:p>
      <w:pPr>
        <w:pStyle w:val="7"/>
      </w:pPr>
      <w:r>
        <w:rPr>
          <w:rFonts w:hint="eastAsia"/>
        </w:rPr>
        <w:t>第五章  合同条款及格式</w:t>
      </w:r>
    </w:p>
    <w:p>
      <w:pPr>
        <w:ind w:firstLine="411" w:firstLineChars="196"/>
      </w:pPr>
    </w:p>
    <w:p>
      <w:pPr>
        <w:jc w:val="center"/>
      </w:pPr>
      <w:r>
        <w:rPr>
          <w:rFonts w:hint="eastAsia"/>
          <w:b/>
          <w:sz w:val="24"/>
        </w:rPr>
        <w:t>（仅供参考，具体以项目需求及采购结果为准）</w:t>
      </w:r>
    </w:p>
    <w:p>
      <w:pPr>
        <w:rPr>
          <w:rFonts w:ascii="宋体" w:hAnsi="宋体"/>
          <w:b/>
          <w:bCs/>
          <w:szCs w:val="21"/>
        </w:rPr>
      </w:pPr>
      <w:r>
        <w:rPr>
          <w:rFonts w:hint="eastAsia" w:ascii="宋体" w:hAnsi="宋体"/>
          <w:b/>
          <w:bCs/>
          <w:szCs w:val="21"/>
        </w:rPr>
        <w:t>甲方：</w:t>
      </w:r>
    </w:p>
    <w:p>
      <w:pPr>
        <w:rPr>
          <w:rFonts w:ascii="宋体" w:hAnsi="宋体"/>
          <w:szCs w:val="21"/>
        </w:rPr>
      </w:pPr>
      <w:r>
        <w:rPr>
          <w:rFonts w:hint="eastAsia" w:ascii="宋体" w:hAnsi="宋体"/>
          <w:szCs w:val="21"/>
        </w:rPr>
        <w:t>地址：</w:t>
      </w:r>
    </w:p>
    <w:p>
      <w:pPr>
        <w:rPr>
          <w:rFonts w:ascii="宋体" w:hAnsi="宋体"/>
          <w:szCs w:val="21"/>
        </w:rPr>
      </w:pPr>
      <w:r>
        <w:rPr>
          <w:rFonts w:hint="eastAsia" w:ascii="宋体" w:hAnsi="宋体"/>
          <w:szCs w:val="21"/>
        </w:rPr>
        <w:t>联系人：</w:t>
      </w:r>
      <w:r>
        <w:rPr>
          <w:rFonts w:ascii="宋体" w:hAnsi="宋体"/>
          <w:szCs w:val="21"/>
        </w:rPr>
        <w:t xml:space="preserve">                          </w:t>
      </w:r>
    </w:p>
    <w:p>
      <w:pPr>
        <w:rPr>
          <w:rFonts w:ascii="宋体" w:hAnsi="宋体"/>
          <w:b/>
          <w:bCs/>
          <w:szCs w:val="21"/>
        </w:rPr>
      </w:pPr>
      <w:r>
        <w:rPr>
          <w:rFonts w:hint="eastAsia" w:ascii="宋体" w:hAnsi="宋体"/>
          <w:szCs w:val="21"/>
        </w:rPr>
        <w:t>联系电话：</w:t>
      </w:r>
    </w:p>
    <w:p>
      <w:pPr>
        <w:rPr>
          <w:rFonts w:ascii="宋体" w:hAnsi="宋体"/>
          <w:b/>
          <w:bCs/>
          <w:szCs w:val="21"/>
        </w:rPr>
      </w:pPr>
      <w:r>
        <w:rPr>
          <w:rFonts w:ascii="宋体" w:hAnsi="宋体"/>
          <w:b/>
          <w:bCs/>
          <w:szCs w:val="21"/>
        </w:rPr>
        <w:t xml:space="preserve"> </w:t>
      </w:r>
      <w:r>
        <w:rPr>
          <w:rFonts w:hint="eastAsia" w:ascii="宋体" w:hAnsi="宋体"/>
          <w:b/>
          <w:bCs/>
          <w:szCs w:val="21"/>
        </w:rPr>
        <w:t xml:space="preserve"> </w:t>
      </w:r>
      <w:r>
        <w:rPr>
          <w:rFonts w:ascii="宋体" w:hAnsi="宋体"/>
          <w:b/>
          <w:bCs/>
          <w:szCs w:val="21"/>
        </w:rPr>
        <w:t xml:space="preserve"> </w:t>
      </w:r>
    </w:p>
    <w:p>
      <w:pPr>
        <w:rPr>
          <w:rFonts w:ascii="宋体" w:hAnsi="宋体"/>
          <w:b/>
          <w:bCs/>
          <w:szCs w:val="21"/>
        </w:rPr>
      </w:pPr>
      <w:r>
        <w:rPr>
          <w:rFonts w:hint="eastAsia" w:ascii="宋体" w:hAnsi="宋体"/>
          <w:b/>
          <w:bCs/>
          <w:szCs w:val="21"/>
        </w:rPr>
        <w:t>乙方：</w:t>
      </w:r>
    </w:p>
    <w:p>
      <w:pPr>
        <w:rPr>
          <w:rFonts w:ascii="宋体" w:hAnsi="宋体"/>
          <w:szCs w:val="21"/>
        </w:rPr>
      </w:pPr>
      <w:r>
        <w:rPr>
          <w:rFonts w:hint="eastAsia" w:ascii="宋体" w:hAnsi="宋体"/>
          <w:szCs w:val="21"/>
        </w:rPr>
        <w:t>地址：</w:t>
      </w:r>
    </w:p>
    <w:p>
      <w:pPr>
        <w:rPr>
          <w:rFonts w:ascii="宋体" w:hAnsi="宋体"/>
          <w:szCs w:val="21"/>
        </w:rPr>
      </w:pPr>
      <w:r>
        <w:rPr>
          <w:rFonts w:hint="eastAsia" w:ascii="宋体" w:hAnsi="宋体"/>
          <w:szCs w:val="21"/>
        </w:rPr>
        <w:t>联系人：</w:t>
      </w:r>
      <w:r>
        <w:rPr>
          <w:rFonts w:ascii="宋体" w:hAnsi="宋体"/>
          <w:szCs w:val="21"/>
        </w:rPr>
        <w:t xml:space="preserve">                          </w:t>
      </w:r>
    </w:p>
    <w:p>
      <w:pPr>
        <w:rPr>
          <w:rFonts w:ascii="宋体" w:hAnsi="宋体"/>
          <w:b/>
          <w:bCs/>
          <w:szCs w:val="21"/>
        </w:rPr>
      </w:pPr>
      <w:r>
        <w:rPr>
          <w:rFonts w:hint="eastAsia" w:ascii="宋体" w:hAnsi="宋体"/>
          <w:szCs w:val="21"/>
        </w:rPr>
        <w:t>联系电话：</w:t>
      </w:r>
    </w:p>
    <w:p>
      <w:pPr>
        <w:rPr>
          <w:rFonts w:ascii="宋体" w:hAnsi="宋体"/>
          <w:szCs w:val="21"/>
        </w:rPr>
      </w:pPr>
      <w:r>
        <w:rPr>
          <w:rFonts w:ascii="宋体" w:hAnsi="宋体"/>
          <w:b/>
          <w:bCs/>
          <w:szCs w:val="21"/>
        </w:rPr>
        <w:t xml:space="preserve">            </w:t>
      </w:r>
      <w:r>
        <w:rPr>
          <w:rFonts w:hint="eastAsia" w:ascii="宋体" w:hAnsi="宋体"/>
          <w:b/>
          <w:bCs/>
          <w:szCs w:val="21"/>
        </w:rPr>
        <w:t xml:space="preserve">          </w:t>
      </w:r>
    </w:p>
    <w:p>
      <w:pPr>
        <w:rPr>
          <w:rFonts w:ascii="宋体" w:hAnsi="宋体"/>
          <w:szCs w:val="21"/>
        </w:rPr>
      </w:pPr>
    </w:p>
    <w:p>
      <w:pPr>
        <w:ind w:firstLine="420" w:firstLineChars="200"/>
        <w:rPr>
          <w:rFonts w:ascii="宋体" w:hAnsi="宋体"/>
          <w:szCs w:val="21"/>
        </w:rPr>
      </w:pPr>
      <w:r>
        <w:rPr>
          <w:rFonts w:hint="eastAsia" w:ascii="宋体" w:hAnsi="宋体"/>
          <w:szCs w:val="21"/>
        </w:rPr>
        <w:t>根据深圳公共资源交易中心（深圳交易集团有限公司*</w:t>
      </w:r>
      <w:r>
        <w:rPr>
          <w:rFonts w:ascii="宋体" w:hAnsi="宋体"/>
          <w:szCs w:val="21"/>
        </w:rPr>
        <w:t>**</w:t>
      </w:r>
      <w:r>
        <w:rPr>
          <w:rFonts w:hint="eastAsia" w:ascii="宋体" w:hAnsi="宋体"/>
          <w:szCs w:val="21"/>
        </w:rPr>
        <w:t>分公司）*</w:t>
      </w:r>
      <w:r>
        <w:rPr>
          <w:rFonts w:ascii="宋体" w:hAnsi="宋体"/>
          <w:szCs w:val="21"/>
        </w:rPr>
        <w:t>**</w:t>
      </w:r>
      <w:r>
        <w:rPr>
          <w:rFonts w:hint="eastAsia" w:ascii="宋体" w:hAnsi="宋体"/>
          <w:szCs w:val="21"/>
        </w:rPr>
        <w:t>号项目结果，*</w:t>
      </w:r>
      <w:r>
        <w:rPr>
          <w:rFonts w:ascii="宋体" w:hAnsi="宋体"/>
          <w:szCs w:val="21"/>
        </w:rPr>
        <w:t>**</w:t>
      </w:r>
      <w:r>
        <w:rPr>
          <w:rFonts w:hint="eastAsia" w:ascii="宋体" w:hAnsi="宋体"/>
          <w:szCs w:val="21"/>
        </w:rPr>
        <w:t>单位为中标人。按照《中华人民共和国民法典》（第三编 合同）和《深圳经济特区政府采购条例》，经深圳市（以下简称甲方）和单位（以下简称乙方）协商，就甲方委托乙方承担</w:t>
      </w:r>
      <w:r>
        <w:rPr>
          <w:rFonts w:hint="eastAsia" w:ascii="宋体" w:hAnsi="宋体"/>
          <w:b/>
          <w:bCs/>
          <w:snapToGrid w:val="0"/>
          <w:kern w:val="0"/>
          <w:szCs w:val="21"/>
          <w:u w:val="single"/>
          <w:lang w:val="zh-CN"/>
        </w:rPr>
        <w:t xml:space="preserve">                      服务项目</w:t>
      </w:r>
      <w:r>
        <w:rPr>
          <w:rFonts w:hint="eastAsia" w:ascii="宋体" w:hAnsi="宋体"/>
          <w:szCs w:val="21"/>
        </w:rPr>
        <w:t>，达成以下合同条款：</w:t>
      </w:r>
    </w:p>
    <w:p>
      <w:pPr>
        <w:ind w:firstLine="421" w:firstLineChars="200"/>
        <w:rPr>
          <w:rFonts w:ascii="宋体" w:hAnsi="宋体"/>
          <w:b/>
          <w:bCs/>
          <w:szCs w:val="21"/>
        </w:rPr>
      </w:pPr>
      <w:r>
        <w:rPr>
          <w:rFonts w:hint="eastAsia" w:ascii="宋体" w:hAnsi="宋体"/>
          <w:b/>
          <w:bCs/>
          <w:szCs w:val="21"/>
        </w:rPr>
        <w:t>第一条　项目概况</w:t>
      </w:r>
    </w:p>
    <w:p>
      <w:pPr>
        <w:ind w:firstLine="420" w:firstLineChars="200"/>
        <w:rPr>
          <w:rFonts w:ascii="宋体" w:hAnsi="宋体"/>
          <w:szCs w:val="21"/>
        </w:rPr>
      </w:pPr>
      <w:r>
        <w:rPr>
          <w:rFonts w:hint="eastAsia" w:ascii="宋体" w:hAnsi="宋体"/>
          <w:szCs w:val="21"/>
        </w:rPr>
        <w:t xml:space="preserve">项目名称： </w:t>
      </w:r>
    </w:p>
    <w:p>
      <w:pPr>
        <w:ind w:firstLine="420" w:firstLineChars="200"/>
        <w:rPr>
          <w:rFonts w:ascii="宋体" w:hAnsi="宋体"/>
          <w:szCs w:val="21"/>
        </w:rPr>
      </w:pPr>
      <w:r>
        <w:rPr>
          <w:rFonts w:hint="eastAsia" w:ascii="宋体" w:hAnsi="宋体"/>
          <w:szCs w:val="21"/>
        </w:rPr>
        <w:t xml:space="preserve">项目内容： </w:t>
      </w:r>
    </w:p>
    <w:p>
      <w:pPr>
        <w:ind w:firstLine="420" w:firstLineChars="200"/>
        <w:rPr>
          <w:rFonts w:ascii="宋体" w:hAnsi="宋体"/>
          <w:szCs w:val="21"/>
        </w:rPr>
      </w:pPr>
      <w:r>
        <w:rPr>
          <w:rFonts w:hint="eastAsia" w:ascii="宋体" w:hAnsi="宋体"/>
          <w:szCs w:val="21"/>
        </w:rPr>
        <w:t xml:space="preserve">服务时间： </w:t>
      </w:r>
    </w:p>
    <w:p>
      <w:pPr>
        <w:ind w:firstLine="420" w:firstLineChars="200"/>
        <w:rPr>
          <w:rFonts w:ascii="宋体" w:hAnsi="宋体"/>
          <w:szCs w:val="21"/>
        </w:rPr>
      </w:pPr>
      <w:r>
        <w:rPr>
          <w:rFonts w:hint="eastAsia" w:ascii="宋体" w:hAnsi="宋体"/>
          <w:szCs w:val="21"/>
        </w:rPr>
        <w:t>合同价款：合同总价为元，含一切税、费。</w:t>
      </w:r>
      <w:r>
        <w:t>本合同总价包括</w:t>
      </w:r>
      <w:r>
        <w:rPr>
          <w:rFonts w:hint="eastAsia" w:ascii="宋体" w:hAnsi="宋体"/>
          <w:szCs w:val="21"/>
        </w:rPr>
        <w:t>乙方为实施本项目*</w:t>
      </w:r>
      <w:r>
        <w:rPr>
          <w:rFonts w:ascii="宋体" w:hAnsi="宋体"/>
          <w:szCs w:val="21"/>
        </w:rPr>
        <w:t>**</w:t>
      </w:r>
      <w:r>
        <w:rPr>
          <w:rFonts w:hint="eastAsia" w:ascii="宋体" w:hAnsi="宋体"/>
          <w:szCs w:val="21"/>
        </w:rPr>
        <w:t>所需的设备仪器费、车辆租赁费、</w:t>
      </w:r>
      <w:r>
        <w:t>服务</w:t>
      </w:r>
      <w:r>
        <w:rPr>
          <w:rFonts w:hint="eastAsia"/>
        </w:rPr>
        <w:t>和</w:t>
      </w:r>
      <w:r>
        <w:t>技术费用</w:t>
      </w:r>
      <w:r>
        <w:rPr>
          <w:rFonts w:hint="eastAsia"/>
        </w:rPr>
        <w:t>等</w:t>
      </w:r>
      <w:r>
        <w:t>，为固定不变价格，且不随通货膨胀的影响而波动。合同总价包括</w:t>
      </w:r>
      <w:r>
        <w:rPr>
          <w:rFonts w:hint="eastAsia" w:ascii="宋体" w:hAnsi="宋体"/>
          <w:szCs w:val="21"/>
        </w:rPr>
        <w:t>乙方</w:t>
      </w:r>
      <w:r>
        <w:t>履行本合同义务所发生的一切费用和支出和以各种方式寄送技术资料到</w:t>
      </w:r>
      <w:r>
        <w:rPr>
          <w:rFonts w:hint="eastAsia"/>
        </w:rPr>
        <w:t>甲</w:t>
      </w:r>
      <w:r>
        <w:t>方办公室所发生的费用。</w:t>
      </w:r>
    </w:p>
    <w:p>
      <w:pPr>
        <w:pStyle w:val="9"/>
        <w:rPr>
          <w:rFonts w:ascii="宋体" w:hAnsi="宋体"/>
          <w:szCs w:val="21"/>
        </w:rPr>
      </w:pPr>
      <w:r>
        <w:rPr>
          <w:rFonts w:hint="eastAsia" w:ascii="宋体" w:hAnsi="宋体"/>
          <w:szCs w:val="21"/>
        </w:rPr>
        <w:t>支付方式：分期支付。</w:t>
      </w:r>
    </w:p>
    <w:p>
      <w:pPr>
        <w:ind w:firstLine="421" w:firstLineChars="200"/>
        <w:rPr>
          <w:rFonts w:ascii="宋体" w:hAnsi="宋体"/>
          <w:b/>
          <w:bCs/>
          <w:szCs w:val="21"/>
        </w:rPr>
      </w:pPr>
      <w:r>
        <w:rPr>
          <w:rFonts w:hint="eastAsia" w:ascii="宋体" w:hAnsi="宋体"/>
          <w:b/>
          <w:bCs/>
          <w:szCs w:val="21"/>
        </w:rPr>
        <w:t>第二条  服务范围</w:t>
      </w:r>
    </w:p>
    <w:p>
      <w:pPr>
        <w:ind w:firstLine="420" w:firstLineChars="200"/>
        <w:rPr>
          <w:rFonts w:ascii="宋体" w:hAnsi="宋体"/>
          <w:szCs w:val="21"/>
        </w:rPr>
      </w:pPr>
      <w:r>
        <w:rPr>
          <w:rFonts w:hint="eastAsia" w:ascii="宋体" w:hAnsi="宋体"/>
          <w:szCs w:val="21"/>
        </w:rPr>
        <w:t xml:space="preserve">1.  </w:t>
      </w:r>
    </w:p>
    <w:p>
      <w:pPr>
        <w:ind w:firstLine="420" w:firstLineChars="200"/>
        <w:rPr>
          <w:rFonts w:ascii="宋体" w:hAnsi="宋体"/>
          <w:szCs w:val="21"/>
        </w:rPr>
      </w:pPr>
      <w:r>
        <w:rPr>
          <w:rFonts w:hint="eastAsia" w:ascii="宋体" w:hAnsi="宋体"/>
          <w:szCs w:val="21"/>
        </w:rPr>
        <w:t xml:space="preserve">2.  </w:t>
      </w:r>
    </w:p>
    <w:p>
      <w:pPr>
        <w:ind w:firstLine="420" w:firstLineChars="200"/>
        <w:rPr>
          <w:rFonts w:ascii="宋体" w:hAnsi="宋体"/>
          <w:szCs w:val="21"/>
        </w:rPr>
      </w:pPr>
      <w:r>
        <w:rPr>
          <w:rFonts w:hint="eastAsia" w:ascii="宋体" w:hAnsi="宋体"/>
          <w:szCs w:val="21"/>
        </w:rPr>
        <w:t xml:space="preserve">3.  </w:t>
      </w:r>
    </w:p>
    <w:p>
      <w:pPr>
        <w:ind w:firstLine="420" w:firstLineChars="200"/>
        <w:rPr>
          <w:rFonts w:ascii="宋体" w:hAnsi="宋体"/>
          <w:szCs w:val="21"/>
        </w:rPr>
      </w:pPr>
      <w:r>
        <w:rPr>
          <w:rFonts w:hint="eastAsia" w:ascii="宋体" w:hAnsi="宋体"/>
          <w:szCs w:val="21"/>
        </w:rPr>
        <w:t>4. 其他合同未明示的相关工作。</w:t>
      </w:r>
    </w:p>
    <w:p>
      <w:pPr>
        <w:ind w:firstLine="421" w:firstLineChars="200"/>
        <w:rPr>
          <w:rFonts w:ascii="宋体" w:hAnsi="宋体"/>
          <w:b/>
          <w:bCs/>
          <w:szCs w:val="21"/>
        </w:rPr>
      </w:pPr>
      <w:r>
        <w:rPr>
          <w:rFonts w:hint="eastAsia" w:ascii="宋体" w:hAnsi="宋体"/>
          <w:b/>
          <w:bCs/>
          <w:szCs w:val="21"/>
        </w:rPr>
        <w:t>第三条  时间要求及阶段成果</w:t>
      </w:r>
    </w:p>
    <w:p>
      <w:pPr>
        <w:ind w:firstLine="420" w:firstLineChars="200"/>
        <w:rPr>
          <w:rFonts w:ascii="宋体" w:hAnsi="宋体"/>
          <w:szCs w:val="21"/>
        </w:rPr>
      </w:pPr>
      <w:r>
        <w:rPr>
          <w:rFonts w:hint="eastAsia" w:ascii="宋体" w:hAnsi="宋体"/>
          <w:szCs w:val="21"/>
        </w:rPr>
        <w:t>1.合同签订天内完成项目实施的准备工作，包括工作大纲和试验细则的编制；</w:t>
      </w:r>
    </w:p>
    <w:p>
      <w:pPr>
        <w:ind w:firstLine="420" w:firstLineChars="200"/>
        <w:rPr>
          <w:rFonts w:ascii="宋体" w:hAnsi="宋体"/>
          <w:szCs w:val="21"/>
        </w:rPr>
      </w:pPr>
      <w:r>
        <w:rPr>
          <w:rFonts w:hint="eastAsia" w:ascii="宋体" w:hAnsi="宋体"/>
          <w:szCs w:val="21"/>
        </w:rPr>
        <w:t xml:space="preserve">2. </w:t>
      </w:r>
    </w:p>
    <w:p>
      <w:pPr>
        <w:ind w:firstLine="420" w:firstLineChars="200"/>
        <w:rPr>
          <w:rFonts w:ascii="宋体" w:hAnsi="宋体"/>
          <w:szCs w:val="21"/>
        </w:rPr>
      </w:pPr>
      <w:r>
        <w:rPr>
          <w:rFonts w:hint="eastAsia" w:ascii="宋体" w:hAnsi="宋体"/>
          <w:szCs w:val="21"/>
        </w:rPr>
        <w:t>3.</w:t>
      </w:r>
    </w:p>
    <w:p>
      <w:pPr>
        <w:ind w:firstLine="420" w:firstLineChars="200"/>
        <w:rPr>
          <w:rFonts w:ascii="宋体" w:hAnsi="宋体"/>
          <w:szCs w:val="21"/>
        </w:rPr>
      </w:pPr>
      <w:r>
        <w:rPr>
          <w:rFonts w:hint="eastAsia" w:ascii="宋体" w:hAnsi="宋体"/>
          <w:szCs w:val="21"/>
        </w:rPr>
        <w:t>4.</w:t>
      </w:r>
    </w:p>
    <w:p>
      <w:pPr>
        <w:ind w:firstLine="421" w:firstLineChars="200"/>
        <w:rPr>
          <w:rFonts w:ascii="宋体" w:hAnsi="宋体"/>
          <w:b/>
          <w:bCs/>
          <w:szCs w:val="21"/>
        </w:rPr>
      </w:pPr>
      <w:r>
        <w:rPr>
          <w:rFonts w:hint="eastAsia" w:ascii="宋体" w:hAnsi="宋体"/>
          <w:b/>
          <w:bCs/>
          <w:szCs w:val="21"/>
        </w:rPr>
        <w:t>第四条  服务资料归属</w:t>
      </w:r>
    </w:p>
    <w:p>
      <w:pPr>
        <w:ind w:firstLine="420" w:firstLineChars="200"/>
      </w:pPr>
      <w:r>
        <w:rPr>
          <w:rFonts w:hint="eastAsia"/>
        </w:rPr>
        <w:t>1.</w:t>
      </w:r>
      <w:r>
        <w:t>所有提交给</w:t>
      </w:r>
      <w:r>
        <w:rPr>
          <w:rFonts w:hint="eastAsia"/>
        </w:rPr>
        <w:t>甲</w:t>
      </w:r>
      <w:r>
        <w:t>方的服务</w:t>
      </w:r>
      <w:r>
        <w:rPr>
          <w:rFonts w:hint="eastAsia"/>
        </w:rPr>
        <w:t>文件</w:t>
      </w:r>
      <w:r>
        <w:t>及相关的资料的最后文本，包括为履行技术服务范围所编制的图纸、计划和证明资料等，都属于</w:t>
      </w:r>
      <w:r>
        <w:rPr>
          <w:rFonts w:hint="eastAsia"/>
        </w:rPr>
        <w:t>甲</w:t>
      </w:r>
      <w:r>
        <w:t>方的财产，</w:t>
      </w:r>
      <w:r>
        <w:rPr>
          <w:rFonts w:hint="eastAsia" w:ascii="宋体" w:hAnsi="宋体"/>
          <w:szCs w:val="21"/>
        </w:rPr>
        <w:t>乙</w:t>
      </w:r>
      <w:r>
        <w:t>方在提交给</w:t>
      </w:r>
      <w:r>
        <w:rPr>
          <w:rFonts w:hint="eastAsia"/>
        </w:rPr>
        <w:t>甲</w:t>
      </w:r>
      <w:r>
        <w:t>方之前应将上述资料进行整理归类和编制索引</w:t>
      </w:r>
      <w:r>
        <w:rPr>
          <w:rFonts w:hint="eastAsia"/>
        </w:rPr>
        <w:t>。</w:t>
      </w:r>
    </w:p>
    <w:p>
      <w:pPr>
        <w:ind w:firstLine="420" w:firstLineChars="200"/>
      </w:pPr>
      <w:r>
        <w:rPr>
          <w:rFonts w:hint="eastAsia"/>
        </w:rPr>
        <w:t>2.</w:t>
      </w:r>
      <w:r>
        <w:rPr>
          <w:rFonts w:hint="eastAsia" w:ascii="宋体" w:hAnsi="宋体"/>
          <w:szCs w:val="21"/>
        </w:rPr>
        <w:t>乙</w:t>
      </w:r>
      <w:r>
        <w:t>方未经</w:t>
      </w:r>
      <w:r>
        <w:rPr>
          <w:rFonts w:hint="eastAsia"/>
        </w:rPr>
        <w:t>甲</w:t>
      </w:r>
      <w:r>
        <w:t>方的书面同意，不得将上述资料用于与本服务项目之外的任何项目</w:t>
      </w:r>
      <w:r>
        <w:rPr>
          <w:rFonts w:hint="eastAsia"/>
        </w:rPr>
        <w:t>。</w:t>
      </w:r>
    </w:p>
    <w:p>
      <w:pPr>
        <w:ind w:firstLine="420" w:firstLineChars="200"/>
      </w:pPr>
      <w:r>
        <w:rPr>
          <w:rFonts w:hint="eastAsia"/>
        </w:rPr>
        <w:t>3.</w:t>
      </w:r>
      <w:r>
        <w:t>合同履行</w:t>
      </w:r>
      <w:r>
        <w:rPr>
          <w:rFonts w:hint="eastAsia"/>
        </w:rPr>
        <w:t>完毕，</w:t>
      </w:r>
      <w:r>
        <w:t>未经</w:t>
      </w:r>
      <w:r>
        <w:rPr>
          <w:rFonts w:hint="eastAsia"/>
        </w:rPr>
        <w:t>甲</w:t>
      </w:r>
      <w:r>
        <w:t>方的书面同意</w:t>
      </w:r>
      <w:r>
        <w:rPr>
          <w:rFonts w:hint="eastAsia"/>
        </w:rPr>
        <w:t>，</w:t>
      </w:r>
      <w:r>
        <w:rPr>
          <w:rFonts w:hint="eastAsia" w:ascii="宋体" w:hAnsi="宋体"/>
          <w:szCs w:val="21"/>
        </w:rPr>
        <w:t>乙</w:t>
      </w:r>
      <w:r>
        <w:t>方</w:t>
      </w:r>
      <w:r>
        <w:rPr>
          <w:rFonts w:hint="eastAsia"/>
        </w:rPr>
        <w:t>不得保存在</w:t>
      </w:r>
      <w:r>
        <w:t>履行合同过程中所获得或接触到的任何</w:t>
      </w:r>
      <w:r>
        <w:rPr>
          <w:rFonts w:hint="eastAsia" w:ascii="宋体" w:hAnsi="宋体"/>
          <w:szCs w:val="21"/>
        </w:rPr>
        <w:t>内部数据资料。</w:t>
      </w:r>
    </w:p>
    <w:p>
      <w:pPr>
        <w:ind w:firstLine="421" w:firstLineChars="200"/>
        <w:rPr>
          <w:rFonts w:ascii="宋体" w:hAnsi="宋体"/>
          <w:b/>
          <w:bCs/>
          <w:szCs w:val="21"/>
        </w:rPr>
      </w:pPr>
      <w:r>
        <w:rPr>
          <w:rFonts w:hint="eastAsia" w:ascii="宋体" w:hAnsi="宋体"/>
          <w:b/>
          <w:bCs/>
          <w:szCs w:val="21"/>
        </w:rPr>
        <w:t>第五条  甲方的义务</w:t>
      </w:r>
    </w:p>
    <w:p>
      <w:pPr>
        <w:ind w:firstLine="420" w:firstLineChars="200"/>
        <w:rPr>
          <w:rFonts w:ascii="宋体" w:hAnsi="宋体"/>
          <w:szCs w:val="21"/>
        </w:rPr>
      </w:pPr>
      <w:r>
        <w:rPr>
          <w:rFonts w:hint="eastAsia" w:ascii="宋体" w:hAnsi="宋体"/>
          <w:szCs w:val="21"/>
        </w:rPr>
        <w:t>1.负责与本服务项目有关的第三方的协调，提供开展服务工作的外部条件。</w:t>
      </w:r>
    </w:p>
    <w:p>
      <w:pPr>
        <w:ind w:firstLine="420" w:firstLineChars="200"/>
        <w:rPr>
          <w:rFonts w:ascii="宋体" w:hAnsi="宋体"/>
          <w:szCs w:val="21"/>
        </w:rPr>
      </w:pPr>
      <w:r>
        <w:rPr>
          <w:rFonts w:hint="eastAsia" w:ascii="宋体" w:hAnsi="宋体"/>
          <w:szCs w:val="21"/>
        </w:rPr>
        <w:t>2.向乙方提供与本项目服务工作有关的资料。</w:t>
      </w:r>
    </w:p>
    <w:p>
      <w:pPr>
        <w:ind w:firstLine="420" w:firstLineChars="200"/>
        <w:rPr>
          <w:rFonts w:ascii="宋体" w:hAnsi="宋体"/>
          <w:szCs w:val="21"/>
        </w:rPr>
      </w:pPr>
      <w:r>
        <w:rPr>
          <w:rFonts w:hint="eastAsia" w:ascii="宋体" w:hAnsi="宋体"/>
          <w:szCs w:val="21"/>
        </w:rPr>
        <w:t>3.负责组织有关专家对项目试验成果评估报告的评审。</w:t>
      </w:r>
    </w:p>
    <w:p>
      <w:pPr>
        <w:ind w:firstLine="421" w:firstLineChars="200"/>
        <w:rPr>
          <w:rFonts w:ascii="宋体" w:hAnsi="宋体"/>
          <w:b/>
          <w:bCs/>
          <w:szCs w:val="21"/>
        </w:rPr>
      </w:pPr>
      <w:r>
        <w:rPr>
          <w:rFonts w:hint="eastAsia" w:ascii="宋体" w:hAnsi="宋体"/>
          <w:b/>
          <w:bCs/>
          <w:szCs w:val="21"/>
        </w:rPr>
        <w:t>第六条　乙方的义务</w:t>
      </w:r>
    </w:p>
    <w:p>
      <w:pPr>
        <w:ind w:firstLine="420" w:firstLineChars="200"/>
        <w:rPr>
          <w:rFonts w:ascii="宋体" w:hAnsi="宋体"/>
          <w:szCs w:val="21"/>
        </w:rPr>
      </w:pPr>
      <w:r>
        <w:rPr>
          <w:rFonts w:hint="eastAsia" w:ascii="宋体" w:hAnsi="宋体"/>
          <w:szCs w:val="21"/>
        </w:rPr>
        <w:t>1.应按照招标文件、投标文件要求按期完成本项目服务工作。</w:t>
      </w:r>
    </w:p>
    <w:p>
      <w:pPr>
        <w:ind w:firstLine="420" w:firstLineChars="200"/>
        <w:rPr>
          <w:rFonts w:ascii="宋体" w:hAnsi="宋体"/>
          <w:szCs w:val="21"/>
        </w:rPr>
      </w:pPr>
      <w:r>
        <w:rPr>
          <w:rFonts w:hint="eastAsia" w:ascii="宋体" w:hAnsi="宋体"/>
          <w:szCs w:val="21"/>
        </w:rPr>
        <w:t>2.负责组织项目的实施，保证工程进度和成桥荷载试验工作质量，并满足交通运输部交工验收相关标准。</w:t>
      </w:r>
    </w:p>
    <w:p>
      <w:pPr>
        <w:ind w:firstLine="420" w:firstLineChars="200"/>
        <w:rPr>
          <w:rFonts w:ascii="宋体" w:hAnsi="宋体"/>
          <w:szCs w:val="21"/>
        </w:rPr>
      </w:pPr>
      <w:r>
        <w:rPr>
          <w:rFonts w:hint="eastAsia" w:ascii="宋体" w:hAnsi="宋体"/>
          <w:szCs w:val="21"/>
        </w:rPr>
        <w:t>3.</w:t>
      </w:r>
      <w:r>
        <w:rPr>
          <w:rFonts w:hint="eastAsia" w:ascii="宋体" w:hAnsi="宋体"/>
        </w:rPr>
        <w:t>向甲方提交检测资料等各套，一套电子版文件。</w:t>
      </w:r>
    </w:p>
    <w:p>
      <w:pPr>
        <w:ind w:firstLine="420" w:firstLineChars="200"/>
        <w:rPr>
          <w:rFonts w:ascii="宋体" w:hAnsi="宋体"/>
          <w:szCs w:val="21"/>
        </w:rPr>
      </w:pPr>
      <w:r>
        <w:rPr>
          <w:rFonts w:hint="eastAsia" w:ascii="宋体" w:hAnsi="宋体"/>
          <w:szCs w:val="21"/>
        </w:rPr>
        <w:t>4.在履行合同期间或合同规定期限内，不得泄露与本合同规定业务活动有关的保密资料。</w:t>
      </w:r>
    </w:p>
    <w:p>
      <w:pPr>
        <w:ind w:firstLine="421" w:firstLineChars="200"/>
        <w:rPr>
          <w:rFonts w:ascii="宋体" w:hAnsi="宋体"/>
          <w:b/>
          <w:bCs/>
          <w:szCs w:val="21"/>
        </w:rPr>
      </w:pPr>
      <w:r>
        <w:rPr>
          <w:rFonts w:hint="eastAsia" w:ascii="宋体" w:hAnsi="宋体"/>
          <w:b/>
          <w:bCs/>
          <w:szCs w:val="21"/>
        </w:rPr>
        <w:t>第七条  甲方的权利</w:t>
      </w:r>
    </w:p>
    <w:p>
      <w:pPr>
        <w:ind w:firstLine="420" w:firstLineChars="200"/>
        <w:rPr>
          <w:rFonts w:ascii="宋体" w:hAnsi="宋体"/>
          <w:szCs w:val="21"/>
        </w:rPr>
      </w:pPr>
      <w:r>
        <w:rPr>
          <w:rFonts w:hint="eastAsia" w:ascii="宋体" w:hAnsi="宋体"/>
          <w:szCs w:val="21"/>
        </w:rPr>
        <w:t>1.有权向乙方询问工作进展情况及相关内容。</w:t>
      </w:r>
    </w:p>
    <w:p>
      <w:pPr>
        <w:ind w:firstLine="420" w:firstLineChars="200"/>
        <w:rPr>
          <w:rFonts w:ascii="宋体" w:hAnsi="宋体"/>
          <w:szCs w:val="21"/>
        </w:rPr>
      </w:pPr>
      <w:r>
        <w:rPr>
          <w:rFonts w:hint="eastAsia" w:ascii="宋体" w:hAnsi="宋体"/>
          <w:szCs w:val="21"/>
        </w:rPr>
        <w:t>2.有权阐述对具体问题的意见和建议。</w:t>
      </w:r>
    </w:p>
    <w:p>
      <w:pPr>
        <w:ind w:firstLine="420" w:firstLineChars="200"/>
        <w:rPr>
          <w:rFonts w:ascii="宋体" w:hAnsi="宋体"/>
          <w:szCs w:val="21"/>
        </w:rPr>
      </w:pPr>
      <w:r>
        <w:rPr>
          <w:rFonts w:hint="eastAsia" w:ascii="宋体" w:hAnsi="宋体"/>
          <w:szCs w:val="21"/>
        </w:rPr>
        <w:t>3.当甲方认定乙方人员不按合同履行其职责，或与第三人串通给甲方造成经济损失的，甲方有权要求更换人员，直至终止合同并要求乙方承担相应的赔偿责任。</w:t>
      </w:r>
    </w:p>
    <w:p>
      <w:pPr>
        <w:ind w:firstLine="421" w:firstLineChars="200"/>
        <w:rPr>
          <w:rFonts w:ascii="宋体" w:hAnsi="宋体"/>
          <w:b/>
          <w:bCs/>
          <w:szCs w:val="21"/>
        </w:rPr>
      </w:pPr>
      <w:r>
        <w:rPr>
          <w:rFonts w:hint="eastAsia" w:ascii="宋体" w:hAnsi="宋体"/>
          <w:b/>
          <w:bCs/>
          <w:szCs w:val="21"/>
        </w:rPr>
        <w:t>第八条  乙方的权利</w:t>
      </w:r>
    </w:p>
    <w:p>
      <w:pPr>
        <w:ind w:firstLine="420" w:firstLineChars="200"/>
        <w:rPr>
          <w:rFonts w:ascii="宋体" w:hAnsi="宋体"/>
          <w:szCs w:val="21"/>
        </w:rPr>
      </w:pPr>
      <w:r>
        <w:rPr>
          <w:rFonts w:hint="eastAsia" w:ascii="宋体" w:hAnsi="宋体"/>
          <w:szCs w:val="21"/>
        </w:rPr>
        <w:t>1.乙方在本项目服务过程中，如甲方提供的资料不明确时可向甲方提出书面报告。</w:t>
      </w:r>
    </w:p>
    <w:p>
      <w:pPr>
        <w:ind w:firstLine="420" w:firstLineChars="200"/>
        <w:rPr>
          <w:rFonts w:ascii="宋体" w:hAnsi="宋体"/>
          <w:szCs w:val="21"/>
        </w:rPr>
      </w:pPr>
      <w:r>
        <w:rPr>
          <w:rFonts w:hint="eastAsia" w:ascii="宋体" w:hAnsi="宋体"/>
          <w:szCs w:val="21"/>
        </w:rPr>
        <w:t>2.乙方在本项目服务过程中，有权对第三方提出与本服务业务有关的问题进行核对或查问。</w:t>
      </w:r>
    </w:p>
    <w:p>
      <w:pPr>
        <w:ind w:firstLine="420" w:firstLineChars="200"/>
        <w:rPr>
          <w:rFonts w:ascii="宋体" w:hAnsi="宋体"/>
          <w:szCs w:val="21"/>
        </w:rPr>
      </w:pPr>
      <w:r>
        <w:rPr>
          <w:rFonts w:hint="eastAsia" w:ascii="宋体" w:hAnsi="宋体"/>
          <w:szCs w:val="21"/>
        </w:rPr>
        <w:t>3.乙方在本项目服务过程中，有到工程现场勘察的权利。</w:t>
      </w:r>
    </w:p>
    <w:p>
      <w:pPr>
        <w:ind w:firstLine="421" w:firstLineChars="200"/>
        <w:rPr>
          <w:rFonts w:ascii="宋体" w:hAnsi="宋体"/>
          <w:b/>
          <w:bCs/>
          <w:szCs w:val="21"/>
        </w:rPr>
      </w:pPr>
      <w:r>
        <w:rPr>
          <w:rFonts w:hint="eastAsia" w:ascii="宋体" w:hAnsi="宋体"/>
          <w:b/>
          <w:bCs/>
          <w:szCs w:val="21"/>
        </w:rPr>
        <w:t>第九条  甲方的责任</w:t>
      </w:r>
    </w:p>
    <w:p>
      <w:pPr>
        <w:ind w:firstLine="420" w:firstLineChars="200"/>
        <w:rPr>
          <w:rFonts w:ascii="宋体" w:hAnsi="宋体"/>
          <w:szCs w:val="21"/>
        </w:rPr>
      </w:pPr>
      <w:r>
        <w:rPr>
          <w:rFonts w:hint="eastAsia" w:ascii="宋体" w:hAnsi="宋体"/>
          <w:szCs w:val="21"/>
        </w:rPr>
        <w:t>1.应当履行本合同约定的义务，如有违反则应当承担违约责任，赔偿给乙方造成的损失。</w:t>
      </w:r>
    </w:p>
    <w:p>
      <w:pPr>
        <w:ind w:firstLine="420" w:firstLineChars="200"/>
        <w:rPr>
          <w:rFonts w:ascii="宋体" w:hAnsi="宋体"/>
          <w:szCs w:val="21"/>
        </w:rPr>
      </w:pPr>
      <w:r>
        <w:rPr>
          <w:rFonts w:hint="eastAsia" w:ascii="宋体" w:hAnsi="宋体"/>
          <w:szCs w:val="21"/>
        </w:rPr>
        <w:t>2.甲方向乙方提出赔偿要求不能成立时，则应补偿由于该赔偿或其他要求所导致乙方的各种费用的支出。</w:t>
      </w:r>
    </w:p>
    <w:p>
      <w:pPr>
        <w:ind w:firstLine="421" w:firstLineChars="200"/>
        <w:rPr>
          <w:rFonts w:ascii="宋体" w:hAnsi="宋体"/>
          <w:b/>
          <w:bCs/>
          <w:szCs w:val="21"/>
        </w:rPr>
      </w:pPr>
      <w:r>
        <w:rPr>
          <w:rFonts w:hint="eastAsia" w:ascii="宋体" w:hAnsi="宋体"/>
          <w:b/>
          <w:bCs/>
          <w:szCs w:val="21"/>
        </w:rPr>
        <w:t>第十条  乙方的责任</w:t>
      </w:r>
    </w:p>
    <w:p>
      <w:pPr>
        <w:ind w:firstLine="420" w:firstLineChars="200"/>
        <w:rPr>
          <w:rFonts w:ascii="宋体" w:hAnsi="宋体"/>
          <w:szCs w:val="21"/>
        </w:rPr>
      </w:pPr>
      <w:r>
        <w:rPr>
          <w:rFonts w:hint="eastAsia" w:ascii="宋体" w:hAnsi="宋体"/>
          <w:szCs w:val="21"/>
        </w:rPr>
        <w:t>1.乙方的责任期即本合同有效期。如因非乙方的责任造成进度的推迟或延误而超过约定的日期，双方应进一步约定相应延长合同有效期。</w:t>
      </w:r>
    </w:p>
    <w:p>
      <w:pPr>
        <w:ind w:firstLine="420" w:firstLineChars="200"/>
        <w:rPr>
          <w:rFonts w:ascii="宋体" w:hAnsi="宋体"/>
          <w:szCs w:val="21"/>
        </w:rPr>
      </w:pPr>
      <w:r>
        <w:rPr>
          <w:rFonts w:hint="eastAsia" w:ascii="宋体" w:hAnsi="宋体"/>
          <w:szCs w:val="21"/>
        </w:rPr>
        <w:t>2.乙方的责任期内，应当履行本合同中约定的义务，因乙方的单方过失造成的经济损失，应当向甲方进行赔偿。</w:t>
      </w:r>
    </w:p>
    <w:p>
      <w:pPr>
        <w:ind w:firstLine="420" w:firstLineChars="200"/>
        <w:rPr>
          <w:rFonts w:ascii="宋体" w:hAnsi="宋体"/>
          <w:szCs w:val="21"/>
        </w:rPr>
      </w:pPr>
      <w:r>
        <w:rPr>
          <w:rFonts w:hint="eastAsia" w:ascii="宋体" w:hAnsi="宋体"/>
          <w:szCs w:val="21"/>
        </w:rPr>
        <w:t>3.乙方对甲方或第三方所提出的问题不能及时核对或答复，导致合同不能全部或部分履行，乙方应承担责任。</w:t>
      </w:r>
    </w:p>
    <w:p>
      <w:pPr>
        <w:ind w:firstLine="420" w:firstLineChars="200"/>
        <w:rPr>
          <w:rFonts w:ascii="宋体" w:hAnsi="宋体"/>
          <w:szCs w:val="21"/>
        </w:rPr>
      </w:pPr>
      <w:r>
        <w:rPr>
          <w:rFonts w:hint="eastAsia" w:ascii="宋体" w:hAnsi="宋体"/>
          <w:szCs w:val="21"/>
        </w:rPr>
        <w:t>4.乙方向甲方提出赔偿要求不能成立时，则应补偿由于该赔偿或其他要求所导致甲方的各种费用的支出。</w:t>
      </w:r>
    </w:p>
    <w:p>
      <w:pPr>
        <w:ind w:firstLine="421" w:firstLineChars="200"/>
        <w:rPr>
          <w:rFonts w:ascii="宋体" w:hAnsi="宋体"/>
          <w:b/>
          <w:bCs/>
          <w:szCs w:val="21"/>
        </w:rPr>
      </w:pPr>
      <w:r>
        <w:rPr>
          <w:rFonts w:hint="eastAsia" w:ascii="宋体" w:hAnsi="宋体"/>
          <w:b/>
          <w:bCs/>
          <w:szCs w:val="21"/>
        </w:rPr>
        <w:t>第十一条  人员要求</w:t>
      </w:r>
    </w:p>
    <w:p>
      <w:pPr>
        <w:ind w:firstLine="420" w:firstLineChars="200"/>
        <w:rPr>
          <w:rFonts w:ascii="宋体" w:hAnsi="宋体"/>
          <w:szCs w:val="21"/>
        </w:rPr>
      </w:pPr>
      <w:r>
        <w:rPr>
          <w:rFonts w:hint="eastAsia" w:ascii="宋体" w:hAnsi="宋体"/>
          <w:szCs w:val="21"/>
        </w:rPr>
        <w:t>1.参加本项目试验的人员必须具有国家和有关部门规定的相应资质。</w:t>
      </w:r>
    </w:p>
    <w:p>
      <w:pPr>
        <w:ind w:firstLine="420" w:firstLineChars="200"/>
        <w:rPr>
          <w:rFonts w:ascii="宋体" w:hAnsi="宋体"/>
          <w:szCs w:val="21"/>
        </w:rPr>
      </w:pPr>
      <w:r>
        <w:rPr>
          <w:rFonts w:hint="eastAsia" w:ascii="宋体" w:hAnsi="宋体"/>
          <w:szCs w:val="21"/>
        </w:rPr>
        <w:t>2. 参加本项目的试验人员的配置必须与投标文件中的服务承诺书和试验服务组织实施方案一致。</w:t>
      </w:r>
    </w:p>
    <w:p>
      <w:pPr>
        <w:ind w:firstLine="420" w:firstLineChars="200"/>
        <w:rPr>
          <w:rFonts w:ascii="宋体" w:hAnsi="宋体"/>
          <w:szCs w:val="21"/>
        </w:rPr>
      </w:pPr>
      <w:r>
        <w:rPr>
          <w:rFonts w:hint="eastAsia" w:ascii="宋体" w:hAnsi="宋体"/>
          <w:szCs w:val="21"/>
        </w:rPr>
        <w:t>3.必须以直属试验人员参与本项目服务，不得使用挂靠队伍。</w:t>
      </w:r>
    </w:p>
    <w:p>
      <w:pPr>
        <w:ind w:firstLine="421" w:firstLineChars="200"/>
        <w:rPr>
          <w:rFonts w:ascii="宋体" w:hAnsi="宋体"/>
          <w:b/>
          <w:bCs/>
          <w:szCs w:val="21"/>
        </w:rPr>
      </w:pPr>
      <w:r>
        <w:rPr>
          <w:rFonts w:hint="eastAsia" w:ascii="宋体" w:hAnsi="宋体"/>
          <w:b/>
          <w:bCs/>
          <w:szCs w:val="21"/>
        </w:rPr>
        <w:t>第十二条  乙方服务工具要求</w:t>
      </w:r>
    </w:p>
    <w:p>
      <w:pPr>
        <w:ind w:firstLine="420" w:firstLineChars="200"/>
        <w:rPr>
          <w:rFonts w:ascii="宋体" w:hAnsi="宋体"/>
          <w:szCs w:val="21"/>
        </w:rPr>
      </w:pPr>
      <w:r>
        <w:rPr>
          <w:rFonts w:hint="eastAsia" w:ascii="宋体" w:hAnsi="宋体"/>
          <w:szCs w:val="21"/>
        </w:rPr>
        <w:t>1.乙方应配备中标项目所需的足够数量的仪器、仪表以及工具等设备。用户不需向乙方提供施工工具和仪器、仪表。</w:t>
      </w:r>
    </w:p>
    <w:p>
      <w:pPr>
        <w:ind w:firstLine="420" w:firstLineChars="200"/>
        <w:rPr>
          <w:rFonts w:ascii="宋体" w:hAnsi="宋体"/>
          <w:szCs w:val="21"/>
        </w:rPr>
      </w:pPr>
      <w:r>
        <w:rPr>
          <w:rFonts w:hint="eastAsia" w:ascii="宋体" w:hAnsi="宋体"/>
          <w:szCs w:val="21"/>
        </w:rPr>
        <w:t>2.乙方在提供服务过程中应自备车辆。</w:t>
      </w:r>
    </w:p>
    <w:p>
      <w:pPr>
        <w:ind w:firstLine="421" w:firstLineChars="200"/>
        <w:rPr>
          <w:rFonts w:ascii="宋体" w:hAnsi="宋体"/>
          <w:b/>
          <w:bCs/>
          <w:szCs w:val="21"/>
        </w:rPr>
      </w:pPr>
      <w:r>
        <w:rPr>
          <w:rFonts w:hint="eastAsia" w:ascii="宋体" w:hAnsi="宋体"/>
          <w:b/>
          <w:bCs/>
          <w:szCs w:val="21"/>
        </w:rPr>
        <w:t>第十三条  保密要求</w:t>
      </w:r>
    </w:p>
    <w:p>
      <w:pPr>
        <w:ind w:firstLine="420" w:firstLineChars="200"/>
        <w:rPr>
          <w:rFonts w:ascii="宋体" w:hAnsi="宋体"/>
          <w:szCs w:val="21"/>
        </w:rPr>
      </w:pPr>
      <w:r>
        <w:rPr>
          <w:rFonts w:hint="eastAsia" w:ascii="宋体" w:hAnsi="宋体"/>
          <w:szCs w:val="21"/>
        </w:rPr>
        <w:t>1.</w:t>
      </w:r>
      <w:r>
        <w:rPr>
          <w:rFonts w:ascii="宋体" w:hAnsi="宋体"/>
          <w:szCs w:val="21"/>
        </w:rPr>
        <w:t>由甲方收集的、开发的、整理的、复制的、研究的和准备的与本合同项下工作有关的所有资料在提供给乙方时，均被视为保密的，</w:t>
      </w:r>
      <w:r>
        <w:rPr>
          <w:rFonts w:hint="eastAsia" w:ascii="宋体" w:hAnsi="宋体"/>
          <w:szCs w:val="21"/>
        </w:rPr>
        <w:t>不得泄露给除甲方或其</w:t>
      </w:r>
      <w:r>
        <w:rPr>
          <w:rFonts w:ascii="宋体" w:hAnsi="宋体"/>
          <w:szCs w:val="21"/>
        </w:rPr>
        <w:t>指定的代表之外的任何人、企业或公司，不管本合同因何种原因终止，本条款一直约束乙方。</w:t>
      </w:r>
    </w:p>
    <w:p>
      <w:pPr>
        <w:ind w:firstLine="420" w:firstLineChars="200"/>
        <w:rPr>
          <w:rFonts w:ascii="宋体" w:hAnsi="宋体"/>
          <w:szCs w:val="21"/>
        </w:rPr>
      </w:pPr>
      <w:r>
        <w:rPr>
          <w:rFonts w:hint="eastAsia" w:ascii="宋体" w:hAnsi="宋体"/>
          <w:szCs w:val="21"/>
        </w:rPr>
        <w:t>2.</w:t>
      </w:r>
      <w:r>
        <w:rPr>
          <w:rFonts w:ascii="宋体" w:hAnsi="宋体"/>
          <w:szCs w:val="21"/>
        </w:rPr>
        <w:t>乙方在履行合同过程中所获得或接触到的任何</w:t>
      </w:r>
      <w:r>
        <w:rPr>
          <w:rFonts w:hint="eastAsia" w:ascii="宋体" w:hAnsi="宋体"/>
          <w:szCs w:val="21"/>
        </w:rPr>
        <w:t>内部数据资料，未经甲方同意，不得向第三方透露。</w:t>
      </w:r>
    </w:p>
    <w:p>
      <w:pPr>
        <w:ind w:firstLine="420" w:firstLineChars="200"/>
        <w:rPr>
          <w:rFonts w:ascii="宋体" w:hAnsi="宋体"/>
          <w:szCs w:val="21"/>
        </w:rPr>
      </w:pPr>
      <w:r>
        <w:rPr>
          <w:rFonts w:hint="eastAsia" w:ascii="宋体" w:hAnsi="宋体"/>
          <w:szCs w:val="21"/>
        </w:rPr>
        <w:t>3.</w:t>
      </w:r>
      <w:r>
        <w:rPr>
          <w:rFonts w:ascii="宋体" w:hAnsi="宋体"/>
          <w:szCs w:val="21"/>
        </w:rPr>
        <w:t>乙方</w:t>
      </w:r>
      <w:r>
        <w:rPr>
          <w:rFonts w:hint="eastAsia" w:ascii="宋体" w:hAnsi="宋体"/>
          <w:szCs w:val="21"/>
        </w:rPr>
        <w:t>实施项目的一切程序都应符合国家安全、保密的有关规定和标准。</w:t>
      </w:r>
    </w:p>
    <w:p>
      <w:pPr>
        <w:ind w:firstLine="420" w:firstLineChars="200"/>
        <w:rPr>
          <w:rFonts w:ascii="宋体" w:hAnsi="宋体"/>
          <w:szCs w:val="21"/>
        </w:rPr>
      </w:pPr>
      <w:r>
        <w:rPr>
          <w:rFonts w:hint="eastAsia" w:ascii="宋体" w:hAnsi="宋体"/>
          <w:szCs w:val="21"/>
        </w:rPr>
        <w:t>4.</w:t>
      </w:r>
      <w:r>
        <w:rPr>
          <w:rFonts w:ascii="宋体" w:hAnsi="宋体"/>
          <w:szCs w:val="21"/>
        </w:rPr>
        <w:t>乙方</w:t>
      </w:r>
      <w:r>
        <w:rPr>
          <w:rFonts w:hint="eastAsia" w:ascii="宋体" w:hAnsi="宋体"/>
          <w:szCs w:val="21"/>
        </w:rPr>
        <w:t>参加项目的有关人员均需同甲方签订保密协议。</w:t>
      </w:r>
    </w:p>
    <w:p>
      <w:pPr>
        <w:ind w:firstLine="421" w:firstLineChars="200"/>
        <w:rPr>
          <w:rFonts w:ascii="宋体" w:hAnsi="宋体"/>
          <w:b/>
          <w:bCs/>
          <w:szCs w:val="21"/>
        </w:rPr>
      </w:pPr>
      <w:r>
        <w:rPr>
          <w:rFonts w:hint="eastAsia" w:ascii="宋体" w:hAnsi="宋体"/>
          <w:b/>
          <w:bCs/>
          <w:szCs w:val="21"/>
        </w:rPr>
        <w:t xml:space="preserve">第十四条  验收     </w:t>
      </w:r>
    </w:p>
    <w:p>
      <w:pPr>
        <w:ind w:firstLine="420" w:firstLineChars="200"/>
        <w:rPr>
          <w:rFonts w:ascii="宋体" w:hAnsi="宋体"/>
          <w:szCs w:val="21"/>
        </w:rPr>
      </w:pPr>
      <w:r>
        <w:rPr>
          <w:rFonts w:hint="eastAsia" w:ascii="宋体" w:hAnsi="宋体"/>
          <w:szCs w:val="21"/>
        </w:rPr>
        <w:t>1.下列文件的验收分为</w:t>
      </w:r>
      <w:r>
        <w:rPr>
          <w:rFonts w:hint="eastAsia" w:ascii="宋体" w:hAnsi="宋体"/>
          <w:szCs w:val="21"/>
          <w:u w:val="single"/>
        </w:rPr>
        <w:t xml:space="preserve">          三</w:t>
      </w:r>
      <w:r>
        <w:rPr>
          <w:rFonts w:hint="eastAsia" w:ascii="宋体" w:hAnsi="宋体"/>
          <w:szCs w:val="21"/>
        </w:rPr>
        <w:t>个阶段：</w:t>
      </w:r>
    </w:p>
    <w:p>
      <w:pPr>
        <w:ind w:firstLine="420" w:firstLineChars="200"/>
        <w:rPr>
          <w:rFonts w:ascii="宋体" w:hAnsi="宋体"/>
          <w:szCs w:val="21"/>
        </w:rPr>
      </w:pPr>
      <w:r>
        <w:rPr>
          <w:rFonts w:hint="eastAsia" w:ascii="宋体" w:hAnsi="宋体"/>
          <w:szCs w:val="21"/>
        </w:rPr>
        <w:t>2.其余文件和工作由用户组织有关技术人员根据国家和行业有关规范、规程、标准和用户需求直接验收。</w:t>
      </w:r>
    </w:p>
    <w:p>
      <w:pPr>
        <w:ind w:firstLine="420" w:firstLineChars="200"/>
        <w:rPr>
          <w:rFonts w:ascii="宋体" w:hAnsi="宋体"/>
          <w:szCs w:val="21"/>
        </w:rPr>
      </w:pPr>
      <w:r>
        <w:rPr>
          <w:rFonts w:hint="eastAsia" w:ascii="宋体" w:hAnsi="宋体"/>
          <w:szCs w:val="21"/>
        </w:rPr>
        <w:t>3.验收依据为招标文件、投标文件，国家和行业有关规范、规程和标准。</w:t>
      </w:r>
    </w:p>
    <w:p>
      <w:pPr>
        <w:ind w:firstLine="421" w:firstLineChars="200"/>
        <w:rPr>
          <w:rFonts w:ascii="宋体" w:hAnsi="宋体"/>
          <w:b/>
          <w:bCs/>
          <w:szCs w:val="21"/>
        </w:rPr>
      </w:pPr>
      <w:r>
        <w:rPr>
          <w:rFonts w:hint="eastAsia" w:ascii="宋体" w:hAnsi="宋体"/>
          <w:b/>
          <w:bCs/>
          <w:szCs w:val="21"/>
        </w:rPr>
        <w:t>第十五条  付款方式</w:t>
      </w:r>
    </w:p>
    <w:p>
      <w:pPr>
        <w:ind w:firstLine="420" w:firstLineChars="200"/>
        <w:rPr>
          <w:rFonts w:ascii="宋体" w:hAnsi="宋体"/>
          <w:szCs w:val="21"/>
        </w:rPr>
      </w:pPr>
      <w:r>
        <w:rPr>
          <w:rFonts w:hint="eastAsia" w:ascii="宋体" w:hAnsi="宋体"/>
          <w:szCs w:val="21"/>
        </w:rPr>
        <w:t>1.合同签订后   天内乙方向甲方开具合法有效的发票后，甲方于   天内向乙方支付合同总价%的款项。</w:t>
      </w:r>
    </w:p>
    <w:p>
      <w:pPr>
        <w:ind w:firstLine="420" w:firstLineChars="200"/>
        <w:rPr>
          <w:rFonts w:ascii="宋体" w:hAnsi="宋体"/>
          <w:szCs w:val="21"/>
        </w:rPr>
      </w:pPr>
      <w:r>
        <w:rPr>
          <w:rFonts w:hint="eastAsia" w:ascii="宋体" w:hAnsi="宋体"/>
          <w:szCs w:val="21"/>
        </w:rPr>
        <w:t>2.检测完成并提交评估报告后  天内，乙方向甲方开具合法有效发票后 天，甲方向乙方支付合同总价%的款项。</w:t>
      </w:r>
    </w:p>
    <w:p>
      <w:pPr>
        <w:ind w:firstLine="420" w:firstLineChars="200"/>
        <w:rPr>
          <w:rFonts w:ascii="宋体" w:hAnsi="宋体"/>
          <w:szCs w:val="21"/>
        </w:rPr>
      </w:pPr>
      <w:r>
        <w:rPr>
          <w:rFonts w:hint="eastAsia" w:ascii="宋体" w:hAnsi="宋体"/>
          <w:szCs w:val="21"/>
        </w:rPr>
        <w:t>3.报告通过专家评审后，甲方向乙方支付合同总价%的款项。</w:t>
      </w:r>
    </w:p>
    <w:p>
      <w:pPr>
        <w:ind w:firstLine="421" w:firstLineChars="200"/>
        <w:rPr>
          <w:rFonts w:ascii="宋体" w:hAnsi="宋体"/>
          <w:b/>
          <w:bCs/>
          <w:szCs w:val="21"/>
        </w:rPr>
      </w:pPr>
      <w:r>
        <w:rPr>
          <w:rFonts w:hint="eastAsia" w:ascii="宋体" w:hAnsi="宋体"/>
          <w:b/>
          <w:bCs/>
          <w:szCs w:val="21"/>
        </w:rPr>
        <w:t>第十六条  争议解决办法</w:t>
      </w:r>
    </w:p>
    <w:p>
      <w:pPr>
        <w:ind w:firstLine="420" w:firstLineChars="200"/>
        <w:rPr>
          <w:rFonts w:ascii="宋体" w:hAnsi="宋体"/>
          <w:szCs w:val="21"/>
        </w:rPr>
      </w:pPr>
      <w:r>
        <w:rPr>
          <w:rFonts w:hint="eastAsia" w:ascii="宋体" w:hAnsi="宋体"/>
          <w:szCs w:val="21"/>
        </w:rPr>
        <w:t>执行本合同发生的争议，由甲乙双方协商解决，如协商不成的，应提交甲方所在地人民法院诉讼解决。</w:t>
      </w:r>
    </w:p>
    <w:p>
      <w:pPr>
        <w:ind w:firstLine="421" w:firstLineChars="200"/>
        <w:rPr>
          <w:rFonts w:ascii="宋体" w:hAnsi="宋体"/>
          <w:b/>
          <w:bCs/>
          <w:szCs w:val="21"/>
        </w:rPr>
      </w:pPr>
      <w:r>
        <w:rPr>
          <w:rFonts w:hint="eastAsia" w:ascii="宋体" w:hAnsi="宋体"/>
          <w:b/>
          <w:bCs/>
          <w:szCs w:val="21"/>
        </w:rPr>
        <w:t>第十七条  风险责任</w:t>
      </w:r>
    </w:p>
    <w:p>
      <w:pPr>
        <w:ind w:firstLine="420" w:firstLineChars="200"/>
        <w:rPr>
          <w:rFonts w:ascii="宋体" w:hAnsi="宋体"/>
          <w:szCs w:val="21"/>
        </w:rPr>
      </w:pPr>
      <w:r>
        <w:rPr>
          <w:rFonts w:hint="eastAsia" w:ascii="宋体" w:hAnsi="宋体"/>
          <w:szCs w:val="21"/>
        </w:rPr>
        <w:t>1、乙方应完全按照招标文件的要求和乙方投标文件的承诺完成本项目，出于自身财务、技术、人力等原因导致项目失败的，应承担全部责任。</w:t>
      </w:r>
    </w:p>
    <w:p>
      <w:pPr>
        <w:ind w:firstLine="420" w:firstLineChars="200"/>
        <w:rPr>
          <w:rFonts w:ascii="宋体" w:hAnsi="宋体"/>
          <w:szCs w:val="21"/>
        </w:rPr>
      </w:pPr>
      <w:r>
        <w:rPr>
          <w:rFonts w:hint="eastAsia" w:ascii="宋体" w:hAnsi="宋体"/>
          <w:szCs w:val="21"/>
        </w:rPr>
        <w:t>2.乙方在实施荷载试验过程中应对自身的安全生产负责，若非因甲方原因发生的各种事故甲方不承担任何责任。</w:t>
      </w:r>
    </w:p>
    <w:p>
      <w:pPr>
        <w:ind w:firstLine="421" w:firstLineChars="200"/>
        <w:rPr>
          <w:rFonts w:ascii="宋体" w:hAnsi="宋体"/>
          <w:b/>
          <w:bCs/>
          <w:szCs w:val="21"/>
        </w:rPr>
      </w:pPr>
      <w:r>
        <w:rPr>
          <w:rFonts w:hint="eastAsia" w:ascii="宋体" w:hAnsi="宋体"/>
          <w:b/>
          <w:bCs/>
          <w:szCs w:val="21"/>
        </w:rPr>
        <w:t>第十八条  违约责任</w:t>
      </w:r>
    </w:p>
    <w:p>
      <w:pPr>
        <w:pStyle w:val="21"/>
        <w:spacing w:line="240" w:lineRule="auto"/>
        <w:rPr>
          <w:rFonts w:ascii="宋体" w:hAnsi="宋体"/>
          <w:szCs w:val="21"/>
        </w:rPr>
      </w:pPr>
      <w:r>
        <w:rPr>
          <w:rFonts w:hint="eastAsia" w:ascii="宋体" w:hAnsi="宋体"/>
          <w:szCs w:val="21"/>
        </w:rPr>
        <w:t>1.因乙方原因，未能按规定时间完成有关工作的，每延误一天，甲方可在支付合同余款中扣除合同价款千分之一。</w:t>
      </w:r>
    </w:p>
    <w:p>
      <w:pPr>
        <w:ind w:firstLine="420" w:firstLineChars="200"/>
        <w:rPr>
          <w:rFonts w:ascii="宋体" w:hAnsi="宋体"/>
          <w:szCs w:val="21"/>
        </w:rPr>
      </w:pPr>
      <w:r>
        <w:rPr>
          <w:rFonts w:hint="eastAsia" w:ascii="宋体" w:hAnsi="宋体"/>
          <w:szCs w:val="21"/>
        </w:rPr>
        <w:t>2.由于乙方原因造成试验成果质量低劣，不能满足大纲要求时，应继续完善试验工作，其费用由乙方承担。</w:t>
      </w:r>
    </w:p>
    <w:p>
      <w:pPr>
        <w:ind w:firstLine="420" w:firstLineChars="200"/>
        <w:rPr>
          <w:rFonts w:ascii="宋体" w:hAnsi="宋体"/>
          <w:szCs w:val="21"/>
        </w:rPr>
      </w:pPr>
      <w:r>
        <w:rPr>
          <w:rFonts w:hint="eastAsia" w:ascii="宋体" w:hAnsi="宋体"/>
          <w:szCs w:val="21"/>
        </w:rPr>
        <w:t>3.乙方交付的成果经验收不合格，应于7日内无条件修改，费用由乙方自行承担，在甲方要求整改后再次验收不合格的，甲方有权解除合同、要求乙方返还甲方已支付的合同款项，并有权要求乙方按合同总额   %支付违约金。</w:t>
      </w:r>
    </w:p>
    <w:p>
      <w:pPr>
        <w:ind w:firstLine="420" w:firstLineChars="200"/>
        <w:rPr>
          <w:rFonts w:ascii="宋体" w:hAnsi="宋体"/>
          <w:szCs w:val="21"/>
        </w:rPr>
      </w:pPr>
      <w:r>
        <w:rPr>
          <w:rFonts w:hint="eastAsia" w:ascii="宋体" w:hAnsi="宋体"/>
          <w:szCs w:val="21"/>
        </w:rPr>
        <w:t>4.若甲方发现乙方派出的试验服务人员或提供的试验仪器设备不符合合同要求，乙方应在3天之内按要求派出人员或提供满足投标文件承诺的仪器设备，否则甲方有权终止合同，并保留追究乙方责任及要求赔偿损失的权利。</w:t>
      </w:r>
    </w:p>
    <w:p>
      <w:pPr>
        <w:ind w:firstLine="420" w:firstLineChars="200"/>
        <w:rPr>
          <w:rFonts w:ascii="宋体" w:hAnsi="宋体"/>
          <w:szCs w:val="21"/>
        </w:rPr>
      </w:pPr>
      <w:r>
        <w:rPr>
          <w:rFonts w:hint="eastAsia" w:ascii="宋体" w:hAnsi="宋体"/>
          <w:szCs w:val="21"/>
        </w:rPr>
        <w:t>5.乙方或其工作人员违反本合同约定的保密义务，甲方有权要求乙方按合同总额   %支付违约金；造成不良影响或对甲方造成损失的，甲方有权要求乙方消除影响，承担赔偿责任，并有权解除合同。</w:t>
      </w:r>
    </w:p>
    <w:p>
      <w:pPr>
        <w:ind w:firstLine="420" w:firstLineChars="200"/>
        <w:rPr>
          <w:rFonts w:ascii="宋体" w:hAnsi="宋体"/>
          <w:szCs w:val="21"/>
        </w:rPr>
      </w:pPr>
      <w:r>
        <w:rPr>
          <w:rFonts w:hint="eastAsia" w:ascii="宋体" w:hAnsi="宋体"/>
          <w:szCs w:val="21"/>
        </w:rPr>
        <w:t>6.因乙方提供的服务成果受到侵权指控或者引发法律纠纷，影响甲方使用服务成果或者导致合同目的不能实现的，甲方有权要求乙方按合同总额   %支付违约金，并有权解除合同。</w:t>
      </w:r>
    </w:p>
    <w:p>
      <w:pPr>
        <w:ind w:firstLine="421" w:firstLineChars="200"/>
        <w:rPr>
          <w:rFonts w:ascii="宋体" w:hAnsi="宋体"/>
          <w:b/>
          <w:bCs/>
          <w:szCs w:val="21"/>
        </w:rPr>
      </w:pPr>
      <w:r>
        <w:rPr>
          <w:rFonts w:hint="eastAsia" w:ascii="宋体" w:hAnsi="宋体"/>
          <w:b/>
          <w:bCs/>
          <w:szCs w:val="21"/>
        </w:rPr>
        <w:t>第十九条  其他</w:t>
      </w:r>
    </w:p>
    <w:p>
      <w:pPr>
        <w:ind w:firstLine="420" w:firstLineChars="200"/>
        <w:rPr>
          <w:rFonts w:ascii="宋体" w:hAnsi="宋体"/>
          <w:szCs w:val="21"/>
        </w:rPr>
      </w:pPr>
      <w:r>
        <w:rPr>
          <w:rFonts w:hint="eastAsia" w:ascii="宋体" w:hAnsi="宋体"/>
          <w:szCs w:val="21"/>
        </w:rPr>
        <w:t>1.本协议书与下列文件一起构成合同文件，如下述文件之间有任何抵触、矛盾或歧义，应按以下顺序解释：</w:t>
      </w:r>
    </w:p>
    <w:p>
      <w:pPr>
        <w:ind w:firstLine="420" w:firstLineChars="200"/>
        <w:rPr>
          <w:rFonts w:ascii="宋体" w:hAnsi="宋体"/>
          <w:szCs w:val="21"/>
        </w:rPr>
      </w:pPr>
      <w:r>
        <w:rPr>
          <w:rFonts w:hint="eastAsia" w:ascii="宋体" w:hAnsi="宋体"/>
          <w:szCs w:val="21"/>
        </w:rPr>
        <w:t>（1）政府采购合同协议书及其变更、补充协议</w:t>
      </w:r>
    </w:p>
    <w:p>
      <w:pPr>
        <w:ind w:firstLine="420" w:firstLineChars="200"/>
        <w:rPr>
          <w:rFonts w:ascii="宋体" w:hAnsi="宋体"/>
          <w:szCs w:val="21"/>
        </w:rPr>
      </w:pPr>
      <w:r>
        <w:rPr>
          <w:rFonts w:hint="eastAsia" w:ascii="宋体" w:hAnsi="宋体"/>
          <w:szCs w:val="21"/>
        </w:rPr>
        <w:t>（2）政府采购合同专用条款</w:t>
      </w:r>
    </w:p>
    <w:p>
      <w:pPr>
        <w:ind w:firstLine="420" w:firstLineChars="200"/>
        <w:rPr>
          <w:rFonts w:ascii="宋体" w:hAnsi="宋体"/>
          <w:szCs w:val="21"/>
        </w:rPr>
      </w:pPr>
      <w:r>
        <w:rPr>
          <w:rFonts w:hint="eastAsia" w:ascii="宋体" w:hAnsi="宋体"/>
          <w:szCs w:val="21"/>
        </w:rPr>
        <w:t>（3）政府采购合同通用条款</w:t>
      </w:r>
    </w:p>
    <w:p>
      <w:pPr>
        <w:ind w:firstLine="420" w:firstLineChars="200"/>
        <w:rPr>
          <w:rFonts w:ascii="宋体" w:hAnsi="宋体"/>
          <w:szCs w:val="21"/>
        </w:rPr>
      </w:pPr>
      <w:r>
        <w:rPr>
          <w:rFonts w:hint="eastAsia" w:ascii="宋体" w:hAnsi="宋体"/>
          <w:szCs w:val="21"/>
        </w:rPr>
        <w:t>（4）中标（成交）通知书</w:t>
      </w:r>
    </w:p>
    <w:p>
      <w:pPr>
        <w:ind w:firstLine="420" w:firstLineChars="200"/>
        <w:rPr>
          <w:rFonts w:ascii="宋体" w:hAnsi="宋体"/>
          <w:szCs w:val="21"/>
        </w:rPr>
      </w:pPr>
      <w:r>
        <w:rPr>
          <w:rFonts w:hint="eastAsia" w:ascii="宋体" w:hAnsi="宋体"/>
          <w:szCs w:val="21"/>
        </w:rPr>
        <w:t>（5）投标（响应）文件</w:t>
      </w:r>
    </w:p>
    <w:p>
      <w:pPr>
        <w:ind w:firstLine="420" w:firstLineChars="200"/>
        <w:rPr>
          <w:rFonts w:ascii="宋体" w:hAnsi="宋体"/>
          <w:szCs w:val="21"/>
        </w:rPr>
      </w:pPr>
      <w:r>
        <w:rPr>
          <w:rFonts w:hint="eastAsia" w:ascii="宋体" w:hAnsi="宋体"/>
          <w:szCs w:val="21"/>
        </w:rPr>
        <w:t>（6）采购文件</w:t>
      </w:r>
    </w:p>
    <w:p>
      <w:pPr>
        <w:ind w:firstLine="420" w:firstLineChars="200"/>
        <w:rPr>
          <w:rFonts w:ascii="宋体" w:hAnsi="宋体"/>
          <w:szCs w:val="21"/>
        </w:rPr>
      </w:pPr>
      <w:r>
        <w:rPr>
          <w:rFonts w:hint="eastAsia" w:ascii="宋体" w:hAnsi="宋体"/>
          <w:szCs w:val="21"/>
        </w:rPr>
        <w:t>（7）有关技术文件，图纸</w:t>
      </w:r>
    </w:p>
    <w:p>
      <w:pPr>
        <w:ind w:firstLine="420" w:firstLineChars="200"/>
        <w:rPr>
          <w:rFonts w:ascii="宋体" w:hAnsi="宋体"/>
          <w:szCs w:val="21"/>
        </w:rPr>
      </w:pPr>
      <w:r>
        <w:rPr>
          <w:rFonts w:hint="eastAsia" w:ascii="宋体" w:hAnsi="宋体"/>
          <w:szCs w:val="21"/>
        </w:rPr>
        <w:t>（8）国家法律、行政法规和规章制度规定或合同约定的作为合同组成部分的其他文件。</w:t>
      </w:r>
    </w:p>
    <w:p>
      <w:pPr>
        <w:ind w:firstLine="420" w:firstLineChars="200"/>
        <w:rPr>
          <w:rFonts w:ascii="宋体" w:hAnsi="宋体"/>
          <w:szCs w:val="21"/>
        </w:rPr>
      </w:pPr>
      <w:r>
        <w:rPr>
          <w:rFonts w:hint="eastAsia" w:ascii="宋体" w:hAnsi="宋体"/>
          <w:szCs w:val="21"/>
        </w:rPr>
        <w:t>2.下列文件均为本合同的组成部分：</w:t>
      </w:r>
    </w:p>
    <w:p>
      <w:pPr>
        <w:ind w:firstLine="420" w:firstLineChars="200"/>
        <w:rPr>
          <w:rFonts w:ascii="宋体" w:hAnsi="宋体"/>
          <w:szCs w:val="21"/>
        </w:rPr>
      </w:pPr>
      <w:r>
        <w:rPr>
          <w:rFonts w:hint="eastAsia" w:ascii="宋体" w:hAnsi="宋体"/>
          <w:szCs w:val="21"/>
        </w:rPr>
        <w:t>（1）号招标文件、答疑及补充通知；</w:t>
      </w:r>
    </w:p>
    <w:p>
      <w:pPr>
        <w:ind w:firstLine="420" w:firstLineChars="200"/>
        <w:rPr>
          <w:rFonts w:ascii="宋体" w:hAnsi="宋体"/>
          <w:szCs w:val="21"/>
        </w:rPr>
      </w:pPr>
      <w:r>
        <w:rPr>
          <w:rFonts w:hint="eastAsia" w:ascii="宋体" w:hAnsi="宋体"/>
          <w:szCs w:val="21"/>
        </w:rPr>
        <w:t>（2）投标文件；</w:t>
      </w:r>
    </w:p>
    <w:p>
      <w:pPr>
        <w:ind w:firstLine="420" w:firstLineChars="200"/>
        <w:rPr>
          <w:rFonts w:ascii="宋体" w:hAnsi="宋体"/>
          <w:szCs w:val="21"/>
        </w:rPr>
      </w:pPr>
      <w:r>
        <w:rPr>
          <w:rFonts w:hint="eastAsia" w:ascii="宋体" w:hAnsi="宋体"/>
          <w:szCs w:val="21"/>
        </w:rPr>
        <w:t>（3）本合同执行中共同签署的补充与修正文件。</w:t>
      </w:r>
    </w:p>
    <w:p>
      <w:pPr>
        <w:ind w:firstLine="420" w:firstLineChars="200"/>
        <w:rPr>
          <w:rFonts w:ascii="宋体" w:hAnsi="宋体"/>
          <w:szCs w:val="21"/>
        </w:rPr>
      </w:pPr>
      <w:r>
        <w:rPr>
          <w:rFonts w:hint="eastAsia" w:ascii="宋体" w:hAnsi="宋体"/>
          <w:szCs w:val="21"/>
        </w:rPr>
        <w:t>本合同一式份，甲、乙方双方各执份，具有同等法律效力。本合同自双方法人代表签字（盖章）认可之日起生效。</w:t>
      </w:r>
    </w:p>
    <w:p>
      <w:pPr>
        <w:ind w:firstLine="420" w:firstLineChars="200"/>
        <w:rPr>
          <w:rFonts w:ascii="宋体" w:hAnsi="宋体"/>
          <w:szCs w:val="21"/>
        </w:rPr>
      </w:pPr>
      <w:r>
        <w:rPr>
          <w:rFonts w:hint="eastAsia" w:ascii="宋体" w:hAnsi="宋体"/>
          <w:szCs w:val="21"/>
        </w:rPr>
        <w:t>本合同未尽事宜，双方友好协商，达成解决方案，经双方签字后，可作为本合同的有效附件。</w:t>
      </w:r>
    </w:p>
    <w:p>
      <w:pPr>
        <w:ind w:firstLine="420" w:firstLineChars="200"/>
        <w:rPr>
          <w:rFonts w:ascii="宋体" w:hAnsi="宋体"/>
          <w:szCs w:val="21"/>
        </w:rPr>
      </w:pPr>
    </w:p>
    <w:p>
      <w:pPr>
        <w:ind w:firstLine="420" w:firstLineChars="200"/>
        <w:rPr>
          <w:rFonts w:ascii="宋体" w:hAnsi="宋体"/>
          <w:szCs w:val="21"/>
        </w:rPr>
      </w:pPr>
    </w:p>
    <w:p>
      <w:pPr>
        <w:spacing w:line="360" w:lineRule="auto"/>
        <w:ind w:firstLine="560"/>
        <w:jc w:val="left"/>
        <w:rPr>
          <w:rFonts w:ascii="宋体" w:hAnsi="宋体"/>
          <w:szCs w:val="21"/>
        </w:rPr>
      </w:pPr>
      <w:r>
        <w:rPr>
          <w:rFonts w:hint="eastAsia" w:ascii="宋体" w:hAnsi="宋体"/>
          <w:szCs w:val="21"/>
        </w:rPr>
        <w:t>甲方（采购人）：   （盖章）       乙方（供应商）：    （盖章）</w:t>
      </w:r>
    </w:p>
    <w:p>
      <w:pPr>
        <w:spacing w:line="360" w:lineRule="auto"/>
        <w:ind w:firstLine="560"/>
        <w:jc w:val="left"/>
        <w:rPr>
          <w:rFonts w:ascii="宋体" w:hAnsi="宋体"/>
          <w:szCs w:val="21"/>
        </w:rPr>
      </w:pPr>
      <w:r>
        <w:rPr>
          <w:rFonts w:hint="eastAsia" w:ascii="宋体" w:hAnsi="宋体"/>
          <w:szCs w:val="21"/>
        </w:rPr>
        <w:t xml:space="preserve">法定代表人：                     法定代表人： </w:t>
      </w:r>
    </w:p>
    <w:p>
      <w:pPr>
        <w:spacing w:line="360" w:lineRule="auto"/>
        <w:ind w:firstLine="560"/>
        <w:jc w:val="left"/>
        <w:rPr>
          <w:rFonts w:ascii="宋体" w:hAnsi="宋体"/>
          <w:szCs w:val="21"/>
        </w:rPr>
      </w:pPr>
      <w:r>
        <w:rPr>
          <w:rFonts w:hint="eastAsia" w:ascii="宋体" w:hAnsi="宋体"/>
          <w:szCs w:val="21"/>
        </w:rPr>
        <w:t>委托代理人：                     委托代理人：</w:t>
      </w:r>
    </w:p>
    <w:p>
      <w:pPr>
        <w:ind w:firstLine="420" w:firstLineChars="200"/>
        <w:rPr>
          <w:rFonts w:ascii="宋体" w:hAnsi="宋体"/>
          <w:szCs w:val="21"/>
        </w:rPr>
      </w:pPr>
      <w:r>
        <w:rPr>
          <w:rFonts w:hint="eastAsia" w:ascii="宋体" w:hAnsi="宋体"/>
          <w:szCs w:val="21"/>
        </w:rPr>
        <w:t>日期：   年     月    日         日期：   年     月    日</w:t>
      </w:r>
    </w:p>
    <w:p>
      <w:pPr>
        <w:ind w:firstLine="420" w:firstLineChars="200"/>
        <w:rPr>
          <w:rFonts w:ascii="宋体" w:hAnsi="宋体"/>
          <w:szCs w:val="21"/>
        </w:rPr>
      </w:pPr>
    </w:p>
    <w:p>
      <w:pPr>
        <w:ind w:firstLine="420" w:firstLineChars="200"/>
        <w:rPr>
          <w:rFonts w:ascii="宋体" w:hAnsi="宋体"/>
          <w:szCs w:val="21"/>
        </w:rPr>
      </w:pPr>
    </w:p>
    <w:p>
      <w:pPr>
        <w:ind w:firstLine="420" w:firstLineChars="200"/>
        <w:rPr>
          <w:rFonts w:ascii="宋体" w:hAnsi="宋体"/>
          <w:szCs w:val="21"/>
        </w:rPr>
      </w:pPr>
    </w:p>
    <w:p>
      <w:pPr>
        <w:ind w:firstLine="420" w:firstLineChars="200"/>
        <w:rPr>
          <w:rFonts w:ascii="宋体" w:hAnsi="宋体"/>
          <w:szCs w:val="21"/>
        </w:rPr>
      </w:pPr>
    </w:p>
    <w:p>
      <w:pPr>
        <w:ind w:firstLine="420" w:firstLineChars="200"/>
        <w:rPr>
          <w:rFonts w:ascii="宋体" w:hAnsi="宋体"/>
          <w:szCs w:val="21"/>
        </w:rPr>
      </w:pPr>
    </w:p>
    <w:p>
      <w:pPr>
        <w:widowControl/>
        <w:jc w:val="left"/>
        <w:rPr>
          <w:rFonts w:ascii="宋体" w:hAnsi="宋体"/>
          <w:szCs w:val="21"/>
        </w:rPr>
      </w:pPr>
      <w:r>
        <w:rPr>
          <w:rFonts w:ascii="宋体" w:hAnsi="宋体"/>
          <w:szCs w:val="21"/>
        </w:rPr>
        <w:br w:type="page"/>
      </w:r>
    </w:p>
    <w:p>
      <w:pPr>
        <w:pStyle w:val="7"/>
        <w:spacing w:before="120" w:beforeLines="50" w:after="120" w:afterLines="50"/>
        <w:ind w:left="562"/>
        <w:rPr>
          <w:sz w:val="28"/>
          <w:szCs w:val="28"/>
        </w:rPr>
      </w:pPr>
      <w:r>
        <w:rPr>
          <w:rFonts w:hint="eastAsia"/>
          <w:sz w:val="28"/>
          <w:szCs w:val="28"/>
        </w:rPr>
        <w:t>第二册  通用条款（公开招标）</w:t>
      </w:r>
    </w:p>
    <w:p>
      <w:pPr>
        <w:pStyle w:val="7"/>
        <w:numPr>
          <w:ilvl w:val="0"/>
          <w:numId w:val="16"/>
        </w:numPr>
        <w:spacing w:before="120" w:beforeLines="50" w:after="120" w:afterLines="50"/>
        <w:ind w:left="562" w:hanging="562"/>
        <w:rPr>
          <w:sz w:val="28"/>
          <w:szCs w:val="28"/>
        </w:rPr>
      </w:pPr>
      <w:bookmarkStart w:id="50" w:name="_Hlk72399513"/>
      <w:r>
        <w:rPr>
          <w:rFonts w:hint="eastAsia"/>
          <w:sz w:val="28"/>
          <w:szCs w:val="28"/>
        </w:rPr>
        <w:t>总则</w:t>
      </w:r>
    </w:p>
    <w:bookmarkEnd w:id="50"/>
    <w:p>
      <w:pPr>
        <w:rPr>
          <w:rFonts w:ascii="黑体" w:hAnsi="宋体" w:eastAsia="黑体"/>
          <w:sz w:val="24"/>
        </w:rPr>
      </w:pPr>
      <w:r>
        <w:rPr>
          <w:rFonts w:hint="eastAsia" w:ascii="黑体" w:hAnsi="宋体" w:eastAsia="黑体"/>
          <w:sz w:val="24"/>
        </w:rPr>
        <w:t>1. 通用条款说明</w:t>
      </w:r>
    </w:p>
    <w:p>
      <w:pPr>
        <w:ind w:firstLine="411" w:firstLineChars="196"/>
        <w:rPr>
          <w:rFonts w:ascii="宋体" w:hAnsi="宋体"/>
          <w:szCs w:val="21"/>
        </w:rPr>
      </w:pPr>
      <w:r>
        <w:rPr>
          <w:rFonts w:hint="eastAsia" w:ascii="宋体" w:hAnsi="宋体"/>
          <w:szCs w:val="21"/>
        </w:rPr>
        <w:t>1.1政府集中采购机构发出招标文件通用条款版本，列出深圳市政府采购项目进行招标采购所适用的通用条款内容。</w:t>
      </w:r>
      <w:bookmarkStart w:id="51" w:name="_Hlk72399729"/>
      <w:r>
        <w:rPr>
          <w:rFonts w:hint="eastAsia" w:ascii="宋体" w:hAnsi="宋体"/>
          <w:szCs w:val="21"/>
        </w:rPr>
        <w:t>如有需要，政府集中采购机构可以对通用条款的内容进行补充。</w:t>
      </w:r>
      <w:bookmarkEnd w:id="51"/>
    </w:p>
    <w:p>
      <w:pPr>
        <w:ind w:firstLine="411" w:firstLineChars="196"/>
        <w:rPr>
          <w:rFonts w:ascii="宋体" w:hAnsi="宋体"/>
          <w:szCs w:val="21"/>
        </w:rPr>
      </w:pPr>
      <w:r>
        <w:rPr>
          <w:rFonts w:hint="eastAsia" w:ascii="宋体" w:hAnsi="宋体"/>
          <w:szCs w:val="21"/>
        </w:rPr>
        <w:t>1.2招标文件分为第一册“专用条款”和第二册“通用条款”。</w:t>
      </w:r>
    </w:p>
    <w:p>
      <w:pPr>
        <w:ind w:firstLine="411" w:firstLineChars="196"/>
        <w:rPr>
          <w:rFonts w:ascii="宋体" w:hAnsi="宋体"/>
          <w:szCs w:val="21"/>
        </w:rPr>
      </w:pPr>
      <w:r>
        <w:rPr>
          <w:rFonts w:hint="eastAsia" w:ascii="宋体" w:hAnsi="宋体"/>
          <w:szCs w:val="21"/>
        </w:rPr>
        <w:t>1.3“专用条款”是对本次采购项目的具体要求，包含招标公告、对通用条款的补充内容及其他关键信息、用户需求书、投标文件格式及附件、合同条款及格式等内容。</w:t>
      </w:r>
    </w:p>
    <w:p>
      <w:pPr>
        <w:ind w:firstLine="411" w:firstLineChars="196"/>
        <w:rPr>
          <w:rFonts w:ascii="宋体" w:hAnsi="宋体"/>
          <w:szCs w:val="21"/>
        </w:rPr>
      </w:pPr>
      <w:r>
        <w:rPr>
          <w:rFonts w:hint="eastAsia" w:ascii="宋体" w:hAnsi="宋体"/>
          <w:szCs w:val="21"/>
        </w:rPr>
        <w:t>1.4“通用条款”是适用于政府采购公开招标项目的基础性条款，具有普遍性和通用性。</w:t>
      </w:r>
    </w:p>
    <w:p>
      <w:pPr>
        <w:ind w:firstLine="411" w:firstLineChars="196"/>
        <w:rPr>
          <w:rFonts w:ascii="宋体" w:hAnsi="宋体"/>
          <w:szCs w:val="21"/>
        </w:rPr>
      </w:pPr>
      <w:r>
        <w:rPr>
          <w:rFonts w:hint="eastAsia" w:ascii="宋体" w:hAnsi="宋体"/>
          <w:szCs w:val="21"/>
        </w:rPr>
        <w:t>1.5 “专用条款”和“通用条款”表述不一致或有冲突时，以“专用条款”为准。</w:t>
      </w:r>
    </w:p>
    <w:p>
      <w:pPr>
        <w:rPr>
          <w:rFonts w:ascii="黑体" w:hAnsi="宋体" w:eastAsia="黑体"/>
          <w:sz w:val="24"/>
        </w:rPr>
      </w:pPr>
      <w:r>
        <w:rPr>
          <w:rFonts w:hint="eastAsia" w:ascii="黑体" w:hAnsi="宋体" w:eastAsia="黑体"/>
          <w:sz w:val="24"/>
        </w:rPr>
        <w:t>2.招标说明</w:t>
      </w:r>
    </w:p>
    <w:p>
      <w:pPr>
        <w:ind w:firstLine="411" w:firstLineChars="196"/>
        <w:rPr>
          <w:rFonts w:ascii="宋体" w:hAnsi="宋体"/>
          <w:szCs w:val="21"/>
        </w:rPr>
      </w:pPr>
      <w:r>
        <w:rPr>
          <w:rFonts w:hint="eastAsia" w:ascii="宋体" w:hAnsi="宋体"/>
          <w:szCs w:val="21"/>
        </w:rPr>
        <w:t>本项目按照《深圳经济特区政府采购条例》《深圳经济特区政府采购条例实施细则》及政府采购其他法律法规，通过公开招标方式确定中标供应商。</w:t>
      </w:r>
    </w:p>
    <w:p>
      <w:pPr>
        <w:rPr>
          <w:rFonts w:ascii="黑体" w:hAnsi="宋体" w:eastAsia="黑体"/>
          <w:sz w:val="24"/>
        </w:rPr>
      </w:pPr>
      <w:r>
        <w:rPr>
          <w:rFonts w:hint="eastAsia" w:ascii="黑体" w:hAnsi="宋体" w:eastAsia="黑体"/>
          <w:sz w:val="24"/>
        </w:rPr>
        <w:t>3.定义</w:t>
      </w:r>
    </w:p>
    <w:p>
      <w:pPr>
        <w:ind w:firstLine="420" w:firstLineChars="200"/>
        <w:rPr>
          <w:rFonts w:ascii="宋体" w:hAnsi="宋体"/>
          <w:szCs w:val="21"/>
        </w:rPr>
      </w:pPr>
      <w:r>
        <w:rPr>
          <w:rFonts w:ascii="宋体" w:hAnsi="宋体"/>
          <w:szCs w:val="21"/>
        </w:rPr>
        <w:t>招标文件中下列术语应解释为：</w:t>
      </w:r>
    </w:p>
    <w:p>
      <w:pPr>
        <w:ind w:firstLine="411" w:firstLineChars="196"/>
        <w:rPr>
          <w:rFonts w:ascii="宋体" w:hAnsi="宋体"/>
          <w:szCs w:val="21"/>
        </w:rPr>
      </w:pPr>
      <w:r>
        <w:rPr>
          <w:rFonts w:hint="eastAsia" w:ascii="宋体" w:hAnsi="宋体"/>
          <w:szCs w:val="21"/>
        </w:rPr>
        <w:t>3.</w:t>
      </w:r>
      <w:r>
        <w:rPr>
          <w:rFonts w:ascii="宋体" w:hAnsi="宋体"/>
          <w:szCs w:val="21"/>
        </w:rPr>
        <w:t>1</w:t>
      </w:r>
      <w:r>
        <w:rPr>
          <w:rFonts w:hint="eastAsia" w:ascii="宋体" w:hAnsi="宋体"/>
          <w:szCs w:val="21"/>
        </w:rPr>
        <w:t>“采购人”：指利用财政性资金依法进行政府采购的国家机关、事业单位、团体组织；</w:t>
      </w:r>
      <w:r>
        <w:rPr>
          <w:rFonts w:ascii="宋体" w:hAnsi="宋体"/>
          <w:szCs w:val="21"/>
        </w:rPr>
        <w:t xml:space="preserve"> </w:t>
      </w:r>
    </w:p>
    <w:p>
      <w:pPr>
        <w:ind w:firstLine="411" w:firstLineChars="196"/>
        <w:rPr>
          <w:rFonts w:ascii="宋体" w:hAnsi="宋体"/>
          <w:szCs w:val="21"/>
        </w:rPr>
      </w:pPr>
      <w:r>
        <w:rPr>
          <w:rFonts w:hint="eastAsia" w:ascii="宋体" w:hAnsi="宋体"/>
          <w:szCs w:val="21"/>
        </w:rPr>
        <w:t>3.2 “政府集中采购机构”</w:t>
      </w:r>
      <w:r>
        <w:rPr>
          <w:rFonts w:hint="eastAsia" w:ascii="Arial" w:hAnsi="Arial" w:cs="Arial"/>
          <w:szCs w:val="21"/>
          <w:shd w:val="clear" w:color="auto" w:fill="FFFFFF"/>
        </w:rPr>
        <w:t>是指市政府设立的，组织实施政府采购项目，并对政府采购活动提供服务的专门机构；</w:t>
      </w:r>
      <w:r>
        <w:rPr>
          <w:rFonts w:hint="eastAsia" w:ascii="宋体" w:hAnsi="宋体"/>
          <w:szCs w:val="21"/>
        </w:rPr>
        <w:t>本文件所述的“政府集中采购机构”</w:t>
      </w:r>
      <w:r>
        <w:rPr>
          <w:rFonts w:ascii="宋体" w:hAnsi="宋体"/>
          <w:szCs w:val="21"/>
        </w:rPr>
        <w:t>指</w:t>
      </w:r>
      <w:r>
        <w:rPr>
          <w:rFonts w:hint="eastAsia" w:ascii="宋体" w:hAnsi="宋体"/>
          <w:b/>
          <w:bCs/>
          <w:szCs w:val="21"/>
        </w:rPr>
        <w:t>深圳公共资源交易中心</w:t>
      </w:r>
      <w:r>
        <w:rPr>
          <w:rFonts w:hint="eastAsia" w:ascii="宋体" w:hAnsi="宋体"/>
          <w:szCs w:val="21"/>
        </w:rPr>
        <w:t>；</w:t>
      </w:r>
    </w:p>
    <w:p>
      <w:pPr>
        <w:ind w:firstLine="411" w:firstLineChars="196"/>
        <w:rPr>
          <w:rFonts w:ascii="宋体" w:hAnsi="宋体"/>
          <w:szCs w:val="21"/>
        </w:rPr>
      </w:pPr>
      <w:r>
        <w:rPr>
          <w:rFonts w:hint="eastAsia" w:ascii="宋体" w:hAnsi="宋体"/>
          <w:szCs w:val="21"/>
        </w:rPr>
        <w:t>3.3“投标人”，即供应商，指参加投标竞争并愿意按照招标文件要求向采购人提供货物、工程或者服务的依法成立的法人、其他组织或者自然人；</w:t>
      </w:r>
    </w:p>
    <w:p>
      <w:pPr>
        <w:ind w:firstLine="411" w:firstLineChars="196"/>
        <w:rPr>
          <w:rFonts w:ascii="宋体" w:hAnsi="宋体"/>
          <w:szCs w:val="21"/>
        </w:rPr>
      </w:pPr>
      <w:r>
        <w:rPr>
          <w:rFonts w:hint="eastAsia" w:ascii="宋体" w:hAnsi="宋体"/>
          <w:szCs w:val="21"/>
        </w:rPr>
        <w:t>3.4“评审委员会”是依据《深圳经济特区政府采购条例》《深圳经济特区政府采购条例实施细则》等有关规定组建的专门负责本次招标评审工作的临时性机构；</w:t>
      </w:r>
    </w:p>
    <w:p>
      <w:pPr>
        <w:ind w:firstLine="411" w:firstLineChars="196"/>
        <w:rPr>
          <w:rFonts w:ascii="宋体" w:hAnsi="宋体"/>
          <w:szCs w:val="21"/>
        </w:rPr>
      </w:pPr>
      <w:r>
        <w:rPr>
          <w:rFonts w:hint="eastAsia" w:ascii="宋体" w:hAnsi="宋体"/>
          <w:szCs w:val="21"/>
        </w:rPr>
        <w:t>3.5“日期”</w:t>
      </w:r>
      <w:r>
        <w:rPr>
          <w:rFonts w:ascii="宋体" w:hAnsi="宋体"/>
          <w:szCs w:val="21"/>
        </w:rPr>
        <w:t>指</w:t>
      </w:r>
      <w:r>
        <w:rPr>
          <w:rFonts w:hint="eastAsia" w:ascii="宋体" w:hAnsi="宋体"/>
          <w:szCs w:val="21"/>
        </w:rPr>
        <w:t>公历日；</w:t>
      </w:r>
    </w:p>
    <w:p>
      <w:pPr>
        <w:ind w:firstLine="411" w:firstLineChars="196"/>
        <w:rPr>
          <w:rFonts w:ascii="宋体" w:hAnsi="宋体"/>
          <w:szCs w:val="21"/>
        </w:rPr>
      </w:pPr>
      <w:r>
        <w:rPr>
          <w:rFonts w:hint="eastAsia" w:ascii="宋体" w:hAnsi="宋体"/>
          <w:szCs w:val="21"/>
        </w:rPr>
        <w:t>3.6“合同”指由本次招标所产生的合同或合约文件；</w:t>
      </w:r>
    </w:p>
    <w:p>
      <w:pPr>
        <w:ind w:firstLine="411" w:firstLineChars="196"/>
        <w:rPr>
          <w:rFonts w:ascii="宋体" w:hAnsi="宋体"/>
          <w:szCs w:val="21"/>
        </w:rPr>
      </w:pPr>
      <w:r>
        <w:rPr>
          <w:rFonts w:hint="eastAsia" w:ascii="宋体" w:hAnsi="宋体"/>
          <w:szCs w:val="21"/>
        </w:rPr>
        <w:t>3.7“电子投标文件”指利用</w:t>
      </w:r>
      <w:r>
        <w:rPr>
          <w:rFonts w:hint="eastAsia" w:ascii="宋体" w:hAnsi="宋体"/>
          <w:b/>
          <w:bCs/>
          <w:szCs w:val="21"/>
        </w:rPr>
        <w:t>深圳公共资源交易中心（深圳交易集团有限公司</w:t>
      </w:r>
      <w:r>
        <w:rPr>
          <w:rFonts w:hint="eastAsia" w:ascii="宋体" w:hAnsi="宋体"/>
          <w:b/>
          <w:bCs/>
          <w:szCs w:val="21"/>
          <w:lang w:eastAsia="zh-CN"/>
        </w:rPr>
        <w:t>盐田</w:t>
      </w:r>
      <w:r>
        <w:rPr>
          <w:rFonts w:hint="eastAsia" w:ascii="宋体" w:hAnsi="宋体"/>
          <w:b/>
          <w:bCs/>
          <w:szCs w:val="21"/>
        </w:rPr>
        <w:t>分公司）</w:t>
      </w:r>
      <w:r>
        <w:rPr>
          <w:rFonts w:hint="eastAsia" w:ascii="宋体" w:hAnsi="宋体"/>
          <w:szCs w:val="21"/>
        </w:rPr>
        <w:t>网站提供的深圳智慧采购平台投标文件制作专用软件（以下简称：投标文件制作软件）制作并加密的投标文件,适用于网上投标；（投标文件制作软件可从“下载地址：http://zfcg.szggzy.com:8081/cgxy/013002/20210923/173e0b2c-7a4c-4246-a0c7-e0ea75d84dd6.html深圳智慧采购平台投标文件制作专用软件.zip”下载）</w:t>
      </w:r>
      <w:bookmarkStart w:id="52" w:name="_Hlk72398581"/>
      <w:r>
        <w:rPr>
          <w:rFonts w:hint="eastAsia" w:ascii="宋体" w:hAnsi="宋体"/>
          <w:szCs w:val="21"/>
        </w:rPr>
        <w:t>；</w:t>
      </w:r>
      <w:bookmarkEnd w:id="52"/>
    </w:p>
    <w:p>
      <w:pPr>
        <w:ind w:firstLine="411" w:firstLineChars="196"/>
        <w:rPr>
          <w:rFonts w:ascii="宋体" w:hAnsi="宋体"/>
          <w:szCs w:val="21"/>
        </w:rPr>
      </w:pPr>
      <w:r>
        <w:rPr>
          <w:rFonts w:hint="eastAsia" w:ascii="宋体" w:hAnsi="宋体"/>
          <w:szCs w:val="21"/>
        </w:rPr>
        <w:t>3.8“网上投标”指通过</w:t>
      </w:r>
      <w:r>
        <w:rPr>
          <w:rFonts w:hint="eastAsia" w:ascii="宋体" w:hAnsi="宋体"/>
          <w:b/>
          <w:bCs/>
          <w:szCs w:val="21"/>
        </w:rPr>
        <w:t>深圳公共资源交易中心（深圳交易集团有限公司</w:t>
      </w:r>
      <w:r>
        <w:rPr>
          <w:rFonts w:hint="eastAsia" w:ascii="宋体" w:hAnsi="宋体"/>
          <w:b/>
          <w:bCs/>
          <w:szCs w:val="21"/>
          <w:lang w:eastAsia="zh-CN"/>
        </w:rPr>
        <w:t>盐田</w:t>
      </w:r>
      <w:r>
        <w:rPr>
          <w:rFonts w:hint="eastAsia" w:ascii="宋体" w:hAnsi="宋体"/>
          <w:b/>
          <w:bCs/>
          <w:szCs w:val="21"/>
        </w:rPr>
        <w:t>分公司）</w:t>
      </w:r>
      <w:r>
        <w:rPr>
          <w:rFonts w:hint="eastAsia" w:ascii="宋体" w:hAnsi="宋体"/>
          <w:szCs w:val="21"/>
        </w:rPr>
        <w:t>网站上传电子投标文件；</w:t>
      </w:r>
    </w:p>
    <w:p>
      <w:pPr>
        <w:ind w:firstLine="411" w:firstLineChars="196"/>
        <w:rPr>
          <w:rFonts w:ascii="宋体" w:hAnsi="宋体"/>
          <w:szCs w:val="21"/>
        </w:rPr>
      </w:pPr>
      <w:r>
        <w:rPr>
          <w:rFonts w:hint="eastAsia" w:ascii="宋体" w:hAnsi="宋体"/>
          <w:szCs w:val="21"/>
        </w:rPr>
        <w:t>3.9招标文件中的标题或题名仅起引导作用，而不应视为对招标文件内容的理解和解释。</w:t>
      </w:r>
    </w:p>
    <w:p>
      <w:pPr>
        <w:rPr>
          <w:rFonts w:ascii="黑体" w:hAnsi="宋体" w:eastAsia="黑体"/>
          <w:sz w:val="24"/>
        </w:rPr>
      </w:pPr>
      <w:r>
        <w:rPr>
          <w:rFonts w:hint="eastAsia" w:ascii="黑体" w:hAnsi="宋体" w:eastAsia="黑体"/>
          <w:sz w:val="24"/>
        </w:rPr>
        <w:t xml:space="preserve">4. </w:t>
      </w:r>
      <w:bookmarkStart w:id="53" w:name="_Hlk72398643"/>
      <w:r>
        <w:rPr>
          <w:rFonts w:hint="eastAsia" w:ascii="黑体" w:hAnsi="宋体" w:eastAsia="黑体"/>
          <w:sz w:val="24"/>
        </w:rPr>
        <w:t>政府采购供应商责任</w:t>
      </w:r>
    </w:p>
    <w:p>
      <w:pPr>
        <w:ind w:firstLine="411" w:firstLineChars="196"/>
        <w:rPr>
          <w:rFonts w:ascii="宋体" w:hAnsi="宋体"/>
          <w:szCs w:val="21"/>
        </w:rPr>
      </w:pPr>
      <w:r>
        <w:rPr>
          <w:rFonts w:hint="eastAsia" w:ascii="宋体" w:hAnsi="宋体"/>
          <w:szCs w:val="21"/>
        </w:rPr>
        <w:t>4.1欢迎诚信、有实力和有社会责任心的供应商参与政府采购事业。</w:t>
      </w:r>
    </w:p>
    <w:p>
      <w:pPr>
        <w:ind w:firstLine="411" w:firstLineChars="196"/>
        <w:rPr>
          <w:rFonts w:ascii="宋体" w:hAnsi="宋体"/>
          <w:szCs w:val="21"/>
        </w:rPr>
      </w:pPr>
      <w:r>
        <w:rPr>
          <w:rFonts w:hint="eastAsia" w:ascii="宋体" w:hAnsi="宋体"/>
          <w:szCs w:val="21"/>
        </w:rPr>
        <w:t>4.2投标人应当遵循公平竞争的原则，不得恶意串通，不得妨碍其他投标人的竞争行为，不得损害采购人或者其他投标人的合法权益。如违反上述要求，经核实后，供应商的投标无效。</w:t>
      </w:r>
    </w:p>
    <w:p>
      <w:pPr>
        <w:rPr>
          <w:rFonts w:ascii="黑体" w:hAnsi="宋体" w:eastAsia="黑体"/>
          <w:sz w:val="24"/>
        </w:rPr>
      </w:pPr>
      <w:r>
        <w:rPr>
          <w:rFonts w:hint="eastAsia" w:ascii="黑体" w:hAnsi="宋体" w:eastAsia="黑体"/>
          <w:sz w:val="24"/>
        </w:rPr>
        <w:t>5.投标人参加政府采购的条件</w:t>
      </w:r>
    </w:p>
    <w:p>
      <w:pPr>
        <w:ind w:firstLine="411" w:firstLineChars="196"/>
        <w:rPr>
          <w:rFonts w:ascii="宋体" w:hAnsi="宋体"/>
          <w:szCs w:val="21"/>
        </w:rPr>
      </w:pPr>
      <w:r>
        <w:rPr>
          <w:rFonts w:hint="eastAsia" w:ascii="宋体" w:hAnsi="宋体"/>
          <w:szCs w:val="21"/>
        </w:rPr>
        <w:t>5.1投标人应在投标前到</w:t>
      </w:r>
      <w:r>
        <w:rPr>
          <w:rFonts w:hint="eastAsia" w:ascii="宋体" w:hAnsi="宋体"/>
          <w:b/>
          <w:bCs/>
          <w:szCs w:val="21"/>
        </w:rPr>
        <w:t>深圳公共资源交易中心（具体在深圳交易集团有限公司政府采购业务分公司进行办理）</w:t>
      </w:r>
      <w:r>
        <w:rPr>
          <w:rFonts w:hint="eastAsia" w:ascii="宋体" w:hAnsi="宋体"/>
          <w:szCs w:val="21"/>
        </w:rPr>
        <w:t>进行注册并办理电子密钥。《供应商注册及信息变更指引》详见www.szggzy.com网站“交易服务指南－政府采购”。</w:t>
      </w:r>
    </w:p>
    <w:p>
      <w:pPr>
        <w:ind w:firstLine="411" w:firstLineChars="196"/>
        <w:rPr>
          <w:rFonts w:ascii="宋体" w:hAnsi="宋体"/>
          <w:szCs w:val="21"/>
        </w:rPr>
      </w:pPr>
      <w:r>
        <w:rPr>
          <w:rFonts w:hint="eastAsia" w:ascii="宋体" w:hAnsi="宋体"/>
          <w:szCs w:val="21"/>
        </w:rPr>
        <w:t>5.2投标人资格要求</w:t>
      </w:r>
    </w:p>
    <w:p>
      <w:pPr>
        <w:ind w:firstLine="411" w:firstLineChars="196"/>
        <w:rPr>
          <w:rFonts w:ascii="宋体" w:hAnsi="宋体"/>
          <w:szCs w:val="21"/>
        </w:rPr>
      </w:pPr>
      <w:r>
        <w:rPr>
          <w:rFonts w:hint="eastAsia" w:ascii="宋体" w:hAnsi="宋体"/>
          <w:szCs w:val="21"/>
        </w:rPr>
        <w:t>参加本项目的投标人应具备的资格条件详见本项目招标公告中 “投标人资格要求”（即申请人的资格要求）的内容。</w:t>
      </w:r>
    </w:p>
    <w:p>
      <w:pPr>
        <w:ind w:firstLine="411" w:firstLineChars="196"/>
        <w:rPr>
          <w:rFonts w:ascii="宋体" w:hAnsi="宋体"/>
          <w:szCs w:val="21"/>
        </w:rPr>
      </w:pPr>
      <w:r>
        <w:rPr>
          <w:rFonts w:hint="eastAsia" w:ascii="宋体" w:hAnsi="宋体"/>
          <w:szCs w:val="21"/>
        </w:rPr>
        <w:t>5.3联合体投标</w:t>
      </w:r>
    </w:p>
    <w:p>
      <w:pPr>
        <w:ind w:firstLine="411" w:firstLineChars="196"/>
        <w:rPr>
          <w:rFonts w:ascii="宋体" w:hAnsi="宋体"/>
          <w:szCs w:val="21"/>
        </w:rPr>
      </w:pPr>
      <w:r>
        <w:rPr>
          <w:rFonts w:hint="eastAsia" w:ascii="宋体" w:hAnsi="宋体"/>
          <w:szCs w:val="21"/>
        </w:rPr>
        <w:t>5.3.1　以下有关联合体投标的条款仅适用于允许投标人组成联合体投标的项目。</w:t>
      </w:r>
    </w:p>
    <w:p>
      <w:pPr>
        <w:ind w:firstLine="411" w:firstLineChars="196"/>
        <w:rPr>
          <w:rFonts w:ascii="宋体" w:hAnsi="宋体"/>
          <w:szCs w:val="21"/>
        </w:rPr>
      </w:pPr>
      <w:r>
        <w:rPr>
          <w:rFonts w:hint="eastAsia" w:ascii="宋体" w:hAnsi="宋体"/>
          <w:szCs w:val="21"/>
        </w:rPr>
        <w:t>5.3.2  由两个或两个以上的自然人、法人或者其他组织可以组成一个联合体，以一个供应商的身份共同投标时，应符合以下原则：</w:t>
      </w:r>
    </w:p>
    <w:p>
      <w:pPr>
        <w:ind w:firstLine="411" w:firstLineChars="196"/>
        <w:rPr>
          <w:rFonts w:ascii="宋体" w:hAnsi="宋体"/>
        </w:rPr>
      </w:pPr>
      <w:r>
        <w:rPr>
          <w:rFonts w:hint="eastAsia" w:ascii="宋体" w:hAnsi="宋体"/>
        </w:rPr>
        <w:t>（1）投标联合体各方参加政府采购活动应当具备下列条件：</w:t>
      </w:r>
      <w:r>
        <w:rPr>
          <w:rFonts w:ascii="宋体" w:hAnsi="宋体"/>
        </w:rPr>
        <w:t xml:space="preserve"> </w:t>
      </w:r>
    </w:p>
    <w:p>
      <w:pPr>
        <w:ind w:left="420" w:leftChars="200" w:firstLine="411" w:firstLineChars="196"/>
        <w:rPr>
          <w:rFonts w:ascii="宋体" w:hAnsi="宋体"/>
        </w:rPr>
      </w:pPr>
      <w:r>
        <w:rPr>
          <w:rFonts w:hint="eastAsia" w:ascii="宋体" w:hAnsi="宋体"/>
        </w:rPr>
        <w:t>1.具有独立承担民事责任的能力；</w:t>
      </w:r>
      <w:r>
        <w:rPr>
          <w:rFonts w:ascii="宋体" w:hAnsi="宋体"/>
        </w:rPr>
        <w:t xml:space="preserve"> </w:t>
      </w:r>
    </w:p>
    <w:p>
      <w:pPr>
        <w:ind w:left="420" w:firstLine="411" w:firstLineChars="196"/>
        <w:rPr>
          <w:rFonts w:ascii="宋体" w:hAnsi="宋体"/>
        </w:rPr>
      </w:pPr>
      <w:r>
        <w:rPr>
          <w:rFonts w:hint="eastAsia" w:ascii="宋体" w:hAnsi="宋体"/>
        </w:rPr>
        <w:t>2.具有良好的商业信誉和健全的财务会计制度；</w:t>
      </w:r>
      <w:r>
        <w:rPr>
          <w:rFonts w:ascii="宋体" w:hAnsi="宋体"/>
        </w:rPr>
        <w:t xml:space="preserve"> </w:t>
      </w:r>
    </w:p>
    <w:p>
      <w:pPr>
        <w:ind w:left="420" w:leftChars="200" w:firstLine="411" w:firstLineChars="196"/>
        <w:rPr>
          <w:rFonts w:ascii="宋体" w:hAnsi="宋体"/>
        </w:rPr>
      </w:pPr>
      <w:r>
        <w:rPr>
          <w:rFonts w:hint="eastAsia" w:ascii="宋体" w:hAnsi="宋体"/>
        </w:rPr>
        <w:t>3.具有履行合同所必需的设备和专业技术能力；</w:t>
      </w:r>
      <w:r>
        <w:rPr>
          <w:rFonts w:ascii="宋体" w:hAnsi="宋体"/>
        </w:rPr>
        <w:t xml:space="preserve"> </w:t>
      </w:r>
    </w:p>
    <w:p>
      <w:pPr>
        <w:ind w:left="420" w:leftChars="200" w:firstLine="411" w:firstLineChars="196"/>
        <w:rPr>
          <w:rFonts w:ascii="宋体" w:hAnsi="宋体"/>
        </w:rPr>
      </w:pPr>
      <w:r>
        <w:rPr>
          <w:rFonts w:hint="eastAsia" w:ascii="宋体" w:hAnsi="宋体"/>
        </w:rPr>
        <w:t>4.有依法缴纳税收和社会保障资金的良好记录；</w:t>
      </w:r>
      <w:r>
        <w:rPr>
          <w:rFonts w:ascii="宋体" w:hAnsi="宋体"/>
        </w:rPr>
        <w:t xml:space="preserve"> </w:t>
      </w:r>
    </w:p>
    <w:p>
      <w:pPr>
        <w:ind w:left="420" w:leftChars="200" w:firstLine="411" w:firstLineChars="196"/>
        <w:rPr>
          <w:rFonts w:ascii="宋体" w:hAnsi="宋体"/>
        </w:rPr>
      </w:pPr>
      <w:r>
        <w:rPr>
          <w:rFonts w:hint="eastAsia" w:ascii="宋体" w:hAnsi="宋体"/>
        </w:rPr>
        <w:t>5.参加政府采购活动前三年内，在经营活动中没有重大违法记录；</w:t>
      </w:r>
      <w:r>
        <w:rPr>
          <w:rFonts w:ascii="宋体" w:hAnsi="宋体"/>
        </w:rPr>
        <w:t xml:space="preserve"> </w:t>
      </w:r>
    </w:p>
    <w:p>
      <w:pPr>
        <w:ind w:left="420" w:leftChars="200" w:firstLine="411" w:firstLineChars="196"/>
        <w:rPr>
          <w:rFonts w:ascii="宋体" w:hAnsi="宋体"/>
        </w:rPr>
      </w:pPr>
      <w:r>
        <w:rPr>
          <w:rFonts w:hint="eastAsia" w:ascii="宋体" w:hAnsi="宋体"/>
        </w:rPr>
        <w:t>6.法律、行政法规规定的其他条件。</w:t>
      </w:r>
      <w:r>
        <w:rPr>
          <w:rFonts w:ascii="宋体" w:hAnsi="宋体"/>
        </w:rPr>
        <w:t xml:space="preserve"> </w:t>
      </w:r>
    </w:p>
    <w:p>
      <w:pPr>
        <w:ind w:firstLine="411" w:firstLineChars="196"/>
        <w:rPr>
          <w:rFonts w:ascii="宋体" w:hAnsi="宋体"/>
        </w:rPr>
      </w:pPr>
      <w:r>
        <w:rPr>
          <w:rFonts w:hint="eastAsia" w:ascii="宋体" w:hAnsi="宋体"/>
        </w:rPr>
        <w:t>（2）在投标截止前，投标联合体各方均应注册成为政府集中采购机构供应商；</w:t>
      </w:r>
    </w:p>
    <w:p>
      <w:pPr>
        <w:ind w:firstLine="411" w:firstLineChars="196"/>
        <w:rPr>
          <w:rFonts w:ascii="宋体" w:hAnsi="宋体"/>
        </w:rPr>
      </w:pPr>
      <w:r>
        <w:rPr>
          <w:rFonts w:hint="eastAsia" w:ascii="宋体" w:hAnsi="宋体"/>
        </w:rPr>
        <w:t>（3）联合体中有同类资质的供应商按照联合体分工承担相同工作的，应当按照资质等级较低的供应商确定资质等级；</w:t>
      </w:r>
    </w:p>
    <w:p>
      <w:pPr>
        <w:ind w:firstLine="411" w:firstLineChars="196"/>
      </w:pPr>
      <w:r>
        <w:rPr>
          <w:rFonts w:hint="eastAsia"/>
        </w:rPr>
        <w:t>（4）是否允许联合体参加投标，应当由采购人和采购代理机构根据项目的实际情况和潜在供应商的数量自主决定，如果决定接受联合体投标则应当在招标公告中明示；</w:t>
      </w:r>
    </w:p>
    <w:p>
      <w:pPr>
        <w:ind w:firstLine="411" w:firstLineChars="196"/>
        <w:rPr>
          <w:rFonts w:ascii="宋体" w:hAnsi="宋体"/>
        </w:rPr>
      </w:pPr>
      <w:r>
        <w:rPr>
          <w:rFonts w:hint="eastAsia" w:ascii="宋体" w:hAnsi="宋体"/>
        </w:rPr>
        <w:t>（5）投标人的投标文件及中标后签署的合同协议对联合体各方均具有法律约束力；</w:t>
      </w:r>
    </w:p>
    <w:p>
      <w:pPr>
        <w:ind w:firstLine="411" w:firstLineChars="196"/>
        <w:rPr>
          <w:rFonts w:ascii="宋体" w:hAnsi="宋体"/>
        </w:rPr>
      </w:pPr>
      <w:r>
        <w:rPr>
          <w:rFonts w:hint="eastAsia" w:ascii="宋体" w:hAnsi="宋体"/>
        </w:rPr>
        <w:t>（6）联合体各方应当签订联合体投标协议，明确约定各方拟承担的工作和责任，并将该协议随投标文件一并递交给政府集中采购机构；</w:t>
      </w:r>
    </w:p>
    <w:p>
      <w:pPr>
        <w:ind w:firstLine="411" w:firstLineChars="196"/>
        <w:rPr>
          <w:rFonts w:ascii="宋体" w:hAnsi="宋体"/>
        </w:rPr>
      </w:pPr>
      <w:r>
        <w:rPr>
          <w:rFonts w:hint="eastAsia" w:ascii="宋体" w:hAnsi="宋体"/>
        </w:rPr>
        <w:t>（7）联合体中标后，联合体各方应当共同与采购人签订合同，就中标项目向采购人承担连带责任；</w:t>
      </w:r>
    </w:p>
    <w:p>
      <w:pPr>
        <w:ind w:firstLine="411" w:firstLineChars="196"/>
        <w:rPr>
          <w:rFonts w:ascii="宋体" w:hAnsi="宋体"/>
        </w:rPr>
      </w:pPr>
      <w:r>
        <w:rPr>
          <w:rFonts w:hint="eastAsia" w:ascii="宋体" w:hAnsi="宋体"/>
        </w:rPr>
        <w:t>（8）以联合体形式参加政府采购活动的，联合体各方不得再单独参加或者与其他供应商另外组成联合体参加同一合同项下的政府采购活动，出现上述情况者，其投标和与此有关联合体、总包单位的投标将被拒绝；</w:t>
      </w:r>
    </w:p>
    <w:p>
      <w:pPr>
        <w:ind w:firstLine="411" w:firstLineChars="196"/>
        <w:rPr>
          <w:rFonts w:ascii="宋体" w:hAnsi="宋体"/>
          <w:szCs w:val="21"/>
        </w:rPr>
      </w:pPr>
      <w:r>
        <w:rPr>
          <w:rFonts w:hint="eastAsia" w:ascii="宋体" w:hAnsi="宋体"/>
        </w:rPr>
        <w:t>（9）本通用条款中“投标人”一词亦指联合体各方，专用条款另有规定或说明的除外。</w:t>
      </w:r>
    </w:p>
    <w:p>
      <w:pPr>
        <w:rPr>
          <w:rFonts w:ascii="黑体" w:hAnsi="宋体" w:eastAsia="黑体"/>
          <w:sz w:val="24"/>
        </w:rPr>
      </w:pPr>
      <w:r>
        <w:rPr>
          <w:rFonts w:hint="eastAsia" w:ascii="黑体" w:hAnsi="宋体" w:eastAsia="黑体"/>
          <w:sz w:val="24"/>
        </w:rPr>
        <w:t>6.政策导向</w:t>
      </w:r>
    </w:p>
    <w:p>
      <w:pPr>
        <w:ind w:firstLine="411" w:firstLineChars="196"/>
        <w:rPr>
          <w:rFonts w:ascii="宋体" w:hAnsi="宋体"/>
        </w:rPr>
      </w:pPr>
      <w:r>
        <w:rPr>
          <w:rFonts w:hint="eastAsia" w:ascii="宋体" w:hAnsi="宋体"/>
        </w:rPr>
        <w:t>6.1</w:t>
      </w:r>
      <w:r>
        <w:rPr>
          <w:rFonts w:ascii="宋体" w:hAnsi="宋体"/>
        </w:rPr>
        <w:t xml:space="preserve">  </w:t>
      </w:r>
      <w:r>
        <w:rPr>
          <w:rFonts w:hint="eastAsia" w:ascii="宋体" w:hAnsi="宋体"/>
        </w:rPr>
        <w:t>政府采购扶持贫困地区、中小企业、监狱企业和残疾人福利性单位发展，支持节能减排、环境保护。</w:t>
      </w:r>
    </w:p>
    <w:p>
      <w:pPr>
        <w:ind w:firstLine="405"/>
        <w:rPr>
          <w:rFonts w:ascii="宋体" w:hAnsi="宋体"/>
        </w:rPr>
      </w:pPr>
      <w:r>
        <w:rPr>
          <w:rFonts w:hint="eastAsia" w:ascii="宋体" w:hAnsi="宋体"/>
        </w:rPr>
        <w:t>6.2</w:t>
      </w:r>
      <w:r>
        <w:rPr>
          <w:rFonts w:ascii="宋体" w:hAnsi="宋体"/>
        </w:rPr>
        <w:t xml:space="preserve">  </w:t>
      </w:r>
      <w:r>
        <w:rPr>
          <w:rFonts w:hint="eastAsia" w:ascii="宋体" w:hAnsi="宋体"/>
        </w:rPr>
        <w:t>本项目落实深圳市政府采购供应商诚信管理政策要求。</w:t>
      </w:r>
    </w:p>
    <w:p>
      <w:pPr>
        <w:ind w:firstLine="405"/>
      </w:pPr>
      <w:r>
        <w:rPr>
          <w:rFonts w:hint="eastAsia" w:ascii="宋体" w:hAnsi="宋体"/>
        </w:rPr>
        <w:t>6.3  本项目支持投标人性别平等的相关政策。</w:t>
      </w:r>
    </w:p>
    <w:p>
      <w:pPr>
        <w:rPr>
          <w:rFonts w:ascii="黑体" w:hAnsi="宋体" w:eastAsia="黑体"/>
          <w:sz w:val="24"/>
        </w:rPr>
      </w:pPr>
      <w:r>
        <w:rPr>
          <w:rFonts w:hint="eastAsia" w:ascii="黑体" w:hAnsi="宋体" w:eastAsia="黑体"/>
          <w:sz w:val="24"/>
        </w:rPr>
        <w:t>7. 本项目若涉及采购货物，则合格的货物及相应服务应满足以下要求：</w:t>
      </w:r>
    </w:p>
    <w:p>
      <w:pPr>
        <w:ind w:firstLine="411" w:firstLineChars="196"/>
        <w:rPr>
          <w:rFonts w:ascii="宋体" w:hAnsi="宋体"/>
        </w:rPr>
      </w:pPr>
      <w:r>
        <w:rPr>
          <w:rFonts w:hint="eastAsia" w:ascii="宋体" w:hAnsi="宋体"/>
        </w:rPr>
        <w:t>7</w:t>
      </w:r>
      <w:r>
        <w:rPr>
          <w:rFonts w:ascii="宋体" w:hAnsi="宋体"/>
        </w:rPr>
        <w:t xml:space="preserve">.1  </w:t>
      </w:r>
      <w:r>
        <w:rPr>
          <w:rFonts w:hint="eastAsia" w:ascii="宋体" w:hAnsi="宋体"/>
        </w:rPr>
        <w:t>必须是全新、未使用过的原装合格正品（包括零部件），如安装或配置了软件的，须为正版软件。</w:t>
      </w:r>
    </w:p>
    <w:p>
      <w:pPr>
        <w:ind w:firstLine="411" w:firstLineChars="196"/>
        <w:rPr>
          <w:rFonts w:ascii="宋体" w:hAnsi="宋体"/>
        </w:rPr>
      </w:pPr>
      <w:r>
        <w:rPr>
          <w:rFonts w:hint="eastAsia" w:ascii="宋体" w:hAnsi="宋体"/>
        </w:rPr>
        <w:t>7.2  国产的货物及其有关服务必须符合中华人民共和国的设计、制造生产标准及行业标准。招标公告有其他要求的，亦应符合其要求。</w:t>
      </w:r>
    </w:p>
    <w:p>
      <w:pPr>
        <w:ind w:firstLine="411" w:firstLineChars="196"/>
        <w:rPr>
          <w:rFonts w:ascii="宋体" w:hAnsi="宋体"/>
        </w:rPr>
      </w:pPr>
      <w:r>
        <w:rPr>
          <w:rFonts w:hint="eastAsia" w:ascii="宋体" w:hAnsi="宋体"/>
        </w:rPr>
        <w:t>7</w:t>
      </w:r>
      <w:r>
        <w:rPr>
          <w:rFonts w:ascii="宋体" w:hAnsi="宋体"/>
        </w:rPr>
        <w:t>.</w:t>
      </w:r>
      <w:r>
        <w:rPr>
          <w:rFonts w:hint="eastAsia" w:ascii="宋体" w:hAnsi="宋体"/>
        </w:rPr>
        <w:t>3</w:t>
      </w:r>
      <w:r>
        <w:rPr>
          <w:rFonts w:ascii="宋体" w:hAnsi="宋体"/>
        </w:rPr>
        <w:t xml:space="preserve">  </w:t>
      </w:r>
      <w:r>
        <w:rPr>
          <w:rFonts w:hint="eastAsia" w:ascii="宋体" w:hAnsi="宋体"/>
        </w:rPr>
        <w:t>进口货物及其有关服务必须符合原产地和中华人民共和国的设计、制造生产标准及行业标准。进口的货物必须具有合法的进口手续和途径，并通过中华人民共和国商检部门检验。招标公告有其他要求的，亦应符合其要求。</w:t>
      </w:r>
    </w:p>
    <w:p>
      <w:pPr>
        <w:ind w:firstLine="411" w:firstLineChars="196"/>
        <w:rPr>
          <w:rFonts w:ascii="宋体" w:hAnsi="宋体"/>
        </w:rPr>
      </w:pPr>
      <w:r>
        <w:rPr>
          <w:rFonts w:hint="eastAsia" w:ascii="宋体" w:hAnsi="宋体"/>
        </w:rPr>
        <w:t>7</w:t>
      </w:r>
      <w:r>
        <w:rPr>
          <w:rFonts w:ascii="宋体" w:hAnsi="宋体"/>
        </w:rPr>
        <w:t>.</w:t>
      </w:r>
      <w:r>
        <w:rPr>
          <w:rFonts w:hint="eastAsia" w:ascii="宋体" w:hAnsi="宋体"/>
        </w:rPr>
        <w:t>4</w:t>
      </w:r>
      <w:r>
        <w:rPr>
          <w:rFonts w:ascii="宋体" w:hAnsi="宋体"/>
        </w:rPr>
        <w:t xml:space="preserve">  </w:t>
      </w:r>
      <w:r>
        <w:rPr>
          <w:rFonts w:hint="eastAsia" w:ascii="宋体" w:hAnsi="宋体"/>
        </w:rPr>
        <w:t>投标人</w:t>
      </w:r>
      <w:bookmarkStart w:id="54" w:name="_Hlk72152753"/>
      <w:r>
        <w:rPr>
          <w:rFonts w:hint="eastAsia" w:ascii="宋体" w:hAnsi="宋体"/>
        </w:rPr>
        <w:t>应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bookmarkEnd w:id="54"/>
    </w:p>
    <w:p>
      <w:pPr>
        <w:ind w:firstLine="411" w:firstLineChars="196"/>
        <w:rPr>
          <w:rFonts w:ascii="宋体" w:hAnsi="宋体"/>
        </w:rPr>
      </w:pPr>
      <w:r>
        <w:rPr>
          <w:rFonts w:hint="eastAsia" w:ascii="宋体" w:hAnsi="宋体"/>
        </w:rPr>
        <w:t>7.5  投标人应保证，其所提供的货物符合国家强制性标准要求；符合相关行业标准（如具备行政主管部门颁发的资质证书或国家质量监督部门的产品《检验报告》等）。设备到货验收时，还必须提供设备的产品合格证、质量保证文件。若中标后，除非另有约定，投标人必须按合同规定完成设备的安装，并达到验收标准。</w:t>
      </w:r>
    </w:p>
    <w:p>
      <w:pPr>
        <w:ind w:firstLine="411" w:firstLineChars="196"/>
        <w:rPr>
          <w:rFonts w:ascii="宋体" w:hAnsi="宋体"/>
        </w:rPr>
      </w:pPr>
      <w:r>
        <w:rPr>
          <w:rFonts w:hint="eastAsia" w:ascii="宋体" w:hAnsi="宋体"/>
        </w:rPr>
        <w:t>7.6  工期要求：投标人在投标时对其所投项目应提交交货进度、交货计划等，在合同规定的时间内完成项目实施工作。</w:t>
      </w:r>
    </w:p>
    <w:p>
      <w:pPr>
        <w:ind w:firstLine="411" w:firstLineChars="196"/>
        <w:rPr>
          <w:rFonts w:ascii="宋体" w:hAnsi="宋体"/>
        </w:rPr>
      </w:pPr>
      <w:r>
        <w:rPr>
          <w:rFonts w:hint="eastAsia" w:ascii="宋体" w:hAnsi="宋体"/>
        </w:rPr>
        <w:t>7.7  投标人必须承担设备运输、安装调试、验收检测和提供设备操作说明书、图纸等其他相关及类似的义务。</w:t>
      </w:r>
    </w:p>
    <w:p>
      <w:pPr>
        <w:rPr>
          <w:rFonts w:ascii="黑体" w:hAnsi="宋体" w:eastAsia="黑体"/>
          <w:sz w:val="24"/>
        </w:rPr>
      </w:pPr>
      <w:r>
        <w:rPr>
          <w:rFonts w:hint="eastAsia" w:ascii="黑体" w:hAnsi="宋体" w:eastAsia="黑体"/>
          <w:sz w:val="24"/>
        </w:rPr>
        <w:t>8.投标费用</w:t>
      </w:r>
    </w:p>
    <w:p>
      <w:pPr>
        <w:ind w:firstLine="411" w:firstLineChars="196"/>
        <w:rPr>
          <w:rFonts w:ascii="宋体" w:hAnsi="宋体"/>
          <w:szCs w:val="21"/>
        </w:rPr>
      </w:pPr>
      <w:r>
        <w:rPr>
          <w:rFonts w:hint="eastAsia" w:ascii="宋体" w:hAnsi="宋体"/>
          <w:szCs w:val="21"/>
        </w:rPr>
        <w:t>不论投标结果如何，投标人应承担其编制投标文件与递交投标文件所涉及的一切费用。</w:t>
      </w:r>
    </w:p>
    <w:p>
      <w:pPr>
        <w:rPr>
          <w:rFonts w:ascii="黑体" w:hAnsi="宋体" w:eastAsia="黑体"/>
          <w:sz w:val="24"/>
        </w:rPr>
      </w:pPr>
      <w:r>
        <w:rPr>
          <w:rFonts w:hint="eastAsia" w:ascii="黑体" w:hAnsi="宋体" w:eastAsia="黑体"/>
          <w:sz w:val="24"/>
        </w:rPr>
        <w:t>9.踏勘现场</w:t>
      </w:r>
    </w:p>
    <w:p>
      <w:pPr>
        <w:ind w:firstLine="411" w:firstLineChars="196"/>
        <w:rPr>
          <w:rFonts w:ascii="宋体" w:hAnsi="宋体"/>
          <w:szCs w:val="21"/>
        </w:rPr>
      </w:pPr>
      <w:r>
        <w:rPr>
          <w:rFonts w:hint="eastAsia" w:ascii="宋体" w:hAnsi="宋体"/>
          <w:szCs w:val="21"/>
        </w:rPr>
        <w:t>9.1如有需要（详见专用条款），采购人或政府集中采购机构将组织投标人对项目现场及周围环境进行踏勘，以便投标人获取有关编制投标文件和签署合同所需的资料。踏勘现场所发生的费用由投标人自行承担。投标人应按招标文件所约定的时间、地点踏勘现场。</w:t>
      </w:r>
    </w:p>
    <w:p>
      <w:pPr>
        <w:ind w:firstLine="411" w:firstLineChars="196"/>
        <w:rPr>
          <w:rFonts w:ascii="宋体" w:hAnsi="宋体"/>
        </w:rPr>
      </w:pPr>
      <w:r>
        <w:rPr>
          <w:rFonts w:hint="eastAsia" w:ascii="宋体" w:hAnsi="宋体"/>
        </w:rPr>
        <w:t>9.2投标人及其人员经过采购人的允许，可以进入采购人的项目现场踏勘。若招标文件要求投标人于统一时间地点踏勘现场的，投标人应当按时前往。</w:t>
      </w:r>
    </w:p>
    <w:p>
      <w:pPr>
        <w:ind w:firstLine="411" w:firstLineChars="196"/>
        <w:rPr>
          <w:rFonts w:ascii="宋体" w:hAnsi="宋体"/>
        </w:rPr>
      </w:pPr>
      <w:r>
        <w:rPr>
          <w:rFonts w:hint="eastAsia" w:ascii="宋体" w:hAnsi="宋体"/>
        </w:rPr>
        <w:t>9.3采购人应当通过政府集中采购机构向投标人提供有关现场的书面资料和数据。</w:t>
      </w:r>
    </w:p>
    <w:p>
      <w:pPr>
        <w:ind w:firstLine="411" w:firstLineChars="196"/>
        <w:rPr>
          <w:rFonts w:ascii="宋体" w:hAnsi="宋体"/>
        </w:rPr>
      </w:pPr>
      <w:r>
        <w:rPr>
          <w:rFonts w:hint="eastAsia" w:ascii="宋体" w:hAnsi="宋体"/>
        </w:rPr>
        <w:t>9.4任何人或任何组织在踏勘现场时向投标人提供的任何书面资料或口头承诺，未经政府集中采购机构在网上发布或书面通知，均作无效处理。</w:t>
      </w:r>
    </w:p>
    <w:p>
      <w:pPr>
        <w:ind w:firstLine="411" w:firstLineChars="196"/>
        <w:rPr>
          <w:rFonts w:ascii="宋体" w:hAnsi="宋体"/>
        </w:rPr>
      </w:pPr>
      <w:r>
        <w:rPr>
          <w:rFonts w:ascii="宋体" w:hAnsi="宋体"/>
          <w:szCs w:val="21"/>
        </w:rPr>
        <w:t>9</w:t>
      </w:r>
      <w:r>
        <w:rPr>
          <w:rFonts w:hint="eastAsia" w:ascii="宋体" w:hAnsi="宋体"/>
          <w:szCs w:val="21"/>
        </w:rPr>
        <w:t>.</w:t>
      </w:r>
      <w:r>
        <w:rPr>
          <w:rFonts w:ascii="宋体" w:hAnsi="宋体"/>
          <w:szCs w:val="21"/>
        </w:rPr>
        <w:t>5</w:t>
      </w:r>
      <w:r>
        <w:rPr>
          <w:rFonts w:hint="eastAsia" w:ascii="宋体" w:hAnsi="宋体"/>
          <w:szCs w:val="21"/>
        </w:rPr>
        <w:t>未参与踏勘现场不作为否定投标人资格的理由。</w:t>
      </w:r>
    </w:p>
    <w:p>
      <w:pPr>
        <w:rPr>
          <w:rFonts w:ascii="宋体" w:hAnsi="宋体"/>
          <w:szCs w:val="21"/>
        </w:rPr>
      </w:pPr>
      <w:r>
        <w:rPr>
          <w:rFonts w:hint="eastAsia" w:ascii="黑体" w:hAnsi="宋体" w:eastAsia="黑体"/>
          <w:sz w:val="24"/>
        </w:rPr>
        <w:t>10.标前会议</w:t>
      </w:r>
    </w:p>
    <w:p>
      <w:pPr>
        <w:ind w:firstLine="411" w:firstLineChars="196"/>
        <w:rPr>
          <w:rFonts w:ascii="宋体" w:hAnsi="宋体"/>
          <w:szCs w:val="21"/>
        </w:rPr>
      </w:pPr>
      <w:r>
        <w:rPr>
          <w:rFonts w:hint="eastAsia" w:ascii="宋体" w:hAnsi="宋体"/>
          <w:szCs w:val="21"/>
        </w:rPr>
        <w:t>1</w:t>
      </w:r>
      <w:r>
        <w:rPr>
          <w:rFonts w:ascii="宋体" w:hAnsi="宋体"/>
          <w:szCs w:val="21"/>
        </w:rPr>
        <w:t>0</w:t>
      </w:r>
      <w:r>
        <w:rPr>
          <w:rFonts w:hint="eastAsia" w:ascii="宋体" w:hAnsi="宋体"/>
          <w:szCs w:val="21"/>
        </w:rPr>
        <w:t>.</w:t>
      </w:r>
      <w:r>
        <w:rPr>
          <w:rFonts w:ascii="宋体" w:hAnsi="宋体"/>
          <w:szCs w:val="21"/>
        </w:rPr>
        <w:t>1</w:t>
      </w:r>
      <w:r>
        <w:rPr>
          <w:rFonts w:hint="eastAsia" w:ascii="宋体" w:hAnsi="宋体"/>
          <w:szCs w:val="21"/>
        </w:rPr>
        <w:t>如采购人或政府集中采购机构认为有必要组织标前会议，投标人应按照招标文件规定的时间或政府集中采购机构另行书面通知（包括政府集中采购机构网站发布方式，如更正公告等）的时间和地点，参与标前会议。</w:t>
      </w:r>
    </w:p>
    <w:p>
      <w:pPr>
        <w:ind w:firstLine="411" w:firstLineChars="196"/>
        <w:rPr>
          <w:rFonts w:ascii="宋体" w:hAnsi="宋体"/>
          <w:szCs w:val="21"/>
        </w:rPr>
      </w:pPr>
      <w:r>
        <w:rPr>
          <w:rFonts w:ascii="宋体" w:hAnsi="宋体"/>
        </w:rPr>
        <w:t>10</w:t>
      </w:r>
      <w:r>
        <w:rPr>
          <w:rFonts w:hint="eastAsia" w:ascii="宋体" w:hAnsi="宋体"/>
        </w:rPr>
        <w:t>.</w:t>
      </w:r>
      <w:r>
        <w:rPr>
          <w:rFonts w:ascii="宋体" w:hAnsi="宋体"/>
        </w:rPr>
        <w:t>2</w:t>
      </w:r>
      <w:r>
        <w:rPr>
          <w:rFonts w:hint="eastAsia" w:ascii="宋体" w:hAnsi="宋体"/>
        </w:rPr>
        <w:t>任何人或任何组织在标前会议时向投标人提供的任何书面资料或口头承诺，未经政府集中采购机构在网上发布或书面通知，均作无效处理。</w:t>
      </w:r>
    </w:p>
    <w:p>
      <w:pPr>
        <w:ind w:firstLine="411" w:firstLineChars="196"/>
        <w:rPr>
          <w:rFonts w:ascii="宋体" w:hAnsi="宋体"/>
          <w:szCs w:val="21"/>
        </w:rPr>
      </w:pPr>
      <w:r>
        <w:rPr>
          <w:rFonts w:hint="eastAsia" w:ascii="宋体" w:hAnsi="宋体"/>
          <w:szCs w:val="21"/>
        </w:rPr>
        <w:t>1</w:t>
      </w:r>
      <w:r>
        <w:rPr>
          <w:rFonts w:ascii="宋体" w:hAnsi="宋体"/>
          <w:szCs w:val="21"/>
        </w:rPr>
        <w:t>0</w:t>
      </w:r>
      <w:r>
        <w:rPr>
          <w:rFonts w:hint="eastAsia" w:ascii="宋体" w:hAnsi="宋体"/>
          <w:szCs w:val="21"/>
        </w:rPr>
        <w:t>.</w:t>
      </w:r>
      <w:r>
        <w:rPr>
          <w:rFonts w:ascii="宋体" w:hAnsi="宋体"/>
          <w:szCs w:val="21"/>
        </w:rPr>
        <w:t>3</w:t>
      </w:r>
      <w:r>
        <w:rPr>
          <w:rFonts w:hint="eastAsia" w:ascii="宋体" w:hAnsi="宋体"/>
          <w:szCs w:val="21"/>
        </w:rPr>
        <w:t>未参与标前会议不作为否定投标人资格的理由。</w:t>
      </w:r>
    </w:p>
    <w:bookmarkEnd w:id="53"/>
    <w:p>
      <w:pPr>
        <w:ind w:firstLine="411" w:firstLineChars="196"/>
        <w:rPr>
          <w:rFonts w:ascii="宋体" w:hAnsi="宋体"/>
        </w:rPr>
      </w:pPr>
    </w:p>
    <w:p>
      <w:pPr>
        <w:pStyle w:val="7"/>
        <w:numPr>
          <w:ilvl w:val="0"/>
          <w:numId w:val="16"/>
        </w:numPr>
        <w:spacing w:before="120" w:beforeLines="50" w:after="120" w:afterLines="50"/>
        <w:ind w:left="562" w:hanging="562"/>
        <w:rPr>
          <w:sz w:val="28"/>
          <w:szCs w:val="28"/>
        </w:rPr>
      </w:pPr>
      <w:r>
        <w:rPr>
          <w:rFonts w:hint="eastAsia"/>
          <w:sz w:val="28"/>
          <w:szCs w:val="28"/>
        </w:rPr>
        <w:t>招标文件</w:t>
      </w:r>
    </w:p>
    <w:p>
      <w:pPr>
        <w:rPr>
          <w:rFonts w:ascii="黑体" w:hAnsi="宋体" w:eastAsia="黑体"/>
          <w:sz w:val="24"/>
        </w:rPr>
      </w:pPr>
      <w:r>
        <w:rPr>
          <w:rFonts w:hint="eastAsia" w:ascii="黑体" w:hAnsi="宋体" w:eastAsia="黑体"/>
          <w:sz w:val="24"/>
        </w:rPr>
        <w:t>11.</w:t>
      </w:r>
      <w:bookmarkStart w:id="55" w:name="_Hlk72399819"/>
      <w:r>
        <w:rPr>
          <w:rFonts w:hint="eastAsia" w:ascii="黑体" w:hAnsi="宋体" w:eastAsia="黑体"/>
          <w:sz w:val="24"/>
        </w:rPr>
        <w:t>招标文件的编制与组成</w:t>
      </w:r>
    </w:p>
    <w:p>
      <w:pPr>
        <w:snapToGrid w:val="0"/>
        <w:ind w:firstLine="420" w:firstLineChars="200"/>
        <w:rPr>
          <w:rFonts w:ascii="宋体" w:hAnsi="宋体"/>
          <w:szCs w:val="21"/>
        </w:rPr>
      </w:pPr>
      <w:r>
        <w:rPr>
          <w:rFonts w:hint="eastAsia" w:ascii="宋体" w:hAnsi="宋体"/>
          <w:szCs w:val="21"/>
        </w:rPr>
        <w:t>1</w:t>
      </w:r>
      <w:r>
        <w:rPr>
          <w:rFonts w:ascii="宋体" w:hAnsi="宋体"/>
          <w:szCs w:val="21"/>
        </w:rPr>
        <w:t>1</w:t>
      </w:r>
      <w:r>
        <w:rPr>
          <w:rFonts w:hint="eastAsia" w:ascii="宋体" w:hAnsi="宋体"/>
          <w:szCs w:val="21"/>
        </w:rPr>
        <w:t>.1招标文件除以下内容外，政府集中采购机构在招标期间发出的澄清或修改等相关公告或通知内容，均是招标文件的组成部分，对投标人起约束作用；</w:t>
      </w:r>
    </w:p>
    <w:p>
      <w:pPr>
        <w:ind w:firstLine="411" w:firstLineChars="196"/>
        <w:rPr>
          <w:rFonts w:ascii="宋体" w:hAnsi="宋体"/>
          <w:szCs w:val="21"/>
        </w:rPr>
      </w:pPr>
      <w:r>
        <w:rPr>
          <w:rFonts w:hint="eastAsia" w:ascii="宋体" w:hAnsi="宋体"/>
          <w:szCs w:val="21"/>
        </w:rPr>
        <w:t>招标文件包括下列内容：</w:t>
      </w:r>
    </w:p>
    <w:p>
      <w:pPr>
        <w:ind w:left="420" w:leftChars="200" w:firstLine="413" w:firstLineChars="196"/>
        <w:rPr>
          <w:rFonts w:ascii="宋体" w:hAnsi="宋体"/>
          <w:b/>
          <w:szCs w:val="21"/>
        </w:rPr>
      </w:pPr>
      <w:r>
        <w:rPr>
          <w:rFonts w:hint="eastAsia" w:ascii="宋体" w:hAnsi="宋体"/>
          <w:b/>
          <w:szCs w:val="21"/>
        </w:rPr>
        <w:t>第一册  专用条款</w:t>
      </w:r>
    </w:p>
    <w:p>
      <w:pPr>
        <w:ind w:left="1079" w:leftChars="514"/>
        <w:rPr>
          <w:rFonts w:ascii="宋体" w:hAnsi="宋体"/>
          <w:b/>
          <w:szCs w:val="21"/>
        </w:rPr>
      </w:pPr>
      <w:r>
        <w:rPr>
          <w:rFonts w:hint="eastAsia" w:ascii="宋体" w:hAnsi="宋体"/>
          <w:b/>
          <w:szCs w:val="21"/>
        </w:rPr>
        <w:t>关键信息</w:t>
      </w:r>
    </w:p>
    <w:p>
      <w:pPr>
        <w:ind w:left="630" w:leftChars="300" w:firstLine="411" w:firstLineChars="196"/>
        <w:rPr>
          <w:rFonts w:ascii="宋体" w:hAnsi="宋体"/>
          <w:szCs w:val="21"/>
        </w:rPr>
      </w:pPr>
      <w:r>
        <w:rPr>
          <w:rFonts w:hint="eastAsia" w:ascii="宋体" w:hAnsi="宋体"/>
          <w:szCs w:val="21"/>
        </w:rPr>
        <w:t>第一章  招标公告</w:t>
      </w:r>
    </w:p>
    <w:p>
      <w:pPr>
        <w:ind w:left="630" w:leftChars="300" w:firstLine="411" w:firstLineChars="196"/>
        <w:rPr>
          <w:rFonts w:ascii="宋体" w:hAnsi="宋体"/>
          <w:szCs w:val="21"/>
        </w:rPr>
      </w:pPr>
      <w:r>
        <w:rPr>
          <w:rFonts w:hint="eastAsia" w:ascii="宋体" w:hAnsi="宋体"/>
          <w:szCs w:val="21"/>
        </w:rPr>
        <w:t>第二章  对通用条款的补充内容及其他关键信息</w:t>
      </w:r>
    </w:p>
    <w:p>
      <w:pPr>
        <w:ind w:left="630" w:leftChars="300" w:firstLine="411" w:firstLineChars="196"/>
        <w:rPr>
          <w:rFonts w:ascii="宋体" w:hAnsi="宋体"/>
          <w:szCs w:val="21"/>
        </w:rPr>
      </w:pPr>
      <w:r>
        <w:rPr>
          <w:rFonts w:hint="eastAsia" w:ascii="宋体" w:hAnsi="宋体"/>
          <w:szCs w:val="21"/>
        </w:rPr>
        <w:t>第三章  用户需求书</w:t>
      </w:r>
    </w:p>
    <w:p>
      <w:pPr>
        <w:ind w:left="630" w:leftChars="300" w:firstLine="411" w:firstLineChars="196"/>
        <w:rPr>
          <w:rFonts w:ascii="宋体" w:hAnsi="宋体"/>
          <w:szCs w:val="21"/>
        </w:rPr>
      </w:pPr>
      <w:r>
        <w:rPr>
          <w:rFonts w:hint="eastAsia"/>
        </w:rPr>
        <w:t xml:space="preserve">第四章 </w:t>
      </w:r>
      <w:r>
        <w:t xml:space="preserve"> </w:t>
      </w:r>
      <w:r>
        <w:rPr>
          <w:rFonts w:hint="eastAsia"/>
        </w:rPr>
        <w:t>投标文件格式及附件</w:t>
      </w:r>
    </w:p>
    <w:p>
      <w:pPr>
        <w:ind w:left="630" w:leftChars="300" w:firstLine="411" w:firstLineChars="196"/>
        <w:rPr>
          <w:rFonts w:ascii="宋体" w:hAnsi="宋体"/>
          <w:szCs w:val="21"/>
        </w:rPr>
      </w:pPr>
      <w:r>
        <w:rPr>
          <w:rFonts w:hint="eastAsia" w:ascii="宋体" w:hAnsi="宋体"/>
          <w:szCs w:val="21"/>
        </w:rPr>
        <w:t>第五章  合同条款及格式</w:t>
      </w:r>
    </w:p>
    <w:p>
      <w:pPr>
        <w:ind w:left="420" w:leftChars="200" w:firstLine="413" w:firstLineChars="196"/>
        <w:rPr>
          <w:rFonts w:ascii="宋体" w:hAnsi="宋体"/>
          <w:b/>
          <w:szCs w:val="21"/>
        </w:rPr>
      </w:pPr>
      <w:r>
        <w:rPr>
          <w:rFonts w:hint="eastAsia" w:ascii="宋体" w:hAnsi="宋体"/>
          <w:b/>
          <w:szCs w:val="21"/>
        </w:rPr>
        <w:t>第二册  通用条款</w:t>
      </w:r>
    </w:p>
    <w:p>
      <w:pPr>
        <w:ind w:left="630" w:leftChars="300" w:firstLine="411" w:firstLineChars="196"/>
        <w:rPr>
          <w:rFonts w:ascii="宋体" w:hAnsi="宋体"/>
          <w:szCs w:val="21"/>
        </w:rPr>
      </w:pPr>
      <w:r>
        <w:rPr>
          <w:rFonts w:hint="eastAsia" w:ascii="宋体" w:hAnsi="宋体"/>
          <w:szCs w:val="21"/>
        </w:rPr>
        <w:t>第一章  总则</w:t>
      </w:r>
    </w:p>
    <w:p>
      <w:pPr>
        <w:ind w:left="630" w:leftChars="300" w:firstLine="411" w:firstLineChars="196"/>
        <w:rPr>
          <w:rFonts w:ascii="宋体" w:hAnsi="宋体"/>
          <w:szCs w:val="21"/>
        </w:rPr>
      </w:pPr>
      <w:r>
        <w:rPr>
          <w:rFonts w:hint="eastAsia" w:ascii="宋体" w:hAnsi="宋体"/>
          <w:szCs w:val="21"/>
        </w:rPr>
        <w:t>第二章  招标文件</w:t>
      </w:r>
    </w:p>
    <w:p>
      <w:pPr>
        <w:ind w:left="630" w:leftChars="300" w:firstLine="411" w:firstLineChars="196"/>
        <w:rPr>
          <w:rFonts w:ascii="宋体" w:hAnsi="宋体"/>
          <w:szCs w:val="21"/>
        </w:rPr>
      </w:pPr>
      <w:r>
        <w:rPr>
          <w:rFonts w:hint="eastAsia" w:ascii="宋体" w:hAnsi="宋体"/>
          <w:szCs w:val="21"/>
        </w:rPr>
        <w:t>第三章  投标文件的编制</w:t>
      </w:r>
    </w:p>
    <w:p>
      <w:pPr>
        <w:ind w:left="630" w:leftChars="300" w:firstLine="411" w:firstLineChars="196"/>
        <w:rPr>
          <w:rFonts w:ascii="宋体" w:hAnsi="宋体"/>
          <w:szCs w:val="21"/>
        </w:rPr>
      </w:pPr>
      <w:r>
        <w:rPr>
          <w:rFonts w:hint="eastAsia" w:ascii="宋体" w:hAnsi="宋体"/>
          <w:szCs w:val="21"/>
        </w:rPr>
        <w:t>第四章  投标文件的递交</w:t>
      </w:r>
    </w:p>
    <w:p>
      <w:pPr>
        <w:ind w:left="630" w:leftChars="300" w:firstLine="411" w:firstLineChars="196"/>
        <w:rPr>
          <w:rFonts w:ascii="宋体" w:hAnsi="宋体"/>
          <w:szCs w:val="21"/>
        </w:rPr>
      </w:pPr>
      <w:r>
        <w:rPr>
          <w:rFonts w:hint="eastAsia" w:ascii="宋体" w:hAnsi="宋体"/>
          <w:szCs w:val="21"/>
        </w:rPr>
        <w:t>第五章  开标</w:t>
      </w:r>
    </w:p>
    <w:p>
      <w:pPr>
        <w:ind w:left="630" w:leftChars="300" w:firstLine="411" w:firstLineChars="196"/>
        <w:rPr>
          <w:rFonts w:ascii="宋体" w:hAnsi="宋体"/>
          <w:szCs w:val="21"/>
        </w:rPr>
      </w:pPr>
      <w:r>
        <w:rPr>
          <w:rFonts w:hint="eastAsia" w:ascii="宋体" w:hAnsi="宋体"/>
          <w:szCs w:val="21"/>
        </w:rPr>
        <w:t>第六章  评审要求</w:t>
      </w:r>
    </w:p>
    <w:p>
      <w:pPr>
        <w:ind w:left="630" w:leftChars="300" w:firstLine="411" w:firstLineChars="196"/>
        <w:rPr>
          <w:rFonts w:ascii="宋体" w:hAnsi="宋体"/>
          <w:szCs w:val="21"/>
        </w:rPr>
      </w:pPr>
      <w:r>
        <w:rPr>
          <w:rFonts w:hint="eastAsia" w:ascii="宋体" w:hAnsi="宋体"/>
          <w:szCs w:val="21"/>
        </w:rPr>
        <w:t>第七章  评审程序及评审方法</w:t>
      </w:r>
    </w:p>
    <w:p>
      <w:pPr>
        <w:ind w:left="630" w:leftChars="300" w:firstLine="411" w:firstLineChars="196"/>
        <w:rPr>
          <w:rFonts w:ascii="宋体" w:hAnsi="宋体"/>
          <w:szCs w:val="21"/>
        </w:rPr>
      </w:pPr>
      <w:r>
        <w:rPr>
          <w:rFonts w:hint="eastAsia" w:ascii="宋体" w:hAnsi="宋体"/>
          <w:szCs w:val="21"/>
        </w:rPr>
        <w:t>第八章  定标及公示</w:t>
      </w:r>
    </w:p>
    <w:p>
      <w:pPr>
        <w:ind w:left="630" w:leftChars="300" w:firstLine="411" w:firstLineChars="196"/>
        <w:rPr>
          <w:rFonts w:ascii="宋体" w:hAnsi="宋体"/>
          <w:szCs w:val="21"/>
        </w:rPr>
      </w:pPr>
      <w:r>
        <w:rPr>
          <w:rFonts w:hint="eastAsia" w:ascii="宋体" w:hAnsi="宋体"/>
          <w:szCs w:val="21"/>
        </w:rPr>
        <w:t>第九章  公开招标失败的后续处理</w:t>
      </w:r>
    </w:p>
    <w:p>
      <w:pPr>
        <w:ind w:left="630" w:leftChars="300" w:firstLine="411" w:firstLineChars="196"/>
        <w:rPr>
          <w:rFonts w:ascii="宋体" w:hAnsi="宋体"/>
          <w:szCs w:val="21"/>
        </w:rPr>
      </w:pPr>
      <w:r>
        <w:rPr>
          <w:rFonts w:hint="eastAsia" w:ascii="宋体" w:hAnsi="宋体"/>
          <w:szCs w:val="21"/>
        </w:rPr>
        <w:t>第十章  合同的授予与备案</w:t>
      </w:r>
    </w:p>
    <w:p>
      <w:pPr>
        <w:ind w:left="630" w:leftChars="300" w:firstLine="411" w:firstLineChars="196"/>
        <w:rPr>
          <w:rFonts w:ascii="宋体" w:hAnsi="宋体"/>
          <w:szCs w:val="21"/>
        </w:rPr>
      </w:pPr>
      <w:r>
        <w:rPr>
          <w:rFonts w:hint="eastAsia" w:ascii="宋体" w:hAnsi="宋体"/>
          <w:szCs w:val="21"/>
        </w:rPr>
        <w:t>第十一章  质疑处理</w:t>
      </w:r>
    </w:p>
    <w:p>
      <w:pPr>
        <w:ind w:firstLine="411" w:firstLineChars="196"/>
        <w:rPr>
          <w:rFonts w:ascii="宋体" w:hAnsi="宋体"/>
          <w:szCs w:val="21"/>
        </w:rPr>
      </w:pPr>
      <w:r>
        <w:rPr>
          <w:rFonts w:hint="eastAsia" w:ascii="宋体" w:hAnsi="宋体"/>
          <w:szCs w:val="21"/>
        </w:rPr>
        <w:t>1</w:t>
      </w:r>
      <w:r>
        <w:rPr>
          <w:rFonts w:ascii="宋体" w:hAnsi="宋体"/>
          <w:szCs w:val="21"/>
        </w:rPr>
        <w:t>1</w:t>
      </w:r>
      <w:r>
        <w:rPr>
          <w:rFonts w:hint="eastAsia" w:ascii="宋体" w:hAnsi="宋体"/>
          <w:szCs w:val="21"/>
        </w:rPr>
        <w:t>.2 投标人</w:t>
      </w:r>
      <w:r>
        <w:rPr>
          <w:rFonts w:hint="eastAsia" w:ascii="宋体" w:hAnsi="宋体"/>
          <w:color w:val="FF0000"/>
          <w:szCs w:val="21"/>
        </w:rPr>
        <w:t>登录深圳政府采购智慧平台（http://zfcg.szggzy.com:8081/）</w:t>
      </w:r>
      <w:r>
        <w:rPr>
          <w:rFonts w:hint="eastAsia" w:ascii="宋体" w:hAnsi="宋体"/>
          <w:szCs w:val="21"/>
        </w:rPr>
        <w:t>下载招标文件后，应仔细检查招标文件的所有内容，如有疑问应在答疑截止时间之前向政府集中采购机构提出，否则，由此引起的投标损失自负；投标人同时应认真审阅招标文件所有的事项、格式、条款和规范要求等，如果投标人的投标文件未按招标文件要求提交全部资料或者投标文件未对招标文件做出实质性响应，其风险由投标人自行承担。</w:t>
      </w:r>
    </w:p>
    <w:p>
      <w:pPr>
        <w:ind w:firstLine="411" w:firstLineChars="196"/>
        <w:rPr>
          <w:rFonts w:ascii="宋体" w:hAnsi="宋体"/>
        </w:rPr>
      </w:pPr>
      <w:r>
        <w:rPr>
          <w:rFonts w:hint="eastAsia" w:ascii="宋体" w:hAnsi="宋体"/>
          <w:szCs w:val="21"/>
        </w:rPr>
        <w:t>1</w:t>
      </w:r>
      <w:r>
        <w:rPr>
          <w:rFonts w:ascii="宋体" w:hAnsi="宋体"/>
          <w:szCs w:val="21"/>
        </w:rPr>
        <w:t>1</w:t>
      </w:r>
      <w:r>
        <w:rPr>
          <w:rFonts w:hint="eastAsia" w:ascii="宋体" w:hAnsi="宋体"/>
          <w:szCs w:val="21"/>
        </w:rPr>
        <w:t>.3</w:t>
      </w:r>
      <w:r>
        <w:rPr>
          <w:rFonts w:hint="eastAsia" w:ascii="宋体" w:hAnsi="宋体"/>
        </w:rPr>
        <w:t>任何人或任何组织向投标人提交的任何书面或口头资料，未经政府集中采购机构在网上发布或书面通知，均作无效处理，不得作为招标文件的组成部分。政府集中采购机构对投标人由此而做出的推论、理解和结论概不负责。</w:t>
      </w:r>
    </w:p>
    <w:p>
      <w:pPr>
        <w:pStyle w:val="2"/>
        <w:ind w:firstLine="420" w:firstLineChars="200"/>
      </w:pPr>
      <w:r>
        <w:rPr>
          <w:rFonts w:hint="eastAsia" w:ascii="宋体" w:hAnsi="宋体"/>
          <w:b w:val="0"/>
          <w:bCs w:val="0"/>
          <w:sz w:val="21"/>
        </w:rPr>
        <w:t>11.4招标文件所称“原件备查”，是指在项目产生质疑、投诉等阶段，主管部门、采购人、代理机构、评审委员会等可以要求供应商提供原件进行核查。</w:t>
      </w:r>
    </w:p>
    <w:p>
      <w:pPr>
        <w:rPr>
          <w:rFonts w:ascii="黑体" w:hAnsi="宋体" w:eastAsia="黑体"/>
          <w:sz w:val="24"/>
        </w:rPr>
      </w:pPr>
      <w:r>
        <w:rPr>
          <w:rFonts w:hint="eastAsia" w:ascii="黑体" w:hAnsi="宋体" w:eastAsia="黑体"/>
          <w:sz w:val="24"/>
        </w:rPr>
        <w:t>12.招标文件的澄清</w:t>
      </w:r>
    </w:p>
    <w:p>
      <w:pPr>
        <w:ind w:firstLine="411" w:firstLineChars="196"/>
        <w:rPr>
          <w:rFonts w:ascii="宋体" w:hAnsi="宋体"/>
          <w:szCs w:val="21"/>
        </w:rPr>
      </w:pPr>
      <w:r>
        <w:rPr>
          <w:rFonts w:hint="eastAsia" w:ascii="宋体" w:hAnsi="宋体"/>
          <w:szCs w:val="21"/>
        </w:rPr>
        <w:t>1</w:t>
      </w:r>
      <w:r>
        <w:rPr>
          <w:rFonts w:ascii="宋体" w:hAnsi="宋体"/>
          <w:szCs w:val="21"/>
        </w:rPr>
        <w:t>2</w:t>
      </w:r>
      <w:r>
        <w:rPr>
          <w:rFonts w:hint="eastAsia" w:ascii="宋体" w:hAnsi="宋体"/>
          <w:szCs w:val="21"/>
        </w:rPr>
        <w:t>.1招标文件澄清的目的是澄清、解答投标人在查阅招标文件后或现场踏勘中可能提出的与投标有关的疑问或询问。</w:t>
      </w:r>
    </w:p>
    <w:p>
      <w:pPr>
        <w:ind w:firstLine="411" w:firstLineChars="196"/>
        <w:rPr>
          <w:rFonts w:ascii="宋体" w:hAnsi="宋体"/>
          <w:szCs w:val="21"/>
        </w:rPr>
      </w:pPr>
      <w:r>
        <w:rPr>
          <w:rFonts w:hint="eastAsia" w:ascii="宋体" w:hAnsi="宋体"/>
          <w:szCs w:val="21"/>
        </w:rPr>
        <w:t>1</w:t>
      </w:r>
      <w:r>
        <w:rPr>
          <w:rFonts w:ascii="宋体" w:hAnsi="宋体"/>
          <w:szCs w:val="21"/>
        </w:rPr>
        <w:t>2</w:t>
      </w:r>
      <w:r>
        <w:rPr>
          <w:rFonts w:hint="eastAsia" w:ascii="宋体" w:hAnsi="宋体"/>
          <w:szCs w:val="21"/>
        </w:rPr>
        <w:t>.2投标人如对招标文件内容有疑问，应当在招标公告规定的澄清（提问）截止时间前以网上提问的形式通过网上政府采购系统提交政府集中采购机构。</w:t>
      </w:r>
    </w:p>
    <w:p>
      <w:pPr>
        <w:ind w:firstLine="411" w:firstLineChars="196"/>
        <w:rPr>
          <w:rFonts w:ascii="宋体" w:hAnsi="宋体"/>
          <w:szCs w:val="21"/>
        </w:rPr>
      </w:pPr>
      <w:r>
        <w:rPr>
          <w:rFonts w:hint="eastAsia" w:ascii="宋体" w:hAnsi="宋体"/>
          <w:szCs w:val="21"/>
        </w:rPr>
        <w:t>1</w:t>
      </w:r>
      <w:r>
        <w:rPr>
          <w:rFonts w:ascii="宋体" w:hAnsi="宋体"/>
          <w:szCs w:val="21"/>
        </w:rPr>
        <w:t>2</w:t>
      </w:r>
      <w:r>
        <w:rPr>
          <w:rFonts w:hint="eastAsia" w:ascii="宋体" w:hAnsi="宋体"/>
          <w:szCs w:val="21"/>
        </w:rPr>
        <w:t>.3不论是政府集中采购机构根据需要主动对招标文件进行必要的澄清或是根据投标人的要求对招标文件做出澄清，政府集中采购机构都将在投标截止日期前以书面形式（包括政府集中采购机构网站发布方式）答复或发送给所有投标人。答复内容是招标文件的组成部分，对投标人起约束作用，其有效性按照本通用条款第1</w:t>
      </w:r>
      <w:r>
        <w:rPr>
          <w:rFonts w:ascii="宋体" w:hAnsi="宋体"/>
          <w:szCs w:val="21"/>
        </w:rPr>
        <w:t>3.3</w:t>
      </w:r>
      <w:r>
        <w:rPr>
          <w:rFonts w:hint="eastAsia" w:ascii="宋体" w:hAnsi="宋体"/>
          <w:szCs w:val="21"/>
        </w:rPr>
        <w:t>、1</w:t>
      </w:r>
      <w:r>
        <w:rPr>
          <w:rFonts w:ascii="宋体" w:hAnsi="宋体"/>
          <w:szCs w:val="21"/>
        </w:rPr>
        <w:t>3.4</w:t>
      </w:r>
      <w:r>
        <w:rPr>
          <w:rFonts w:hint="eastAsia" w:ascii="宋体" w:hAnsi="宋体"/>
          <w:szCs w:val="21"/>
        </w:rPr>
        <w:t>款规定执行。</w:t>
      </w:r>
    </w:p>
    <w:p>
      <w:pPr>
        <w:rPr>
          <w:rFonts w:ascii="黑体" w:hAnsi="宋体" w:eastAsia="黑体"/>
          <w:sz w:val="24"/>
        </w:rPr>
      </w:pPr>
      <w:r>
        <w:rPr>
          <w:rFonts w:hint="eastAsia" w:ascii="黑体" w:hAnsi="宋体" w:eastAsia="黑体"/>
          <w:sz w:val="24"/>
        </w:rPr>
        <w:t>13.招标文件的修改</w:t>
      </w:r>
    </w:p>
    <w:p>
      <w:pPr>
        <w:ind w:firstLine="411" w:firstLineChars="196"/>
        <w:rPr>
          <w:rFonts w:ascii="宋体" w:hAnsi="宋体"/>
          <w:szCs w:val="21"/>
        </w:rPr>
      </w:pPr>
      <w:r>
        <w:rPr>
          <w:rFonts w:ascii="宋体" w:hAnsi="宋体"/>
          <w:szCs w:val="21"/>
        </w:rPr>
        <w:t>1</w:t>
      </w:r>
      <w:r>
        <w:rPr>
          <w:rFonts w:hint="eastAsia" w:ascii="宋体" w:hAnsi="宋体"/>
          <w:szCs w:val="21"/>
        </w:rPr>
        <w:t>3.1招标文件发出后，在投标截止日期前任何时候，确需要变更招标文件内容的，政府集中采购机构可主动或在解答投标人提出的澄清问题时对招标文件进行修改。</w:t>
      </w:r>
    </w:p>
    <w:p>
      <w:pPr>
        <w:ind w:firstLine="411" w:firstLineChars="196"/>
        <w:rPr>
          <w:rFonts w:ascii="宋体" w:hAnsi="宋体"/>
          <w:szCs w:val="21"/>
        </w:rPr>
      </w:pPr>
      <w:r>
        <w:rPr>
          <w:rFonts w:ascii="宋体" w:hAnsi="宋体"/>
          <w:szCs w:val="21"/>
        </w:rPr>
        <w:t>1</w:t>
      </w:r>
      <w:r>
        <w:rPr>
          <w:rFonts w:hint="eastAsia" w:ascii="宋体" w:hAnsi="宋体"/>
          <w:szCs w:val="21"/>
        </w:rPr>
        <w:t>3.2招标文件的修改以书面形式（包括政府集中采购机构网站发布方式，如更正公告等）发送给所有投标人，招标文件的修改内容作为招标文件的组成部分，并具有约束力。</w:t>
      </w:r>
    </w:p>
    <w:p>
      <w:pPr>
        <w:ind w:firstLine="411" w:firstLineChars="196"/>
        <w:rPr>
          <w:rFonts w:ascii="宋体" w:hAnsi="宋体"/>
          <w:szCs w:val="21"/>
        </w:rPr>
      </w:pPr>
      <w:r>
        <w:rPr>
          <w:rFonts w:ascii="宋体" w:hAnsi="宋体"/>
          <w:szCs w:val="21"/>
        </w:rPr>
        <w:t>1</w:t>
      </w:r>
      <w:r>
        <w:rPr>
          <w:rFonts w:hint="eastAsia" w:ascii="宋体" w:hAnsi="宋体"/>
          <w:szCs w:val="21"/>
        </w:rPr>
        <w:t>3.3招标文件、招标文件澄清答复内容、招标文件修改补充内容均以书面形式（包括政府集中采购机构网站公开发布方式，如更正公告等）明确的内容为准</w:t>
      </w:r>
      <w:r>
        <w:rPr>
          <w:rFonts w:hint="eastAsia" w:ascii="宋体" w:hAnsi="宋体"/>
          <w:color w:val="FF0000"/>
          <w:szCs w:val="21"/>
        </w:rPr>
        <w:t>，投标人应当登录深圳政府采购智慧平台（http://zfcg.szggzy.com:8081/）下载最新的招标文件</w:t>
      </w:r>
      <w:r>
        <w:rPr>
          <w:rFonts w:hint="eastAsia" w:ascii="宋体" w:hAnsi="宋体"/>
          <w:szCs w:val="21"/>
        </w:rPr>
        <w:t>。当招标文件、修改补充通知、招标文件澄清答复内容相互矛盾时，以最后发出的内容为准。</w:t>
      </w:r>
    </w:p>
    <w:p>
      <w:pPr>
        <w:ind w:firstLine="411" w:firstLineChars="196"/>
        <w:rPr>
          <w:rFonts w:ascii="宋体" w:hAnsi="宋体"/>
          <w:szCs w:val="21"/>
        </w:rPr>
      </w:pPr>
      <w:r>
        <w:rPr>
          <w:rFonts w:ascii="宋体" w:hAnsi="宋体"/>
          <w:szCs w:val="21"/>
        </w:rPr>
        <w:t>1</w:t>
      </w:r>
      <w:r>
        <w:rPr>
          <w:rFonts w:hint="eastAsia" w:ascii="宋体" w:hAnsi="宋体"/>
          <w:szCs w:val="21"/>
        </w:rPr>
        <w:t>3.4政府集中采购机构保证招标文件澄清答复内容和招标文件修改补充内容在投标截止时间前以书面形式（包括政府集中采购机构网站发布方式，如更正公告等）发送给所有投标人。为使投标人在编制投标文件时有充分时间对招标文件的修改部分进行研究，政府集中采购机构可以酌情延长递交投标文件的截止日期。</w:t>
      </w:r>
      <w:bookmarkEnd w:id="55"/>
    </w:p>
    <w:p>
      <w:pPr>
        <w:rPr>
          <w:rFonts w:ascii="宋体" w:hAnsi="宋体"/>
          <w:szCs w:val="21"/>
        </w:rPr>
      </w:pPr>
    </w:p>
    <w:p>
      <w:pPr>
        <w:pStyle w:val="7"/>
        <w:numPr>
          <w:ilvl w:val="0"/>
          <w:numId w:val="16"/>
        </w:numPr>
        <w:spacing w:before="120" w:beforeLines="50" w:after="120" w:afterLines="50"/>
        <w:ind w:left="562" w:hanging="562"/>
        <w:rPr>
          <w:sz w:val="28"/>
          <w:szCs w:val="28"/>
        </w:rPr>
      </w:pPr>
      <w:r>
        <w:rPr>
          <w:rFonts w:hint="eastAsia"/>
          <w:sz w:val="28"/>
          <w:szCs w:val="28"/>
        </w:rPr>
        <w:t>投标文件的编制</w:t>
      </w:r>
    </w:p>
    <w:p>
      <w:pPr>
        <w:rPr>
          <w:rFonts w:ascii="黑体" w:hAnsi="宋体" w:eastAsia="黑体"/>
          <w:sz w:val="24"/>
        </w:rPr>
      </w:pPr>
      <w:r>
        <w:rPr>
          <w:rFonts w:hint="eastAsia" w:ascii="黑体" w:hAnsi="宋体" w:eastAsia="黑体"/>
          <w:sz w:val="24"/>
        </w:rPr>
        <w:t>14.</w:t>
      </w:r>
      <w:bookmarkStart w:id="56" w:name="_Hlk72400236"/>
      <w:r>
        <w:rPr>
          <w:rFonts w:hint="eastAsia" w:ascii="黑体" w:hAnsi="宋体" w:eastAsia="黑体"/>
          <w:sz w:val="24"/>
        </w:rPr>
        <w:t>投标文件的语言及度量单位</w:t>
      </w:r>
    </w:p>
    <w:p>
      <w:pPr>
        <w:ind w:firstLine="411" w:firstLineChars="196"/>
        <w:rPr>
          <w:rFonts w:ascii="宋体" w:hAnsi="宋体"/>
          <w:szCs w:val="21"/>
        </w:rPr>
      </w:pPr>
      <w:r>
        <w:rPr>
          <w:rFonts w:hint="eastAsia" w:ascii="宋体" w:hAnsi="宋体"/>
          <w:szCs w:val="21"/>
        </w:rPr>
        <w:t>14.1 投标人与政府集中采购机构之间与投标有关的所有往来通知、函件和投标文件均用中文表述。投标人随投标文件提供的证明文件和资料可以为其它语言，但必须附中文译文。翻译的中文资料与外文资料如果出现差异时，以中文为准。</w:t>
      </w:r>
    </w:p>
    <w:p>
      <w:pPr>
        <w:ind w:firstLine="411" w:firstLineChars="196"/>
        <w:rPr>
          <w:rFonts w:ascii="宋体" w:hAnsi="宋体"/>
          <w:szCs w:val="21"/>
        </w:rPr>
      </w:pPr>
      <w:r>
        <w:rPr>
          <w:rFonts w:hint="eastAsia" w:ascii="宋体" w:hAnsi="宋体"/>
          <w:szCs w:val="21"/>
        </w:rPr>
        <w:t>14.2 除技术规范另有规定外，投标文件使用的度量单位，均采用中华人民共和国法定计量单位。</w:t>
      </w:r>
    </w:p>
    <w:bookmarkEnd w:id="56"/>
    <w:p>
      <w:pPr>
        <w:rPr>
          <w:rFonts w:ascii="黑体" w:hAnsi="宋体" w:eastAsia="黑体"/>
          <w:sz w:val="24"/>
        </w:rPr>
      </w:pPr>
      <w:r>
        <w:rPr>
          <w:rFonts w:hint="eastAsia" w:ascii="黑体" w:hAnsi="宋体" w:eastAsia="黑体"/>
          <w:sz w:val="24"/>
        </w:rPr>
        <w:t>15.</w:t>
      </w:r>
      <w:bookmarkStart w:id="57" w:name="_Hlk72401567"/>
      <w:r>
        <w:rPr>
          <w:rFonts w:hint="eastAsia" w:ascii="黑体" w:hAnsi="宋体" w:eastAsia="黑体"/>
          <w:sz w:val="24"/>
        </w:rPr>
        <w:t>投标文件的组成</w:t>
      </w:r>
    </w:p>
    <w:p>
      <w:pPr>
        <w:ind w:firstLine="411" w:firstLineChars="196"/>
        <w:rPr>
          <w:rFonts w:ascii="宋体" w:hAnsi="宋体"/>
          <w:szCs w:val="21"/>
        </w:rPr>
      </w:pPr>
      <w:r>
        <w:rPr>
          <w:rFonts w:hint="eastAsia" w:ascii="宋体" w:hAnsi="宋体"/>
          <w:szCs w:val="21"/>
        </w:rPr>
        <w:t>具体内容在招标文件专用条款中进行规定。</w:t>
      </w:r>
    </w:p>
    <w:p>
      <w:pPr>
        <w:rPr>
          <w:rFonts w:ascii="黑体" w:hAnsi="宋体" w:eastAsia="黑体"/>
          <w:sz w:val="24"/>
        </w:rPr>
      </w:pPr>
      <w:r>
        <w:rPr>
          <w:rFonts w:hint="eastAsia" w:ascii="黑体" w:hAnsi="宋体" w:eastAsia="黑体"/>
          <w:sz w:val="24"/>
        </w:rPr>
        <w:t>16.</w:t>
      </w:r>
      <w:r>
        <w:rPr>
          <w:rFonts w:ascii="黑体" w:hAnsi="宋体" w:eastAsia="黑体"/>
          <w:sz w:val="24"/>
        </w:rPr>
        <w:t>投标文件格式</w:t>
      </w:r>
    </w:p>
    <w:p>
      <w:pPr>
        <w:ind w:firstLine="411" w:firstLineChars="196"/>
        <w:rPr>
          <w:rFonts w:ascii="宋体" w:hAnsi="宋体"/>
          <w:szCs w:val="21"/>
        </w:rPr>
      </w:pPr>
      <w:r>
        <w:rPr>
          <w:rFonts w:hint="eastAsia" w:ascii="宋体" w:hAnsi="宋体"/>
          <w:szCs w:val="21"/>
        </w:rPr>
        <w:t>投标文件包括本通用条款第</w:t>
      </w:r>
      <w:r>
        <w:rPr>
          <w:rFonts w:ascii="宋体" w:hAnsi="宋体"/>
          <w:szCs w:val="21"/>
        </w:rPr>
        <w:t>15条中规定的内容。如招标文件提供了投标文件格式，则</w:t>
      </w:r>
      <w:r>
        <w:rPr>
          <w:rFonts w:hint="eastAsia" w:ascii="宋体" w:hAnsi="宋体"/>
          <w:b/>
          <w:bCs/>
          <w:szCs w:val="21"/>
        </w:rPr>
        <w:t>投标人提交的投标文件应毫无例外地使用招标文件所提供的相应格式</w:t>
      </w:r>
      <w:r>
        <w:rPr>
          <w:rFonts w:hint="eastAsia" w:ascii="宋体" w:hAnsi="宋体"/>
          <w:szCs w:val="21"/>
        </w:rPr>
        <w:t>（表格均可按同样格式扩展）。</w:t>
      </w:r>
    </w:p>
    <w:p>
      <w:pPr>
        <w:rPr>
          <w:rFonts w:ascii="黑体" w:hAnsi="宋体" w:eastAsia="黑体"/>
          <w:sz w:val="24"/>
        </w:rPr>
      </w:pPr>
      <w:r>
        <w:rPr>
          <w:rFonts w:hint="eastAsia" w:ascii="黑体" w:hAnsi="宋体" w:eastAsia="黑体"/>
          <w:sz w:val="24"/>
        </w:rPr>
        <w:t>17.投标货币</w:t>
      </w:r>
    </w:p>
    <w:p>
      <w:pPr>
        <w:ind w:firstLine="411" w:firstLineChars="196"/>
        <w:rPr>
          <w:rFonts w:ascii="宋体" w:hAnsi="宋体"/>
          <w:szCs w:val="21"/>
        </w:rPr>
      </w:pPr>
      <w:r>
        <w:rPr>
          <w:rFonts w:hint="eastAsia" w:ascii="宋体" w:hAnsi="宋体"/>
          <w:szCs w:val="21"/>
        </w:rPr>
        <w:t>本项目的投标报价应以人民币计。</w:t>
      </w:r>
    </w:p>
    <w:bookmarkEnd w:id="57"/>
    <w:p>
      <w:pPr>
        <w:rPr>
          <w:rFonts w:ascii="黑体" w:hAnsi="宋体" w:eastAsia="黑体"/>
          <w:sz w:val="24"/>
        </w:rPr>
      </w:pPr>
      <w:r>
        <w:rPr>
          <w:rFonts w:hint="eastAsia" w:ascii="黑体" w:hAnsi="宋体" w:eastAsia="黑体"/>
          <w:sz w:val="24"/>
        </w:rPr>
        <w:t>18.</w:t>
      </w:r>
      <w:bookmarkStart w:id="58" w:name="_Hlk72401735"/>
      <w:r>
        <w:rPr>
          <w:rFonts w:hint="eastAsia" w:ascii="黑体" w:hAnsi="宋体" w:eastAsia="黑体"/>
          <w:sz w:val="24"/>
        </w:rPr>
        <w:t>证明投标文件投标技术方案的合格性和符合招标文件规定的文件要求</w:t>
      </w:r>
    </w:p>
    <w:p>
      <w:pPr>
        <w:ind w:firstLine="411" w:firstLineChars="196"/>
        <w:rPr>
          <w:rFonts w:ascii="宋体" w:hAnsi="宋体"/>
          <w:szCs w:val="21"/>
        </w:rPr>
      </w:pPr>
      <w:r>
        <w:rPr>
          <w:rFonts w:hint="eastAsia" w:ascii="宋体" w:hAnsi="宋体"/>
          <w:szCs w:val="21"/>
        </w:rPr>
        <w:t>18</w:t>
      </w:r>
      <w:r>
        <w:rPr>
          <w:rFonts w:ascii="宋体" w:hAnsi="宋体"/>
          <w:szCs w:val="21"/>
        </w:rPr>
        <w:t xml:space="preserve">.1 </w:t>
      </w:r>
      <w:r>
        <w:rPr>
          <w:rFonts w:hint="eastAsia" w:ascii="宋体" w:hAnsi="宋体"/>
          <w:szCs w:val="21"/>
        </w:rPr>
        <w:t>投标人应提交证明文件，证明其投标技术方案项下的货物和服务的合格性符合招标文件规定。该投标技术方案及其证明文件均作为投标文件组成部分。</w:t>
      </w:r>
    </w:p>
    <w:p>
      <w:pPr>
        <w:ind w:firstLine="411" w:firstLineChars="196"/>
        <w:rPr>
          <w:rFonts w:ascii="宋体" w:hAnsi="宋体"/>
          <w:szCs w:val="21"/>
        </w:rPr>
      </w:pPr>
      <w:r>
        <w:rPr>
          <w:rFonts w:ascii="宋体" w:hAnsi="宋体"/>
          <w:szCs w:val="21"/>
        </w:rPr>
        <w:t>1</w:t>
      </w:r>
      <w:r>
        <w:rPr>
          <w:rFonts w:hint="eastAsia" w:ascii="宋体" w:hAnsi="宋体"/>
          <w:szCs w:val="21"/>
        </w:rPr>
        <w:t>8</w:t>
      </w:r>
      <w:r>
        <w:rPr>
          <w:rFonts w:ascii="宋体" w:hAnsi="宋体"/>
          <w:szCs w:val="21"/>
        </w:rPr>
        <w:t xml:space="preserve">.2 </w:t>
      </w:r>
      <w:r>
        <w:rPr>
          <w:rFonts w:hint="eastAsia" w:ascii="宋体" w:hAnsi="宋体"/>
          <w:szCs w:val="21"/>
        </w:rPr>
        <w:t>投标人提供证明投标技术方案与招标文件的要求相一致的文件，可以是文字资料、图纸、数据或数码照片、制造商公布的产品说明书、产品彩页和我国政府机构出具的产品检验和核准证件等，提供的文件应符合以下要求：</w:t>
      </w:r>
    </w:p>
    <w:p>
      <w:pPr>
        <w:ind w:firstLine="411" w:firstLineChars="196"/>
        <w:rPr>
          <w:rFonts w:ascii="宋体" w:hAnsi="宋体"/>
          <w:szCs w:val="21"/>
        </w:rPr>
      </w:pPr>
      <w:r>
        <w:rPr>
          <w:rFonts w:hint="eastAsia" w:ascii="宋体" w:hAnsi="宋体"/>
          <w:szCs w:val="21"/>
        </w:rPr>
        <w:t>18.2.1主要技术指标和性能的详细说明。</w:t>
      </w:r>
    </w:p>
    <w:p>
      <w:pPr>
        <w:ind w:firstLine="411" w:firstLineChars="196"/>
        <w:rPr>
          <w:rFonts w:ascii="宋体" w:hAnsi="宋体"/>
          <w:szCs w:val="21"/>
        </w:rPr>
      </w:pPr>
      <w:r>
        <w:rPr>
          <w:rFonts w:hint="eastAsia" w:ascii="宋体" w:hAnsi="宋体"/>
          <w:szCs w:val="21"/>
        </w:rPr>
        <w:t>18.2.</w:t>
      </w:r>
      <w:r>
        <w:rPr>
          <w:rFonts w:ascii="宋体" w:hAnsi="宋体"/>
          <w:szCs w:val="21"/>
        </w:rPr>
        <w:t>2</w:t>
      </w:r>
      <w:r>
        <w:rPr>
          <w:rFonts w:hint="eastAsia" w:ascii="宋体" w:hAnsi="宋体"/>
          <w:szCs w:val="21"/>
        </w:rPr>
        <w:t>投标产品从采购人开始使用至招标文件中规定的周期内正常、连续地使用所必须的备件和专用工具清单，包括备件和专用工具的货源及现行价格。</w:t>
      </w:r>
    </w:p>
    <w:p>
      <w:pPr>
        <w:ind w:firstLine="411" w:firstLineChars="196"/>
        <w:rPr>
          <w:rFonts w:ascii="宋体" w:hAnsi="宋体"/>
          <w:szCs w:val="21"/>
        </w:rPr>
      </w:pPr>
      <w:r>
        <w:rPr>
          <w:rFonts w:hint="eastAsia" w:ascii="宋体" w:hAnsi="宋体"/>
          <w:szCs w:val="21"/>
        </w:rPr>
        <w:t>18.2.</w:t>
      </w:r>
      <w:r>
        <w:rPr>
          <w:rFonts w:ascii="宋体" w:hAnsi="宋体"/>
          <w:szCs w:val="21"/>
        </w:rPr>
        <w:t>3</w:t>
      </w:r>
      <w:r>
        <w:rPr>
          <w:rFonts w:hint="eastAsia" w:ascii="宋体" w:hAnsi="宋体"/>
          <w:szCs w:val="21"/>
        </w:rPr>
        <w:t>对照招标文件技术规格，逐条说明投标技术方案已对采购人的技术规格做出了实质性的响应，或申明与技术规格条文的偏差和例外。投标人应详细说明投标技术方案中产品的具体参数，不得不合理照搬照抄招标文件的技术要求。</w:t>
      </w:r>
    </w:p>
    <w:p>
      <w:pPr>
        <w:ind w:firstLine="411" w:firstLineChars="196"/>
        <w:rPr>
          <w:rFonts w:ascii="宋体" w:hAnsi="宋体"/>
          <w:szCs w:val="21"/>
        </w:rPr>
      </w:pPr>
      <w:r>
        <w:rPr>
          <w:rFonts w:hint="eastAsia" w:ascii="宋体" w:hAnsi="宋体"/>
          <w:szCs w:val="21"/>
        </w:rPr>
        <w:t>18.2.4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w:t>
      </w:r>
      <w:r>
        <w:rPr>
          <w:rFonts w:hint="eastAsia"/>
        </w:rPr>
        <w:t>清晰度要求能够使用电脑阅读、识别和判断</w:t>
      </w:r>
      <w:r>
        <w:rPr>
          <w:rFonts w:hint="eastAsia" w:ascii="宋体" w:hAnsi="宋体"/>
          <w:szCs w:val="21"/>
        </w:rPr>
        <w:t>；</w:t>
      </w:r>
    </w:p>
    <w:p>
      <w:pPr>
        <w:ind w:firstLine="411" w:firstLineChars="196"/>
        <w:rPr>
          <w:rFonts w:ascii="宋体" w:hAnsi="宋体"/>
          <w:szCs w:val="21"/>
        </w:rPr>
      </w:pPr>
      <w:r>
        <w:rPr>
          <w:rFonts w:hint="eastAsia" w:ascii="宋体" w:hAnsi="宋体"/>
          <w:szCs w:val="21"/>
        </w:rPr>
        <w:t>18.2.5我国政府机构出具的产品检验和核准证件应为证件正面、背面和附件标注的全部具体内容；产品检验和核准证件的尺寸和清晰度应该能够在电脑上被阅读、识别和判断，提供原件扫描件。</w:t>
      </w:r>
    </w:p>
    <w:p>
      <w:pPr>
        <w:ind w:firstLine="411" w:firstLineChars="196"/>
        <w:rPr>
          <w:rFonts w:ascii="宋体" w:hAnsi="宋体"/>
          <w:szCs w:val="21"/>
        </w:rPr>
      </w:pPr>
      <w:r>
        <w:rPr>
          <w:rFonts w:hint="eastAsia" w:ascii="宋体" w:hAnsi="宋体"/>
          <w:szCs w:val="21"/>
        </w:rPr>
        <w:t>18.3相关资料不符合18.2款要求的，评审委员会有权认定为投标技术方案不合格响应，其相关分数予以扣减或作投标无效处理。</w:t>
      </w:r>
    </w:p>
    <w:p>
      <w:pPr>
        <w:ind w:firstLine="411" w:firstLineChars="196"/>
        <w:rPr>
          <w:rFonts w:ascii="宋体" w:hAnsi="宋体"/>
          <w:szCs w:val="21"/>
        </w:rPr>
      </w:pPr>
      <w:r>
        <w:rPr>
          <w:rFonts w:ascii="宋体" w:hAnsi="宋体"/>
          <w:szCs w:val="21"/>
        </w:rPr>
        <w:t>1</w:t>
      </w:r>
      <w:r>
        <w:rPr>
          <w:rFonts w:hint="eastAsia" w:ascii="宋体" w:hAnsi="宋体"/>
          <w:szCs w:val="21"/>
        </w:rPr>
        <w:t>8</w:t>
      </w:r>
      <w:r>
        <w:rPr>
          <w:rFonts w:ascii="宋体" w:hAnsi="宋体"/>
          <w:szCs w:val="21"/>
        </w:rPr>
        <w:t>.</w:t>
      </w:r>
      <w:r>
        <w:rPr>
          <w:rFonts w:hint="eastAsia" w:ascii="宋体" w:hAnsi="宋体"/>
          <w:szCs w:val="21"/>
        </w:rPr>
        <w:t>4投标人在阐述上述第18.2时应注意采购人在技术规格中指出的工艺、材料和设备的标准以及参照的牌号或分类号仅起说明作用，并没有任何限制性。投标人在投标中可以选用替代标准、牌号或分类号，但这些替代要实质上满足招标文件中技术规格的要求，是否</w:t>
      </w:r>
      <w:r>
        <w:rPr>
          <w:rFonts w:hint="eastAsia"/>
        </w:rPr>
        <w:t>满足要求</w:t>
      </w:r>
      <w:r>
        <w:rPr>
          <w:rFonts w:hint="eastAsia" w:ascii="宋体" w:hAnsi="宋体"/>
          <w:szCs w:val="21"/>
        </w:rPr>
        <w:t>，由评审委员会来评判。</w:t>
      </w:r>
    </w:p>
    <w:p>
      <w:pPr>
        <w:ind w:firstLine="411" w:firstLineChars="196"/>
        <w:rPr>
          <w:rFonts w:ascii="宋体" w:hAnsi="宋体"/>
          <w:szCs w:val="21"/>
        </w:rPr>
      </w:pPr>
      <w:r>
        <w:rPr>
          <w:rFonts w:hint="eastAsia" w:ascii="宋体" w:hAnsi="宋体"/>
          <w:szCs w:val="21"/>
        </w:rPr>
        <w:t>18.5除非另有规定或说明，投标人对同一项目投标时，不得同时提供两套或两套以上的投标方案。</w:t>
      </w:r>
    </w:p>
    <w:bookmarkEnd w:id="58"/>
    <w:p>
      <w:pPr>
        <w:rPr>
          <w:rFonts w:ascii="黑体" w:hAnsi="宋体" w:eastAsia="黑体"/>
          <w:sz w:val="24"/>
        </w:rPr>
      </w:pPr>
      <w:r>
        <w:rPr>
          <w:rFonts w:hint="eastAsia" w:ascii="黑体" w:hAnsi="宋体" w:eastAsia="黑体"/>
          <w:sz w:val="24"/>
        </w:rPr>
        <w:t>19.</w:t>
      </w:r>
      <w:bookmarkStart w:id="59" w:name="_Hlk72402034"/>
      <w:r>
        <w:rPr>
          <w:rFonts w:hint="eastAsia" w:ascii="黑体" w:hAnsi="宋体" w:eastAsia="黑体"/>
          <w:sz w:val="24"/>
        </w:rPr>
        <w:t>投标文件其他证明文件的要求</w:t>
      </w:r>
    </w:p>
    <w:p>
      <w:pPr>
        <w:rPr>
          <w:rFonts w:ascii="宋体" w:hAnsi="宋体"/>
          <w:color w:val="FF0000"/>
          <w:szCs w:val="21"/>
        </w:rPr>
      </w:pPr>
      <w:r>
        <w:rPr>
          <w:rFonts w:hint="eastAsia" w:ascii="黑体" w:hAnsi="宋体" w:eastAsia="黑体"/>
          <w:sz w:val="24"/>
        </w:rPr>
        <w:t xml:space="preserve">    </w:t>
      </w:r>
      <w:r>
        <w:rPr>
          <w:rFonts w:hint="eastAsia" w:ascii="宋体" w:hAnsi="宋体"/>
          <w:szCs w:val="21"/>
        </w:rPr>
        <w:t>19.1采用综合评分法的项目，对项目招标文件《评标信息》评分项中涉及的相关业绩、社保情况等内容以及《资格性审查表》和《符合性审查表》中涉及的证明材料，投标人应提供相关部门出具的证明材料扫描件或照片，原件备查。有关扫描件（或照片）的尺寸和清晰度要求能够使用电脑阅读、识别和判断。</w:t>
      </w:r>
      <w:bookmarkStart w:id="60" w:name="_Hlk71407299"/>
      <w:r>
        <w:rPr>
          <w:rFonts w:hint="eastAsia" w:ascii="宋体" w:hAnsi="宋体"/>
          <w:szCs w:val="21"/>
        </w:rPr>
        <w:t>若投标人未按要求提供证明材料或提供的是部分证明材料或提供不清晰的扫描件（或照片）的，采购人、代理机构以及评审委员会依据各自审查范围，有权认定其投标文件未对招标文件有关需求进行响应，涉及资格性审查或符合性审查的予以投标无效处理，涉及《评标信息》打分项的则该项评分予以0分处理。对供应商投标资料是否异常、是否有效问题进行核查和判定，如认为供应商投标资料有异常或无效的，若涉及资格性审查或符合性审查条款的，则应作投标无效处理；若涉及评分的，则作不得分处理。</w:t>
      </w:r>
    </w:p>
    <w:bookmarkEnd w:id="60"/>
    <w:p>
      <w:pPr>
        <w:ind w:firstLine="411" w:firstLineChars="196"/>
        <w:rPr>
          <w:rFonts w:ascii="宋体" w:hAnsi="宋体"/>
          <w:szCs w:val="21"/>
        </w:rPr>
      </w:pPr>
      <w:r>
        <w:rPr>
          <w:rFonts w:hint="eastAsia" w:ascii="宋体" w:hAnsi="宋体"/>
          <w:szCs w:val="21"/>
        </w:rPr>
        <w:t>19.2本项目涉及提供的有关资质（资格）证书，若原有资质（资格）证书处于年审期间，须提供证书颁发部门提供的回执，并且回执须证明该证书依然有效（若在法规范围内不需提供的，供应商应做书面说明并提供证明文件，否则该证书无效），则该投标人提供年审证明的可按原资质（资格）投标；若投标人正在申报上一级别资质（资格），在未获批准之前，仍按原级别资质（资格）投标。</w:t>
      </w:r>
    </w:p>
    <w:p>
      <w:pPr>
        <w:rPr>
          <w:rFonts w:ascii="黑体" w:hAnsi="宋体" w:eastAsia="黑体"/>
          <w:sz w:val="24"/>
        </w:rPr>
      </w:pPr>
      <w:r>
        <w:rPr>
          <w:rFonts w:hint="eastAsia" w:ascii="黑体" w:hAnsi="宋体" w:eastAsia="黑体"/>
          <w:sz w:val="24"/>
        </w:rPr>
        <w:t>20.投标有效期</w:t>
      </w:r>
    </w:p>
    <w:bookmarkEnd w:id="59"/>
    <w:p>
      <w:pPr>
        <w:ind w:firstLine="411" w:firstLineChars="196"/>
        <w:rPr>
          <w:rFonts w:ascii="宋体" w:hAnsi="宋体"/>
          <w:szCs w:val="21"/>
        </w:rPr>
      </w:pPr>
      <w:bookmarkStart w:id="61" w:name="_Hlk72402214"/>
      <w:r>
        <w:rPr>
          <w:rFonts w:hint="eastAsia" w:ascii="宋体" w:hAnsi="宋体"/>
          <w:szCs w:val="21"/>
        </w:rPr>
        <w:t>20.1 投标有效期为</w:t>
      </w:r>
      <w:r>
        <w:rPr>
          <w:rFonts w:hint="eastAsia" w:ascii="Arial" w:hAnsi="Arial" w:cs="Arial"/>
          <w:szCs w:val="21"/>
        </w:rPr>
        <w:t>从投标截止之日算起的日历天数。</w:t>
      </w:r>
      <w:r>
        <w:rPr>
          <w:rFonts w:hint="eastAsia" w:ascii="宋体" w:hAnsi="宋体"/>
          <w:szCs w:val="21"/>
        </w:rPr>
        <w:t>在此期限内，所有投标文件均保持有效。</w:t>
      </w:r>
    </w:p>
    <w:p>
      <w:pPr>
        <w:ind w:firstLine="411" w:firstLineChars="196"/>
        <w:rPr>
          <w:rFonts w:ascii="宋体" w:hAnsi="宋体"/>
          <w:szCs w:val="21"/>
        </w:rPr>
      </w:pPr>
      <w:r>
        <w:rPr>
          <w:rFonts w:hint="eastAsia" w:ascii="宋体" w:hAnsi="宋体"/>
          <w:szCs w:val="21"/>
        </w:rPr>
        <w:t>20.2 在特殊情况下，政府集中采购机构在原定的投标有效期满之前，政府集中采购机构可以根据需要以书面形式（包括政府集中采购机构网站公开发布方式）向投标人提出延长投标有效期的要求，对此要求投标人须以书面形式予以答复，投标人可以拒绝政府集中采购机构此项要求，其投标在原投标有效期满后不再有效。同意延长投标有效期的投标人不能要求也不允许修改其投标文件。</w:t>
      </w:r>
    </w:p>
    <w:p>
      <w:pPr>
        <w:ind w:firstLine="411" w:firstLineChars="196"/>
        <w:rPr>
          <w:rFonts w:ascii="宋体" w:hAnsi="宋体"/>
          <w:szCs w:val="21"/>
        </w:rPr>
      </w:pPr>
      <w:r>
        <w:rPr>
          <w:rFonts w:hint="eastAsia" w:ascii="宋体" w:hAnsi="宋体"/>
          <w:szCs w:val="21"/>
        </w:rPr>
        <w:t>20</w:t>
      </w:r>
      <w:r>
        <w:rPr>
          <w:rFonts w:ascii="宋体" w:hAnsi="宋体"/>
          <w:szCs w:val="21"/>
        </w:rPr>
        <w:t>.3</w:t>
      </w:r>
      <w:r>
        <w:rPr>
          <w:rFonts w:hint="eastAsia" w:ascii="宋体" w:hAnsi="宋体"/>
          <w:szCs w:val="21"/>
        </w:rPr>
        <w:t xml:space="preserve"> 中标供应商的投标文件有效期，截止于完成本招标文件规定的全部项目内容，并通过竣工验收及保修期结束。</w:t>
      </w:r>
    </w:p>
    <w:bookmarkEnd w:id="61"/>
    <w:p>
      <w:pPr>
        <w:rPr>
          <w:rFonts w:ascii="黑体" w:hAnsi="宋体" w:eastAsia="黑体"/>
          <w:sz w:val="24"/>
        </w:rPr>
      </w:pPr>
      <w:r>
        <w:rPr>
          <w:rFonts w:hint="eastAsia" w:ascii="黑体" w:hAnsi="宋体" w:eastAsia="黑体"/>
          <w:sz w:val="24"/>
        </w:rPr>
        <w:t>21.</w:t>
      </w:r>
      <w:bookmarkStart w:id="62" w:name="_Hlk72402325"/>
      <w:r>
        <w:rPr>
          <w:rFonts w:hint="eastAsia" w:ascii="黑体" w:hAnsi="宋体" w:eastAsia="黑体"/>
          <w:sz w:val="24"/>
        </w:rPr>
        <w:t xml:space="preserve">关于投标保证金 </w:t>
      </w:r>
    </w:p>
    <w:p>
      <w:pPr>
        <w:rPr>
          <w:rFonts w:ascii="宋体" w:hAnsi="宋体"/>
          <w:szCs w:val="21"/>
        </w:rPr>
      </w:pPr>
      <w:r>
        <w:rPr>
          <w:rFonts w:hint="eastAsia" w:ascii="宋体" w:hAnsi="宋体"/>
          <w:szCs w:val="21"/>
        </w:rPr>
        <w:t xml:space="preserve">    21.1 </w:t>
      </w:r>
      <w:r>
        <w:rPr>
          <w:rFonts w:hint="eastAsia"/>
        </w:rPr>
        <w:t>根据《深圳市财政局关于调整政府采购投标（响应）保证金管理政策的通知》（深财购〔2021〕51号）的规定，本项目不收取投标保证金。</w:t>
      </w:r>
    </w:p>
    <w:p>
      <w:pPr>
        <w:rPr>
          <w:rFonts w:ascii="黑体" w:hAnsi="宋体" w:eastAsia="黑体"/>
          <w:sz w:val="24"/>
        </w:rPr>
      </w:pPr>
      <w:r>
        <w:rPr>
          <w:rFonts w:hint="eastAsia" w:ascii="黑体" w:hAnsi="宋体" w:eastAsia="黑体"/>
          <w:sz w:val="24"/>
        </w:rPr>
        <w:t>22.投标人的替代方案</w:t>
      </w:r>
    </w:p>
    <w:p>
      <w:pPr>
        <w:ind w:firstLine="411" w:firstLineChars="196"/>
        <w:rPr>
          <w:rFonts w:ascii="宋体" w:hAnsi="宋体"/>
          <w:szCs w:val="21"/>
        </w:rPr>
      </w:pPr>
      <w:r>
        <w:rPr>
          <w:rFonts w:hint="eastAsia" w:ascii="宋体" w:hAnsi="宋体"/>
          <w:szCs w:val="21"/>
        </w:rPr>
        <w:t>22.1投标人所提交的投标文件应完全满足招标文件（包括图纸和技术规范所示的基本技术设计）的要求。除非项目明确允许投标人提交替代方案，否则投标人有关替代方案的条款将初审不通过，作投标无效处理。</w:t>
      </w:r>
    </w:p>
    <w:p>
      <w:pPr>
        <w:ind w:firstLine="411" w:firstLineChars="196"/>
        <w:rPr>
          <w:rFonts w:ascii="宋体" w:hAnsi="宋体"/>
          <w:szCs w:val="21"/>
        </w:rPr>
      </w:pPr>
      <w:r>
        <w:rPr>
          <w:rFonts w:hint="eastAsia" w:ascii="宋体" w:hAnsi="宋体"/>
          <w:szCs w:val="21"/>
        </w:rPr>
        <w:t>22.2 如果允许投标人提交替代方案，则准备提交替代方案的投标人除应提交一份满足招标文件（包括图纸和技术规范所示的基本技术设计）要求的投标文件外，还应提交需评审其替代方案所需的全部资料，包括项目方案书、技术规范、替代方案报价书、所建议的项目方案及有关的其它详细资料。</w:t>
      </w:r>
    </w:p>
    <w:bookmarkEnd w:id="62"/>
    <w:p>
      <w:pPr>
        <w:rPr>
          <w:rFonts w:ascii="黑体" w:hAnsi="宋体" w:eastAsia="黑体"/>
          <w:sz w:val="24"/>
        </w:rPr>
      </w:pPr>
      <w:r>
        <w:rPr>
          <w:rFonts w:hint="eastAsia" w:ascii="黑体" w:hAnsi="宋体" w:eastAsia="黑体"/>
          <w:sz w:val="24"/>
        </w:rPr>
        <w:t>23.</w:t>
      </w:r>
      <w:bookmarkStart w:id="63" w:name="_Hlk72402860"/>
      <w:r>
        <w:rPr>
          <w:rFonts w:ascii="黑体" w:hAnsi="宋体" w:eastAsia="黑体"/>
          <w:sz w:val="24"/>
        </w:rPr>
        <w:t>投标文件的</w:t>
      </w:r>
      <w:r>
        <w:rPr>
          <w:rFonts w:hint="eastAsia" w:ascii="黑体" w:hAnsi="宋体" w:eastAsia="黑体"/>
          <w:sz w:val="24"/>
        </w:rPr>
        <w:t>制作</w:t>
      </w:r>
      <w:r>
        <w:rPr>
          <w:rFonts w:ascii="黑体" w:hAnsi="宋体" w:eastAsia="黑体"/>
          <w:sz w:val="24"/>
        </w:rPr>
        <w:t>要求</w:t>
      </w:r>
    </w:p>
    <w:p>
      <w:pPr>
        <w:ind w:firstLine="411" w:firstLineChars="196"/>
        <w:rPr>
          <w:rFonts w:ascii="宋体" w:hAnsi="宋体"/>
        </w:rPr>
      </w:pPr>
      <w:r>
        <w:rPr>
          <w:rFonts w:hint="eastAsia" w:ascii="宋体" w:hAnsi="宋体"/>
        </w:rPr>
        <w:t>23.1投标人应准备所投项目的电子投标文件一份。此电子投标文件须由投标人根据政府集中采购机构提供的后缀名为.</w:t>
      </w:r>
      <w:r>
        <w:rPr>
          <w:rFonts w:ascii="宋体" w:hAnsi="宋体"/>
        </w:rPr>
        <w:t>szczf</w:t>
      </w:r>
      <w:r>
        <w:rPr>
          <w:rFonts w:hint="eastAsia" w:ascii="宋体" w:hAnsi="宋体"/>
        </w:rPr>
        <w:t>的电子招标文件，下载并使用相应的深圳智慧采购平台投标文件制作专用软件打开招标文件（.szczf格式）【下载地址：</w:t>
      </w:r>
      <w:r>
        <w:rPr>
          <w:rFonts w:ascii="宋体" w:hAnsi="宋体"/>
        </w:rPr>
        <w:t>http://zfcg.szggzy.com:8081/cgxy/013002/list.html</w:t>
      </w:r>
      <w:r>
        <w:rPr>
          <w:rFonts w:hint="eastAsia" w:ascii="宋体" w:hAnsi="宋体"/>
        </w:rPr>
        <w:t>深圳智慧采购平台投标文件制作专用软件.zip】。</w:t>
      </w:r>
    </w:p>
    <w:p>
      <w:pPr>
        <w:ind w:firstLine="411" w:firstLineChars="196"/>
        <w:rPr>
          <w:rFonts w:ascii="宋体" w:hAnsi="宋体"/>
        </w:rPr>
      </w:pPr>
      <w:r>
        <w:rPr>
          <w:rFonts w:hint="eastAsia" w:ascii="宋体" w:hAnsi="宋体"/>
        </w:rPr>
        <w:t>23.2投标人在使用《投标书编制软件》编制投标书时须注意：</w:t>
      </w:r>
    </w:p>
    <w:p>
      <w:pPr>
        <w:ind w:firstLine="411" w:firstLineChars="196"/>
        <w:rPr>
          <w:rFonts w:ascii="宋体" w:hAnsi="宋体"/>
        </w:rPr>
      </w:pPr>
      <w:r>
        <w:rPr>
          <w:rFonts w:hint="eastAsia" w:ascii="宋体" w:hAnsi="宋体"/>
        </w:rPr>
        <w:t>23.2.1导入《投标书编制软件》的招标文件项目编号、包号应与以此制作的投标文件项目编号、包号一致。例如，不能将甲项目A包的招标书导入《投标书编制软件》，制作乙项目B包的投标书。</w:t>
      </w:r>
    </w:p>
    <w:p>
      <w:pPr>
        <w:ind w:firstLine="411" w:firstLineChars="196"/>
        <w:rPr>
          <w:rFonts w:ascii="宋体" w:hAnsi="宋体"/>
        </w:rPr>
      </w:pPr>
      <w:r>
        <w:rPr>
          <w:rFonts w:hint="eastAsia" w:ascii="宋体" w:hAnsi="宋体"/>
        </w:rPr>
        <w:t>23.2.2不能用非本公司的电子密钥加密本公司的投标文件，或者用其它公司的登录用户上传本公司的投标文件。</w:t>
      </w:r>
    </w:p>
    <w:p>
      <w:pPr>
        <w:ind w:firstLine="411" w:firstLineChars="196"/>
        <w:rPr>
          <w:rFonts w:ascii="宋体" w:hAnsi="宋体"/>
        </w:rPr>
      </w:pPr>
      <w:r>
        <w:rPr>
          <w:rFonts w:hint="eastAsia" w:ascii="宋体" w:hAnsi="宋体"/>
        </w:rPr>
        <w:t>23.2.3要求用《投标书编制软件》编制投标书的包，不能用其它方式编制投标书。编制投标文件时，电脑须连通互联网。</w:t>
      </w:r>
    </w:p>
    <w:p>
      <w:pPr>
        <w:ind w:firstLine="411" w:firstLineChars="196"/>
        <w:rPr>
          <w:rFonts w:ascii="宋体" w:hAnsi="宋体"/>
        </w:rPr>
      </w:pPr>
      <w:r>
        <w:rPr>
          <w:rFonts w:hint="eastAsia" w:ascii="宋体" w:hAnsi="宋体"/>
        </w:rPr>
        <w:t>23.2.4投标文件不能带病毒。政府集中采购机构将用专业杀毒软件对投标文件进行病毒检测，如果发现病毒，则政府集中采购机构认为该投标文件带病毒。</w:t>
      </w:r>
    </w:p>
    <w:p>
      <w:pPr>
        <w:ind w:firstLine="411" w:firstLineChars="196"/>
        <w:rPr>
          <w:rFonts w:ascii="宋体" w:hAnsi="宋体"/>
        </w:rPr>
      </w:pPr>
      <w:r>
        <w:rPr>
          <w:rFonts w:hint="eastAsia" w:ascii="宋体" w:hAnsi="宋体"/>
        </w:rPr>
        <w:t>23.2.5完整填写“投标关键信息”，如下图所示：</w:t>
      </w:r>
    </w:p>
    <w:p>
      <w:pPr>
        <w:ind w:firstLine="411" w:firstLineChars="196"/>
        <w:rPr>
          <w:rFonts w:ascii="宋体" w:hAnsi="宋体"/>
        </w:rPr>
      </w:pPr>
      <w:r>
        <w:rPr>
          <w:rFonts w:ascii="宋体" w:hAnsi="宋体"/>
        </w:rPr>
        <w:drawing>
          <wp:inline distT="0" distB="0" distL="0" distR="0">
            <wp:extent cx="5279390" cy="2719070"/>
            <wp:effectExtent l="0" t="0" r="3810" b="11430"/>
            <wp:docPr id="7" name="图片 9"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descr="图形用户界面, 应用程序&#10;&#10;描述已自动生成"/>
                    <pic:cNvPicPr>
                      <a:picLocks noChangeAspect="1" noChangeArrowheads="1"/>
                    </pic:cNvPicPr>
                  </pic:nvPicPr>
                  <pic:blipFill>
                    <a:blip r:embed="rId9"/>
                    <a:srcRect/>
                    <a:stretch>
                      <a:fillRect/>
                    </a:stretch>
                  </pic:blipFill>
                  <pic:spPr>
                    <a:xfrm>
                      <a:off x="0" y="0"/>
                      <a:ext cx="5279390" cy="2719070"/>
                    </a:xfrm>
                    <a:prstGeom prst="rect">
                      <a:avLst/>
                    </a:prstGeom>
                    <a:noFill/>
                    <a:ln w="9525">
                      <a:noFill/>
                      <a:miter lim="800000"/>
                      <a:headEnd/>
                      <a:tailEnd/>
                    </a:ln>
                  </pic:spPr>
                </pic:pic>
              </a:graphicData>
            </a:graphic>
          </wp:inline>
        </w:drawing>
      </w:r>
    </w:p>
    <w:p>
      <w:pPr>
        <w:widowControl/>
        <w:jc w:val="left"/>
        <w:rPr>
          <w:rFonts w:ascii="宋体" w:hAnsi="宋体" w:cs="宋体"/>
          <w:kern w:val="0"/>
          <w:sz w:val="24"/>
        </w:rPr>
      </w:pPr>
    </w:p>
    <w:p>
      <w:pPr>
        <w:ind w:firstLine="413" w:firstLineChars="196"/>
        <w:rPr>
          <w:rFonts w:ascii="宋体" w:hAnsi="宋体"/>
          <w:b/>
        </w:rPr>
      </w:pPr>
      <w:r>
        <w:rPr>
          <w:rFonts w:hint="eastAsia" w:ascii="宋体" w:hAnsi="宋体"/>
          <w:b/>
        </w:rPr>
        <w:t>备注：上述“开标一览表”中的“投标报价”将作为价格分计算依据；其它信息仅是对投标文件相关内容的概括性表述，不作为评审依据。</w:t>
      </w:r>
    </w:p>
    <w:p>
      <w:pPr>
        <w:ind w:firstLine="411" w:firstLineChars="196"/>
        <w:rPr>
          <w:rFonts w:ascii="宋体" w:hAnsi="宋体"/>
        </w:rPr>
      </w:pPr>
      <w:r>
        <w:rPr>
          <w:rFonts w:hint="eastAsia" w:ascii="宋体" w:hAnsi="宋体"/>
        </w:rPr>
        <w:t>23.2.6投标人在编辑投标文件时，</w:t>
      </w:r>
      <w:r>
        <w:rPr>
          <w:rFonts w:hint="eastAsia" w:ascii="宋体" w:hAnsi="宋体"/>
          <w:b/>
        </w:rPr>
        <w:t>在投标文件目录中属于本节点内容的必须在本节点中填写，填写到其他节点或附件，</w:t>
      </w:r>
      <w:r>
        <w:rPr>
          <w:rFonts w:hint="eastAsia" w:ascii="宋体" w:hAnsi="宋体"/>
        </w:rPr>
        <w:t>一切后果由供应商自行承担。</w:t>
      </w:r>
    </w:p>
    <w:p>
      <w:pPr>
        <w:ind w:firstLine="411" w:firstLineChars="196"/>
        <w:rPr>
          <w:rFonts w:ascii="宋体" w:hAnsi="宋体"/>
        </w:rPr>
      </w:pPr>
      <w:r>
        <w:rPr>
          <w:rFonts w:hint="eastAsia" w:ascii="宋体" w:hAnsi="宋体"/>
        </w:rPr>
        <w:t>23.2.7投标文件编写完成后，</w:t>
      </w:r>
      <w:r>
        <w:rPr>
          <w:rFonts w:hint="eastAsia" w:ascii="宋体" w:hAnsi="宋体"/>
          <w:b/>
        </w:rPr>
        <w:t>必须用属于投标人的电子密钥或电子营业执照进行加密，否则视同未盖公章，将导致投标文件无效。</w:t>
      </w:r>
    </w:p>
    <w:p>
      <w:pPr>
        <w:ind w:firstLine="411" w:firstLineChars="196"/>
        <w:rPr>
          <w:rFonts w:ascii="宋体" w:hAnsi="宋体"/>
        </w:rPr>
      </w:pPr>
      <w:r>
        <w:rPr>
          <w:rFonts w:hint="eastAsia" w:ascii="宋体" w:hAnsi="宋体"/>
        </w:rPr>
        <w:t>23.2.8政府集中采购机构不接受投标截止时间后递交的纸质、电子、传真等所有形式的投标文件。由于对网上政府采购系统操作不熟悉或自身电脑、网络等原因导致不能在投标截止时间之前上传投标文件，政府集中采购机构概不负责。建议于开标前一个工作日完成投标文件的制作与上传，如上传确有困难，请及时咨询。</w:t>
      </w:r>
    </w:p>
    <w:p>
      <w:pPr>
        <w:ind w:firstLine="411" w:firstLineChars="196"/>
        <w:rPr>
          <w:rFonts w:ascii="宋体" w:hAnsi="宋体"/>
        </w:rPr>
      </w:pPr>
      <w:r>
        <w:rPr>
          <w:rFonts w:hint="eastAsia" w:ascii="宋体" w:hAnsi="宋体"/>
        </w:rPr>
        <w:t>23.2.9如果开标时出现网络故障、技术故障，影响了政府采购活动，政府集中采购机构有权采取措施如延期、接受无法从网上上传的投标书等，以保障政府采购活动的公开、公平和公正。</w:t>
      </w:r>
    </w:p>
    <w:p>
      <w:pPr>
        <w:ind w:firstLine="411" w:firstLineChars="196"/>
        <w:rPr>
          <w:rFonts w:ascii="宋体" w:hAnsi="宋体"/>
        </w:rPr>
      </w:pPr>
      <w:r>
        <w:rPr>
          <w:rFonts w:hint="eastAsia" w:ascii="宋体" w:hAnsi="宋体"/>
        </w:rPr>
        <w:t>23.3电报、电话、传真形式的投标概不接受。</w:t>
      </w:r>
    </w:p>
    <w:p>
      <w:pPr>
        <w:ind w:firstLine="413" w:firstLineChars="196"/>
        <w:rPr>
          <w:rFonts w:ascii="宋体" w:hAnsi="宋体"/>
          <w:b/>
        </w:rPr>
      </w:pPr>
      <w:r>
        <w:rPr>
          <w:rFonts w:hint="eastAsia" w:ascii="宋体" w:hAnsi="宋体"/>
          <w:b/>
        </w:rPr>
        <w:t>23.4经投标人电子密钥或电子营业执照加密的投标文件无须盖章或签字，</w:t>
      </w:r>
      <w:r>
        <w:rPr>
          <w:rFonts w:hint="eastAsia" w:ascii="宋体" w:hAnsi="宋体"/>
        </w:rPr>
        <w:t>专用条款另有要求的除外。</w:t>
      </w:r>
    </w:p>
    <w:p>
      <w:pPr>
        <w:ind w:firstLine="413" w:firstLineChars="196"/>
        <w:rPr>
          <w:rFonts w:ascii="宋体" w:hAnsi="宋体"/>
        </w:rPr>
      </w:pPr>
      <w:r>
        <w:rPr>
          <w:rFonts w:hint="eastAsia" w:ascii="宋体" w:hAnsi="宋体"/>
          <w:b/>
        </w:rPr>
        <w:t>23.5</w:t>
      </w:r>
      <w:r>
        <w:rPr>
          <w:rFonts w:hint="eastAsia" w:ascii="宋体" w:hAnsi="宋体"/>
        </w:rPr>
        <w:t xml:space="preserve"> 各类资格（资质）文件提供扫描件，专用条款另有要求的除外。</w:t>
      </w:r>
      <w:bookmarkEnd w:id="63"/>
    </w:p>
    <w:p>
      <w:pPr>
        <w:ind w:firstLine="411" w:firstLineChars="196"/>
        <w:rPr>
          <w:rFonts w:ascii="宋体" w:hAnsi="宋体"/>
          <w:szCs w:val="21"/>
        </w:rPr>
      </w:pPr>
    </w:p>
    <w:p>
      <w:pPr>
        <w:pStyle w:val="7"/>
        <w:numPr>
          <w:ilvl w:val="0"/>
          <w:numId w:val="16"/>
        </w:numPr>
        <w:spacing w:before="120" w:beforeLines="50" w:after="120" w:afterLines="50"/>
        <w:ind w:left="562" w:hanging="562"/>
        <w:rPr>
          <w:sz w:val="28"/>
          <w:szCs w:val="28"/>
        </w:rPr>
      </w:pPr>
      <w:r>
        <w:rPr>
          <w:rFonts w:hint="eastAsia"/>
          <w:sz w:val="28"/>
          <w:szCs w:val="28"/>
        </w:rPr>
        <w:t>投标文件的递交</w:t>
      </w:r>
    </w:p>
    <w:p>
      <w:pPr>
        <w:rPr>
          <w:rFonts w:ascii="黑体" w:hAnsi="宋体" w:eastAsia="黑体"/>
          <w:sz w:val="24"/>
        </w:rPr>
      </w:pPr>
      <w:bookmarkStart w:id="64" w:name="_Hlk72405459"/>
      <w:r>
        <w:rPr>
          <w:rFonts w:hint="eastAsia" w:ascii="黑体" w:hAnsi="宋体" w:eastAsia="黑体"/>
          <w:sz w:val="24"/>
        </w:rPr>
        <w:t>24.投标文件的保密</w:t>
      </w:r>
    </w:p>
    <w:p>
      <w:pPr>
        <w:ind w:firstLine="411" w:firstLineChars="196"/>
        <w:rPr>
          <w:rFonts w:ascii="宋体" w:hAnsi="宋体"/>
        </w:rPr>
      </w:pPr>
      <w:r>
        <w:rPr>
          <w:rFonts w:hint="eastAsia" w:ascii="宋体" w:hAnsi="宋体"/>
        </w:rPr>
        <w:t>24.1在投标文件制作完成后，在投标书编制软件点击【生成标书】按钮进入【填写开标一览表界面】界面，在该界面填写完开标一览表信息后点击【确定】，进入投标文件生成环节。投标文件制作软件会在投标文件生成过程中，提示用户输入密码，输入密码后对投标文件自动进行加密，此加密程序确保投标文件在到达投标截止时间后才能解密查看。在加密过程中，请按照软件提示进行操作。加密界面如下图所示：</w:t>
      </w:r>
    </w:p>
    <w:p>
      <w:pPr>
        <w:ind w:firstLine="411" w:firstLineChars="196"/>
        <w:rPr>
          <w:rFonts w:ascii="宋体" w:hAnsi="宋体"/>
        </w:rPr>
      </w:pPr>
    </w:p>
    <w:p>
      <w:pPr>
        <w:ind w:firstLine="411" w:firstLineChars="196"/>
        <w:rPr>
          <w:rFonts w:ascii="宋体" w:hAnsi="宋体"/>
        </w:rPr>
      </w:pPr>
      <w:r>
        <w:rPr>
          <w:rFonts w:ascii="宋体" w:hAnsi="宋体"/>
        </w:rPr>
        <w:drawing>
          <wp:inline distT="0" distB="0" distL="0" distR="0">
            <wp:extent cx="5279390" cy="2719070"/>
            <wp:effectExtent l="0" t="0" r="3810" b="11430"/>
            <wp:docPr id="10" name="图片 7"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图形用户界面, 应用程序&#10;&#10;描述已自动生成"/>
                    <pic:cNvPicPr>
                      <a:picLocks noChangeAspect="1" noChangeArrowheads="1"/>
                    </pic:cNvPicPr>
                  </pic:nvPicPr>
                  <pic:blipFill>
                    <a:blip r:embed="rId9"/>
                    <a:srcRect/>
                    <a:stretch>
                      <a:fillRect/>
                    </a:stretch>
                  </pic:blipFill>
                  <pic:spPr>
                    <a:xfrm>
                      <a:off x="0" y="0"/>
                      <a:ext cx="5279390" cy="2719070"/>
                    </a:xfrm>
                    <a:prstGeom prst="rect">
                      <a:avLst/>
                    </a:prstGeom>
                    <a:noFill/>
                    <a:ln w="9525">
                      <a:noFill/>
                      <a:miter lim="800000"/>
                      <a:headEnd/>
                      <a:tailEnd/>
                    </a:ln>
                  </pic:spPr>
                </pic:pic>
              </a:graphicData>
            </a:graphic>
          </wp:inline>
        </w:drawing>
      </w:r>
    </w:p>
    <w:p>
      <w:pPr>
        <w:ind w:firstLine="411" w:firstLineChars="196"/>
        <w:rPr>
          <w:rFonts w:ascii="宋体" w:hAnsi="宋体"/>
        </w:rPr>
      </w:pPr>
    </w:p>
    <w:p>
      <w:pPr>
        <w:ind w:firstLine="411" w:firstLineChars="196"/>
        <w:rPr>
          <w:rFonts w:ascii="宋体" w:hAnsi="宋体"/>
        </w:rPr>
      </w:pPr>
      <w:r>
        <w:rPr>
          <w:rFonts w:ascii="宋体" w:hAnsi="宋体"/>
        </w:rPr>
        <w:drawing>
          <wp:inline distT="0" distB="0" distL="0" distR="0">
            <wp:extent cx="5279390" cy="2727325"/>
            <wp:effectExtent l="0" t="0" r="3810" b="3175"/>
            <wp:docPr id="13" name="图片 8"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descr="图形用户界面&#10;&#10;描述已自动生成"/>
                    <pic:cNvPicPr>
                      <a:picLocks noChangeAspect="1" noChangeArrowheads="1"/>
                    </pic:cNvPicPr>
                  </pic:nvPicPr>
                  <pic:blipFill>
                    <a:blip r:embed="rId10"/>
                    <a:srcRect/>
                    <a:stretch>
                      <a:fillRect/>
                    </a:stretch>
                  </pic:blipFill>
                  <pic:spPr>
                    <a:xfrm>
                      <a:off x="0" y="0"/>
                      <a:ext cx="5279390" cy="2727325"/>
                    </a:xfrm>
                    <a:prstGeom prst="rect">
                      <a:avLst/>
                    </a:prstGeom>
                    <a:noFill/>
                    <a:ln w="9525">
                      <a:noFill/>
                      <a:miter lim="800000"/>
                      <a:headEnd/>
                      <a:tailEnd/>
                    </a:ln>
                  </pic:spPr>
                </pic:pic>
              </a:graphicData>
            </a:graphic>
          </wp:inline>
        </w:drawing>
      </w:r>
    </w:p>
    <w:p>
      <w:pPr>
        <w:ind w:firstLine="411" w:firstLineChars="196"/>
        <w:rPr>
          <w:rFonts w:ascii="宋体" w:hAnsi="宋体"/>
        </w:rPr>
      </w:pPr>
    </w:p>
    <w:p>
      <w:pPr>
        <w:widowControl/>
        <w:jc w:val="left"/>
        <w:rPr>
          <w:sz w:val="24"/>
        </w:rPr>
      </w:pPr>
    </w:p>
    <w:p>
      <w:pPr>
        <w:rPr>
          <w:rFonts w:ascii="宋体" w:hAnsi="宋体"/>
          <w:b/>
        </w:rPr>
      </w:pPr>
      <w:r>
        <w:rPr>
          <w:rFonts w:hint="eastAsia" w:ascii="宋体" w:hAnsi="宋体"/>
        </w:rPr>
        <w:t xml:space="preserve">   </w:t>
      </w:r>
      <w:r>
        <w:rPr>
          <w:rFonts w:hint="eastAsia" w:ascii="宋体" w:hAnsi="宋体"/>
          <w:b/>
        </w:rPr>
        <w:t xml:space="preserve"> 24.2若采购项目出现延期情况：</w:t>
      </w:r>
    </w:p>
    <w:p>
      <w:pPr>
        <w:ind w:firstLine="421" w:firstLineChars="200"/>
        <w:rPr>
          <w:rFonts w:ascii="黑体" w:hAnsi="宋体" w:eastAsia="黑体"/>
          <w:b/>
          <w:sz w:val="24"/>
        </w:rPr>
      </w:pPr>
      <w:r>
        <w:rPr>
          <w:rFonts w:hint="eastAsia" w:ascii="宋体" w:hAnsi="宋体"/>
          <w:b/>
        </w:rPr>
        <w:t>如果供下载的招标文件（后缀名为.szczf）有更新，投标人必须重新下载招标文件、重新制作投标文件、重新加密投标文件、重新上传投标文件；如果供下载的招标文件（后缀名为.szczf）没有更新，投标人必须重新加密投标文件、重新上传投标文件（是否重新制作投标文件根据项目实际情</w:t>
      </w:r>
      <w:r>
        <w:rPr>
          <w:rFonts w:hint="eastAsia" w:ascii="宋体" w:hAnsi="宋体"/>
          <w:b/>
          <w:bCs/>
        </w:rPr>
        <w:t>况确</w:t>
      </w:r>
      <w:r>
        <w:rPr>
          <w:rFonts w:hint="eastAsia" w:ascii="宋体" w:hAnsi="宋体"/>
          <w:b/>
        </w:rPr>
        <w:t>定）。否则，投标人自行承担投标文件无法解密导致投标无效的后果。</w:t>
      </w:r>
    </w:p>
    <w:p>
      <w:pPr>
        <w:rPr>
          <w:rFonts w:ascii="黑体" w:hAnsi="宋体" w:eastAsia="黑体"/>
          <w:sz w:val="24"/>
        </w:rPr>
      </w:pPr>
      <w:r>
        <w:rPr>
          <w:rFonts w:hint="eastAsia" w:ascii="黑体" w:hAnsi="宋体" w:eastAsia="黑体"/>
          <w:sz w:val="24"/>
        </w:rPr>
        <w:t>25.上传投标文件及投标截止日期</w:t>
      </w:r>
    </w:p>
    <w:p>
      <w:pPr>
        <w:ind w:firstLine="411" w:firstLineChars="196"/>
        <w:rPr>
          <w:rFonts w:ascii="宋体" w:hAnsi="宋体"/>
        </w:rPr>
      </w:pPr>
      <w:r>
        <w:rPr>
          <w:rFonts w:hint="eastAsia" w:ascii="宋体" w:hAnsi="宋体"/>
        </w:rPr>
        <w:t>25</w:t>
      </w:r>
      <w:r>
        <w:rPr>
          <w:rFonts w:ascii="宋体" w:hAnsi="宋体"/>
        </w:rPr>
        <w:t>.</w:t>
      </w:r>
      <w:r>
        <w:rPr>
          <w:rFonts w:hint="eastAsia" w:ascii="宋体" w:hAnsi="宋体"/>
        </w:rPr>
        <w:t>1实行网上投标，</w:t>
      </w:r>
      <w:r>
        <w:rPr>
          <w:rFonts w:ascii="宋体" w:hAnsi="宋体"/>
        </w:rPr>
        <w:t>投标人必须</w:t>
      </w:r>
      <w:r>
        <w:rPr>
          <w:rFonts w:hint="eastAsia" w:ascii="宋体" w:hAnsi="宋体"/>
        </w:rPr>
        <w:t>在招标</w:t>
      </w:r>
      <w:r>
        <w:rPr>
          <w:rFonts w:ascii="宋体" w:hAnsi="宋体"/>
        </w:rPr>
        <w:t>文件规定的投标截止时间前</w:t>
      </w:r>
      <w:r>
        <w:rPr>
          <w:rFonts w:hint="eastAsia" w:ascii="宋体" w:hAnsi="宋体"/>
        </w:rPr>
        <w:t>用电子密钥登录“深圳政府采购智慧平台用户网上办事子系统（http://zfcg.szggzy.com:8081/TPBidder/memberLogin）”，用“【我的项目】→【项目流程】→【递交投标(应答)文件】”功能点上传投标文件。如上传过程中遇到问题，可拨打采购公告中的技术支持电话。如多次上传均告失败，请在投标截止时间之前携带加密后的电子投标文件送达</w:t>
      </w:r>
      <w:r>
        <w:rPr>
          <w:rFonts w:hint="eastAsia" w:ascii="宋体" w:hAnsi="宋体"/>
          <w:b/>
          <w:bCs/>
          <w:szCs w:val="21"/>
        </w:rPr>
        <w:t>深圳公共资源交易中心（深圳交易集团有限公司</w:t>
      </w:r>
      <w:r>
        <w:rPr>
          <w:rFonts w:hint="eastAsia" w:ascii="宋体" w:hAnsi="宋体"/>
          <w:b/>
          <w:bCs/>
          <w:szCs w:val="21"/>
          <w:lang w:eastAsia="zh-CN"/>
        </w:rPr>
        <w:t>盐田</w:t>
      </w:r>
      <w:r>
        <w:rPr>
          <w:rFonts w:hint="eastAsia" w:ascii="宋体" w:hAnsi="宋体"/>
          <w:b/>
          <w:bCs/>
          <w:szCs w:val="21"/>
        </w:rPr>
        <w:t>分公司）</w:t>
      </w:r>
      <w:r>
        <w:rPr>
          <w:rFonts w:hint="eastAsia" w:ascii="宋体" w:hAnsi="宋体"/>
          <w:b/>
          <w:bCs/>
        </w:rPr>
        <w:t>（地址：深圳市盐田区海景二路1025号壹海国际中心9楼901）</w:t>
      </w:r>
      <w:r>
        <w:rPr>
          <w:rFonts w:ascii="宋体" w:hAnsi="宋体"/>
          <w:b/>
          <w:bCs/>
        </w:rPr>
        <w:t>协助上传</w:t>
      </w:r>
      <w:r>
        <w:rPr>
          <w:rFonts w:hint="eastAsia" w:ascii="宋体" w:hAnsi="宋体"/>
          <w:b/>
          <w:bCs/>
        </w:rPr>
        <w:t>，</w:t>
      </w:r>
      <w:r>
        <w:rPr>
          <w:rFonts w:ascii="宋体" w:hAnsi="宋体"/>
          <w:b/>
          <w:bCs/>
        </w:rPr>
        <w:t>但上传过程</w:t>
      </w:r>
      <w:r>
        <w:rPr>
          <w:rFonts w:hint="eastAsia" w:ascii="宋体" w:hAnsi="宋体"/>
          <w:b/>
          <w:bCs/>
        </w:rPr>
        <w:t>中</w:t>
      </w:r>
      <w:r>
        <w:rPr>
          <w:rFonts w:ascii="宋体" w:hAnsi="宋体"/>
          <w:b/>
          <w:bCs/>
        </w:rPr>
        <w:t>投标截止时间到达仍无法上传成功的，由投标人自行负责</w:t>
      </w:r>
      <w:r>
        <w:rPr>
          <w:rFonts w:hint="eastAsia" w:ascii="宋体" w:hAnsi="宋体"/>
        </w:rPr>
        <w:t>。</w:t>
      </w:r>
    </w:p>
    <w:p>
      <w:pPr>
        <w:ind w:firstLine="411" w:firstLineChars="196"/>
        <w:rPr>
          <w:rFonts w:ascii="宋体" w:hAnsi="宋体"/>
        </w:rPr>
      </w:pPr>
      <w:r>
        <w:rPr>
          <w:rFonts w:hint="eastAsia" w:ascii="宋体" w:hAnsi="宋体"/>
        </w:rPr>
        <w:t>25.2政府集中采购机构可以按本通用条款第13条规定，通过修改招标文件自行决定酌情延长投标截止期。在此情况下，政府集中采购机构、采购人和投标人受投标截止期制约的所有权利和义务均应延长至新的截止期。</w:t>
      </w:r>
    </w:p>
    <w:p>
      <w:pPr>
        <w:ind w:firstLine="411" w:firstLineChars="196"/>
        <w:rPr>
          <w:rFonts w:ascii="宋体" w:hAnsi="宋体"/>
        </w:rPr>
      </w:pPr>
      <w:r>
        <w:rPr>
          <w:rFonts w:hint="eastAsia" w:ascii="宋体" w:hAnsi="宋体"/>
        </w:rPr>
        <w:t>25</w:t>
      </w:r>
      <w:r>
        <w:rPr>
          <w:rFonts w:ascii="宋体" w:hAnsi="宋体"/>
        </w:rPr>
        <w:t>.</w:t>
      </w:r>
      <w:r>
        <w:rPr>
          <w:rFonts w:hint="eastAsia" w:ascii="宋体" w:hAnsi="宋体"/>
        </w:rPr>
        <w:t>3投标截止时间以后不得上传投标文件。</w:t>
      </w:r>
    </w:p>
    <w:p>
      <w:pPr>
        <w:ind w:firstLine="411" w:firstLineChars="196"/>
        <w:rPr>
          <w:rFonts w:ascii="宋体" w:hAnsi="宋体"/>
        </w:rPr>
      </w:pPr>
    </w:p>
    <w:bookmarkEnd w:id="64"/>
    <w:p>
      <w:pPr>
        <w:rPr>
          <w:rFonts w:ascii="黑体" w:hAnsi="宋体" w:eastAsia="黑体"/>
          <w:sz w:val="24"/>
        </w:rPr>
      </w:pPr>
      <w:r>
        <w:rPr>
          <w:rFonts w:hint="eastAsia" w:ascii="黑体" w:hAnsi="宋体" w:eastAsia="黑体"/>
          <w:sz w:val="24"/>
        </w:rPr>
        <w:t>26. 样品、现场演示、方案讲解</w:t>
      </w:r>
    </w:p>
    <w:p>
      <w:pPr>
        <w:ind w:firstLine="411" w:firstLineChars="196"/>
        <w:rPr>
          <w:rFonts w:ascii="宋体" w:hAnsi="宋体"/>
          <w:szCs w:val="21"/>
        </w:rPr>
      </w:pPr>
      <w:r>
        <w:rPr>
          <w:rFonts w:hint="eastAsia" w:ascii="宋体" w:hAnsi="宋体"/>
          <w:szCs w:val="21"/>
        </w:rPr>
        <w:t>26.1 样品、现场演示、方案讲解等事项在招标文件专用条款中进行规定。</w:t>
      </w:r>
    </w:p>
    <w:p>
      <w:pPr>
        <w:rPr>
          <w:rFonts w:ascii="黑体" w:hAnsi="宋体" w:eastAsia="黑体"/>
          <w:sz w:val="24"/>
        </w:rPr>
      </w:pPr>
      <w:bookmarkStart w:id="65" w:name="_Hlk72428346"/>
      <w:r>
        <w:rPr>
          <w:rFonts w:hint="eastAsia" w:ascii="黑体" w:hAnsi="宋体" w:eastAsia="黑体"/>
          <w:sz w:val="24"/>
        </w:rPr>
        <w:t>27.</w:t>
      </w:r>
      <w:r>
        <w:rPr>
          <w:rFonts w:ascii="黑体" w:hAnsi="宋体" w:eastAsia="黑体"/>
          <w:sz w:val="24"/>
        </w:rPr>
        <w:t>投标文件的修改和撤销</w:t>
      </w:r>
    </w:p>
    <w:p>
      <w:pPr>
        <w:ind w:firstLine="411" w:firstLineChars="196"/>
        <w:rPr>
          <w:rFonts w:ascii="宋体" w:hAnsi="宋体"/>
        </w:rPr>
      </w:pPr>
      <w:r>
        <w:rPr>
          <w:rFonts w:ascii="宋体" w:hAnsi="宋体"/>
        </w:rPr>
        <w:t>2</w:t>
      </w:r>
      <w:r>
        <w:rPr>
          <w:rFonts w:hint="eastAsia" w:ascii="宋体" w:hAnsi="宋体"/>
        </w:rPr>
        <w:t>7</w:t>
      </w:r>
      <w:r>
        <w:rPr>
          <w:rFonts w:ascii="宋体" w:hAnsi="宋体"/>
        </w:rPr>
        <w:t>.</w:t>
      </w:r>
      <w:r>
        <w:rPr>
          <w:rFonts w:hint="eastAsia" w:ascii="宋体" w:hAnsi="宋体"/>
        </w:rPr>
        <w:t>1</w:t>
      </w:r>
      <w:r>
        <w:rPr>
          <w:rFonts w:ascii="宋体" w:hAnsi="宋体"/>
        </w:rPr>
        <w:t>投标方在提交投标文件后可对其投标文件进行修改</w:t>
      </w:r>
      <w:r>
        <w:rPr>
          <w:rFonts w:hint="eastAsia" w:ascii="宋体" w:hAnsi="宋体"/>
        </w:rPr>
        <w:t>并重新上传投标文件</w:t>
      </w:r>
      <w:r>
        <w:rPr>
          <w:rFonts w:ascii="宋体" w:hAnsi="宋体"/>
        </w:rPr>
        <w:t>或</w:t>
      </w:r>
      <w:r>
        <w:rPr>
          <w:rFonts w:hint="eastAsia" w:ascii="宋体" w:hAnsi="宋体"/>
        </w:rPr>
        <w:t>在网上进行</w:t>
      </w:r>
      <w:r>
        <w:rPr>
          <w:rFonts w:ascii="宋体" w:hAnsi="宋体"/>
        </w:rPr>
        <w:t>撤销</w:t>
      </w:r>
      <w:r>
        <w:rPr>
          <w:rFonts w:hint="eastAsia" w:ascii="宋体" w:hAnsi="宋体"/>
        </w:rPr>
        <w:t>投标的操作</w:t>
      </w:r>
      <w:r>
        <w:rPr>
          <w:rFonts w:ascii="宋体" w:hAnsi="宋体"/>
        </w:rPr>
        <w:t>。</w:t>
      </w:r>
    </w:p>
    <w:p>
      <w:pPr>
        <w:ind w:firstLine="411" w:firstLineChars="196"/>
        <w:rPr>
          <w:rFonts w:ascii="宋体" w:hAnsi="宋体"/>
        </w:rPr>
      </w:pPr>
      <w:r>
        <w:rPr>
          <w:rFonts w:ascii="宋体" w:hAnsi="宋体"/>
        </w:rPr>
        <w:t>2</w:t>
      </w:r>
      <w:r>
        <w:rPr>
          <w:rFonts w:hint="eastAsia" w:ascii="宋体" w:hAnsi="宋体"/>
        </w:rPr>
        <w:t>7</w:t>
      </w:r>
      <w:r>
        <w:rPr>
          <w:rFonts w:ascii="宋体" w:hAnsi="宋体"/>
        </w:rPr>
        <w:t>.</w:t>
      </w:r>
      <w:r>
        <w:rPr>
          <w:rFonts w:hint="eastAsia" w:ascii="宋体" w:hAnsi="宋体"/>
        </w:rPr>
        <w:t>2</w:t>
      </w:r>
      <w:r>
        <w:rPr>
          <w:rFonts w:ascii="宋体" w:hAnsi="宋体"/>
        </w:rPr>
        <w:t>投标截止时间以后不得修改投标文件。</w:t>
      </w:r>
    </w:p>
    <w:p>
      <w:pPr>
        <w:ind w:firstLine="411" w:firstLineChars="196"/>
        <w:rPr>
          <w:rFonts w:ascii="宋体" w:hAnsi="宋体"/>
        </w:rPr>
      </w:pPr>
      <w:r>
        <w:rPr>
          <w:rFonts w:ascii="宋体" w:hAnsi="宋体"/>
        </w:rPr>
        <w:t>2</w:t>
      </w:r>
      <w:r>
        <w:rPr>
          <w:rFonts w:hint="eastAsia" w:ascii="宋体" w:hAnsi="宋体"/>
        </w:rPr>
        <w:t>7</w:t>
      </w:r>
      <w:r>
        <w:rPr>
          <w:rFonts w:ascii="宋体" w:hAnsi="宋体"/>
        </w:rPr>
        <w:t>.</w:t>
      </w:r>
      <w:r>
        <w:rPr>
          <w:rFonts w:hint="eastAsia" w:ascii="宋体" w:hAnsi="宋体"/>
        </w:rPr>
        <w:t>3从投标截止期至投标人在投标文件中确定的投标有效期之间的这段时间内，投标人不得撤回其投标。</w:t>
      </w:r>
    </w:p>
    <w:p>
      <w:pPr>
        <w:ind w:firstLine="411" w:firstLineChars="196"/>
        <w:rPr>
          <w:rFonts w:ascii="宋体" w:hAnsi="宋体"/>
          <w:szCs w:val="21"/>
        </w:rPr>
      </w:pPr>
      <w:r>
        <w:rPr>
          <w:rFonts w:hint="eastAsia" w:ascii="宋体" w:hAnsi="宋体"/>
          <w:szCs w:val="21"/>
        </w:rPr>
        <w:t>27.4政府集中采购机构不退还投标文件，专用条款另有规定的除外。</w:t>
      </w:r>
    </w:p>
    <w:bookmarkEnd w:id="65"/>
    <w:p>
      <w:pPr>
        <w:pStyle w:val="7"/>
        <w:numPr>
          <w:ilvl w:val="0"/>
          <w:numId w:val="16"/>
        </w:numPr>
        <w:spacing w:before="120" w:beforeLines="50" w:after="120" w:afterLines="50"/>
        <w:ind w:left="562" w:hanging="562"/>
        <w:rPr>
          <w:sz w:val="28"/>
          <w:szCs w:val="28"/>
        </w:rPr>
      </w:pPr>
      <w:r>
        <w:rPr>
          <w:rFonts w:hint="eastAsia"/>
          <w:sz w:val="28"/>
          <w:szCs w:val="28"/>
        </w:rPr>
        <w:t>开标</w:t>
      </w:r>
    </w:p>
    <w:p>
      <w:pPr>
        <w:rPr>
          <w:rFonts w:ascii="黑体" w:hAnsi="宋体" w:eastAsia="黑体"/>
          <w:sz w:val="24"/>
        </w:rPr>
      </w:pPr>
      <w:r>
        <w:rPr>
          <w:rFonts w:hint="eastAsia" w:ascii="黑体" w:hAnsi="宋体" w:eastAsia="黑体"/>
          <w:sz w:val="24"/>
        </w:rPr>
        <w:t>28.开标</w:t>
      </w:r>
    </w:p>
    <w:p>
      <w:pPr>
        <w:ind w:firstLine="315" w:firstLineChars="150"/>
        <w:rPr>
          <w:rFonts w:ascii="宋体" w:hAnsi="宋体"/>
          <w:szCs w:val="21"/>
        </w:rPr>
      </w:pPr>
      <w:r>
        <w:rPr>
          <w:rFonts w:hint="eastAsia" w:ascii="宋体" w:hAnsi="宋体"/>
          <w:szCs w:val="21"/>
        </w:rPr>
        <w:t>28.1投标人须在开标当日的开标时间至解密截止时间内进行解密，逾期未解密的作无效处理。解密方法：登录“深圳政府采购智慧平台用户网上办事子系统（http://zfcg.szggzy.com:8081/TPBidder/memberLogin）”，使用本单位制作电子投标文件同一个电子密钥，在“【我的项目】→【项目流程】→【开标及解密】”进行在线解密、查询开标情况。</w:t>
      </w:r>
    </w:p>
    <w:p>
      <w:pPr>
        <w:ind w:firstLine="315" w:firstLineChars="150"/>
        <w:rPr>
          <w:rFonts w:ascii="宋体" w:hAnsi="宋体"/>
          <w:szCs w:val="21"/>
        </w:rPr>
      </w:pPr>
      <w:r>
        <w:rPr>
          <w:rFonts w:hint="eastAsia" w:ascii="宋体" w:hAnsi="宋体"/>
          <w:szCs w:val="21"/>
        </w:rPr>
        <w:t>28.2 政府集中采购机构将在满足开标条件（①解密时间结束，解密后的投标供应商数量满足开标要求或②解密时间结束前所有投标供应商均完成投标文件解密）后，对投标文件进行开标，并在网上公布开标结果。</w:t>
      </w:r>
    </w:p>
    <w:p>
      <w:pPr>
        <w:ind w:firstLine="315" w:firstLineChars="150"/>
        <w:rPr>
          <w:rFonts w:ascii="宋体" w:hAnsi="宋体"/>
          <w:szCs w:val="21"/>
        </w:rPr>
      </w:pPr>
    </w:p>
    <w:p>
      <w:pPr>
        <w:pStyle w:val="7"/>
        <w:numPr>
          <w:ilvl w:val="0"/>
          <w:numId w:val="16"/>
        </w:numPr>
        <w:spacing w:before="120" w:beforeLines="50" w:after="120" w:afterLines="50"/>
        <w:ind w:left="562" w:hanging="562"/>
        <w:rPr>
          <w:sz w:val="28"/>
          <w:szCs w:val="28"/>
        </w:rPr>
      </w:pPr>
      <w:r>
        <w:rPr>
          <w:rFonts w:hint="eastAsia"/>
          <w:sz w:val="28"/>
          <w:szCs w:val="28"/>
        </w:rPr>
        <w:t>评审要求</w:t>
      </w:r>
    </w:p>
    <w:p>
      <w:pPr>
        <w:rPr>
          <w:rFonts w:ascii="黑体" w:hAnsi="宋体" w:eastAsia="黑体"/>
          <w:sz w:val="24"/>
        </w:rPr>
      </w:pPr>
      <w:r>
        <w:rPr>
          <w:rFonts w:hint="eastAsia" w:ascii="黑体" w:hAnsi="宋体" w:eastAsia="黑体"/>
          <w:sz w:val="24"/>
        </w:rPr>
        <w:t>29.评审委员会组成</w:t>
      </w:r>
    </w:p>
    <w:p>
      <w:pPr>
        <w:ind w:firstLine="411" w:firstLineChars="196"/>
        <w:rPr>
          <w:rFonts w:ascii="宋体" w:hAnsi="宋体"/>
        </w:rPr>
      </w:pPr>
      <w:r>
        <w:rPr>
          <w:rFonts w:hint="eastAsia" w:ascii="宋体" w:hAnsi="宋体"/>
        </w:rPr>
        <w:t>29.1网上开标结束后召开评审会议，</w:t>
      </w:r>
      <w:r>
        <w:rPr>
          <w:rFonts w:hint="eastAsia" w:ascii="宋体" w:hAnsi="宋体"/>
          <w:szCs w:val="21"/>
        </w:rPr>
        <w:t>评审委员会</w:t>
      </w:r>
      <w:r>
        <w:rPr>
          <w:rFonts w:hint="eastAsia" w:ascii="宋体" w:hAnsi="宋体"/>
        </w:rPr>
        <w:t>由政府集中采购机构依法组建，负责评审活动。</w:t>
      </w:r>
    </w:p>
    <w:p>
      <w:pPr>
        <w:ind w:firstLine="411" w:firstLineChars="196"/>
        <w:rPr>
          <w:rFonts w:ascii="宋体" w:hAnsi="宋体"/>
        </w:rPr>
      </w:pPr>
      <w:bookmarkStart w:id="66" w:name="_Hlk72436580"/>
      <w:r>
        <w:rPr>
          <w:rFonts w:hint="eastAsia" w:ascii="宋体" w:hAnsi="宋体"/>
        </w:rPr>
        <w:t>评审委员会由采购人代表和评审专家组成，成员人数应当为5人以上单数（部分条件下为7人以上单数），其中评审专家不得少于成员总数的三分之二。</w:t>
      </w:r>
      <w:bookmarkEnd w:id="66"/>
      <w:r>
        <w:rPr>
          <w:rFonts w:hint="eastAsia" w:ascii="宋体" w:hAnsi="宋体"/>
        </w:rPr>
        <w:t>评定</w:t>
      </w:r>
      <w:r>
        <w:rPr>
          <w:rFonts w:hint="eastAsia"/>
        </w:rPr>
        <w:t>分离项目</w:t>
      </w:r>
      <w:r>
        <w:t>评审专家</w:t>
      </w:r>
      <w:r>
        <w:rPr>
          <w:rFonts w:hint="eastAsia"/>
        </w:rPr>
        <w:t>均</w:t>
      </w:r>
      <w:r>
        <w:t>由</w:t>
      </w:r>
      <w:r>
        <w:rPr>
          <w:rFonts w:hint="eastAsia"/>
        </w:rPr>
        <w:t>评审专家组成。</w:t>
      </w:r>
      <w:r>
        <w:rPr>
          <w:rFonts w:hint="eastAsia" w:ascii="宋体" w:hAnsi="宋体"/>
          <w:szCs w:val="21"/>
        </w:rPr>
        <w:t>评审专家一般是</w:t>
      </w:r>
      <w:r>
        <w:rPr>
          <w:rFonts w:hint="eastAsia" w:ascii="宋体" w:hAnsi="宋体"/>
        </w:rPr>
        <w:t>从深圳市政府采购评审专家库中随机抽取。采购人代表须持本单位签发的《评审授权书》参加评审。</w:t>
      </w:r>
    </w:p>
    <w:p>
      <w:pPr>
        <w:ind w:firstLine="411" w:firstLineChars="196"/>
        <w:rPr>
          <w:rFonts w:ascii="宋体" w:hAnsi="宋体"/>
        </w:rPr>
      </w:pPr>
      <w:r>
        <w:rPr>
          <w:rFonts w:hint="eastAsia" w:ascii="宋体" w:hAnsi="宋体"/>
        </w:rPr>
        <w:t>29.2评审定标应当遵循公平、公正、科学、择优的原则。</w:t>
      </w:r>
    </w:p>
    <w:p>
      <w:pPr>
        <w:ind w:firstLine="411" w:firstLineChars="196"/>
        <w:rPr>
          <w:rFonts w:ascii="宋体" w:hAnsi="宋体"/>
        </w:rPr>
      </w:pPr>
      <w:r>
        <w:rPr>
          <w:rFonts w:hint="eastAsia" w:ascii="宋体" w:hAnsi="宋体"/>
        </w:rPr>
        <w:t>29.3评审活动依法进行，任何单位和个人不得非法干预评标过程和结果。</w:t>
      </w:r>
    </w:p>
    <w:p>
      <w:pPr>
        <w:ind w:firstLine="411" w:firstLineChars="196"/>
        <w:rPr>
          <w:rFonts w:ascii="宋体" w:hAnsi="宋体"/>
        </w:rPr>
      </w:pPr>
      <w:r>
        <w:rPr>
          <w:rFonts w:hint="eastAsia" w:ascii="宋体" w:hAnsi="宋体"/>
        </w:rPr>
        <w:t>29.4评审过程中不允许违背评标程序或采用招标文件未载明的评标方法或评标因素进行评标。</w:t>
      </w:r>
    </w:p>
    <w:p>
      <w:pPr>
        <w:ind w:firstLine="411" w:firstLineChars="196"/>
        <w:rPr>
          <w:rFonts w:ascii="宋体" w:hAnsi="宋体"/>
          <w:bCs/>
        </w:rPr>
      </w:pPr>
      <w:r>
        <w:rPr>
          <w:rFonts w:hint="eastAsia" w:ascii="宋体" w:hAnsi="宋体"/>
          <w:bCs/>
        </w:rPr>
        <w:t>29.5 开标后，直到签订合同为止，凡属于对投标文件的审查、澄清、评价和比较的有关资料以及中标候选人的推荐情况、与评审有关的其他任何情况均严格保密（</w:t>
      </w:r>
      <w:r>
        <w:rPr>
          <w:rFonts w:hint="eastAsia"/>
        </w:rPr>
        <w:t>信息公开的内容除外</w:t>
      </w:r>
      <w:r>
        <w:rPr>
          <w:rFonts w:hint="eastAsia" w:ascii="宋体" w:hAnsi="宋体"/>
          <w:bCs/>
        </w:rPr>
        <w:t>）。</w:t>
      </w:r>
    </w:p>
    <w:p>
      <w:pPr>
        <w:rPr>
          <w:rFonts w:ascii="黑体" w:hAnsi="宋体" w:eastAsia="黑体"/>
          <w:sz w:val="24"/>
        </w:rPr>
      </w:pPr>
      <w:r>
        <w:rPr>
          <w:rFonts w:hint="eastAsia" w:ascii="黑体" w:hAnsi="宋体" w:eastAsia="黑体"/>
          <w:sz w:val="24"/>
        </w:rPr>
        <w:t>30.向评审委员会提供的资料</w:t>
      </w:r>
    </w:p>
    <w:p>
      <w:pPr>
        <w:ind w:firstLine="411" w:firstLineChars="196"/>
        <w:rPr>
          <w:rFonts w:ascii="宋体" w:hAnsi="宋体"/>
        </w:rPr>
      </w:pPr>
      <w:r>
        <w:rPr>
          <w:rFonts w:hint="eastAsia" w:ascii="宋体" w:hAnsi="宋体"/>
        </w:rPr>
        <w:t>30.1公开发布的招标文件，包括图纸、服务清单、答疑文件等；</w:t>
      </w:r>
    </w:p>
    <w:p>
      <w:pPr>
        <w:ind w:firstLine="411" w:firstLineChars="196"/>
        <w:rPr>
          <w:rFonts w:ascii="宋体" w:hAnsi="宋体"/>
        </w:rPr>
      </w:pPr>
      <w:r>
        <w:rPr>
          <w:rFonts w:hint="eastAsia" w:ascii="宋体" w:hAnsi="宋体"/>
        </w:rPr>
        <w:t>30.2其他评标必需的资料。</w:t>
      </w:r>
    </w:p>
    <w:p>
      <w:pPr>
        <w:ind w:firstLine="411" w:firstLineChars="196"/>
        <w:rPr>
          <w:rFonts w:ascii="宋体" w:hAnsi="宋体"/>
        </w:rPr>
      </w:pPr>
      <w:r>
        <w:rPr>
          <w:rFonts w:hint="eastAsia" w:ascii="宋体" w:hAnsi="宋体"/>
        </w:rPr>
        <w:t>30.3</w:t>
      </w:r>
      <w:r>
        <w:rPr>
          <w:rFonts w:hint="eastAsia" w:ascii="宋体" w:hAnsi="宋体"/>
          <w:szCs w:val="21"/>
        </w:rPr>
        <w:t>评审委员会</w:t>
      </w:r>
      <w:r>
        <w:rPr>
          <w:rFonts w:hint="eastAsia" w:ascii="宋体" w:hAnsi="宋体"/>
        </w:rPr>
        <w:t>应当认真研究招标文件，至少应了解熟悉以下内容：</w:t>
      </w:r>
    </w:p>
    <w:p>
      <w:pPr>
        <w:ind w:firstLine="411" w:firstLineChars="196"/>
        <w:rPr>
          <w:rFonts w:ascii="宋体" w:hAnsi="宋体"/>
        </w:rPr>
      </w:pPr>
      <w:r>
        <w:rPr>
          <w:rFonts w:hint="eastAsia" w:ascii="宋体" w:hAnsi="宋体"/>
        </w:rPr>
        <w:t>（1）招标的目的；</w:t>
      </w:r>
    </w:p>
    <w:p>
      <w:pPr>
        <w:ind w:firstLine="411" w:firstLineChars="196"/>
        <w:rPr>
          <w:rFonts w:ascii="宋体" w:hAnsi="宋体"/>
        </w:rPr>
      </w:pPr>
      <w:r>
        <w:rPr>
          <w:rFonts w:hint="eastAsia" w:ascii="宋体" w:hAnsi="宋体"/>
        </w:rPr>
        <w:t>（2）招标项目需求的范围和性质；</w:t>
      </w:r>
    </w:p>
    <w:p>
      <w:pPr>
        <w:ind w:firstLine="411" w:firstLineChars="196"/>
        <w:rPr>
          <w:rFonts w:ascii="宋体" w:hAnsi="宋体"/>
        </w:rPr>
      </w:pPr>
      <w:r>
        <w:rPr>
          <w:rFonts w:hint="eastAsia" w:ascii="宋体" w:hAnsi="宋体"/>
        </w:rPr>
        <w:t>（3）招标文件规定的投标人的资格、财政预算限额、商务条款；</w:t>
      </w:r>
    </w:p>
    <w:p>
      <w:pPr>
        <w:ind w:firstLine="411" w:firstLineChars="196"/>
        <w:rPr>
          <w:rFonts w:ascii="宋体" w:hAnsi="宋体"/>
        </w:rPr>
      </w:pPr>
      <w:r>
        <w:rPr>
          <w:rFonts w:hint="eastAsia" w:ascii="宋体" w:hAnsi="宋体"/>
        </w:rPr>
        <w:t>（4）招标文件规定的评标程序、评标方法和评标因素；</w:t>
      </w:r>
    </w:p>
    <w:p>
      <w:pPr>
        <w:ind w:firstLine="411" w:firstLineChars="196"/>
        <w:rPr>
          <w:rFonts w:ascii="宋体" w:hAnsi="宋体"/>
        </w:rPr>
      </w:pPr>
      <w:r>
        <w:rPr>
          <w:rFonts w:hint="eastAsia" w:ascii="宋体" w:hAnsi="宋体"/>
        </w:rPr>
        <w:t>（5）招标文件所列示的资格性审查表及符合性审查表。</w:t>
      </w:r>
    </w:p>
    <w:p>
      <w:pPr>
        <w:rPr>
          <w:rFonts w:ascii="黑体" w:hAnsi="宋体" w:eastAsia="黑体"/>
          <w:sz w:val="24"/>
        </w:rPr>
      </w:pPr>
      <w:r>
        <w:rPr>
          <w:rFonts w:hint="eastAsia" w:ascii="黑体" w:hAnsi="宋体" w:eastAsia="黑体"/>
          <w:sz w:val="24"/>
        </w:rPr>
        <w:t>31.独立评审</w:t>
      </w:r>
    </w:p>
    <w:p>
      <w:pPr>
        <w:ind w:firstLine="411" w:firstLineChars="196"/>
        <w:rPr>
          <w:rFonts w:ascii="宋体" w:hAnsi="宋体"/>
          <w:bCs/>
        </w:rPr>
      </w:pPr>
      <w:r>
        <w:rPr>
          <w:rFonts w:hint="eastAsia" w:ascii="宋体" w:hAnsi="宋体"/>
          <w:bCs/>
        </w:rPr>
        <w:t>3</w:t>
      </w:r>
      <w:r>
        <w:rPr>
          <w:rFonts w:ascii="宋体" w:hAnsi="宋体"/>
          <w:bCs/>
        </w:rPr>
        <w:t>1</w:t>
      </w:r>
      <w:r>
        <w:rPr>
          <w:rFonts w:hint="eastAsia" w:ascii="宋体" w:hAnsi="宋体"/>
          <w:bCs/>
        </w:rPr>
        <w:t>.1</w:t>
      </w:r>
      <w:r>
        <w:rPr>
          <w:rFonts w:hint="eastAsia" w:ascii="宋体" w:hAnsi="宋体"/>
          <w:szCs w:val="21"/>
        </w:rPr>
        <w:t>评审委员会</w:t>
      </w:r>
      <w:r>
        <w:rPr>
          <w:rFonts w:hint="eastAsia" w:ascii="宋体" w:hAnsi="宋体"/>
          <w:bCs/>
        </w:rPr>
        <w:t>成员的评标活动应当独立进行，并应遵循投标文件初审、澄清有关问题、比较与评价、确定中标供应商、编写评审报告的工作程序。</w:t>
      </w:r>
    </w:p>
    <w:p>
      <w:pPr>
        <w:ind w:firstLine="411" w:firstLineChars="196"/>
        <w:rPr>
          <w:rFonts w:ascii="宋体" w:hAnsi="宋体"/>
          <w:bCs/>
          <w:szCs w:val="21"/>
        </w:rPr>
      </w:pPr>
    </w:p>
    <w:p>
      <w:pPr>
        <w:pStyle w:val="7"/>
        <w:numPr>
          <w:ilvl w:val="0"/>
          <w:numId w:val="16"/>
        </w:numPr>
        <w:spacing w:before="120" w:beforeLines="50" w:after="120" w:afterLines="50"/>
        <w:ind w:left="562" w:hanging="562"/>
        <w:rPr>
          <w:sz w:val="28"/>
          <w:szCs w:val="28"/>
        </w:rPr>
      </w:pPr>
      <w:r>
        <w:rPr>
          <w:rFonts w:hint="eastAsia"/>
          <w:sz w:val="28"/>
          <w:szCs w:val="28"/>
        </w:rPr>
        <w:t>评审程序及评审方法</w:t>
      </w:r>
    </w:p>
    <w:p>
      <w:pPr>
        <w:rPr>
          <w:rFonts w:ascii="黑体" w:hAnsi="宋体" w:eastAsia="黑体"/>
          <w:sz w:val="24"/>
        </w:rPr>
      </w:pPr>
      <w:r>
        <w:rPr>
          <w:rFonts w:hint="eastAsia" w:ascii="黑体" w:hAnsi="宋体" w:eastAsia="黑体"/>
          <w:sz w:val="24"/>
        </w:rPr>
        <w:t>32.投标文件初审</w:t>
      </w:r>
    </w:p>
    <w:p>
      <w:pPr>
        <w:ind w:firstLine="411" w:firstLineChars="196"/>
        <w:rPr>
          <w:rFonts w:ascii="宋体" w:hAnsi="宋体"/>
        </w:rPr>
      </w:pPr>
      <w:r>
        <w:rPr>
          <w:rFonts w:hint="eastAsia" w:ascii="宋体" w:hAnsi="宋体"/>
        </w:rPr>
        <w:t>32.1投标文件初审包括资格性审查、符合性审查和异常低价审查。</w:t>
      </w:r>
    </w:p>
    <w:p>
      <w:pPr>
        <w:ind w:firstLine="411" w:firstLineChars="196"/>
        <w:rPr>
          <w:rFonts w:ascii="宋体" w:hAnsi="宋体"/>
        </w:rPr>
      </w:pPr>
      <w:r>
        <w:rPr>
          <w:rFonts w:hint="eastAsia" w:ascii="宋体" w:hAnsi="宋体"/>
        </w:rPr>
        <w:t>资格性审查：依据法律法规和招标文件的规定，对投标文件中的资格证明等进行审查，以确定投标供应商是否具备投标资格。</w:t>
      </w:r>
    </w:p>
    <w:p>
      <w:pPr>
        <w:ind w:firstLine="411" w:firstLineChars="196"/>
        <w:rPr>
          <w:rFonts w:ascii="宋体" w:hAnsi="宋体"/>
        </w:rPr>
      </w:pPr>
      <w:r>
        <w:rPr>
          <w:rFonts w:hint="eastAsia" w:ascii="宋体" w:hAnsi="宋体"/>
        </w:rPr>
        <w:t>符合性审查：依据招标文件的规定，对投标文件的有效性、完整性和对招标文件的响应程度进行审查，以确定是否满足符合性审查的要求。</w:t>
      </w:r>
    </w:p>
    <w:p>
      <w:pPr>
        <w:pStyle w:val="2"/>
        <w:spacing w:line="240" w:lineRule="auto"/>
        <w:ind w:firstLine="420" w:firstLineChars="200"/>
        <w:rPr>
          <w:rFonts w:ascii="宋体" w:hAnsi="宋体"/>
          <w:b w:val="0"/>
          <w:bCs w:val="0"/>
          <w:sz w:val="21"/>
        </w:rPr>
      </w:pPr>
      <w:r>
        <w:rPr>
          <w:rFonts w:hint="eastAsia" w:ascii="宋体" w:hAnsi="宋体"/>
          <w:b w:val="0"/>
          <w:bCs w:val="0"/>
          <w:sz w:val="21"/>
        </w:rPr>
        <w:t>异常低价审查：依据招标文件的规定，对投标报价合理性进行审查，以确定是否存在异常低价情形。</w:t>
      </w:r>
    </w:p>
    <w:p>
      <w:pPr>
        <w:ind w:firstLine="413" w:firstLineChars="196"/>
        <w:rPr>
          <w:rFonts w:ascii="宋体" w:hAnsi="宋体"/>
          <w:b/>
          <w:bCs/>
          <w:color w:val="FF0000"/>
        </w:rPr>
      </w:pPr>
      <w:r>
        <w:rPr>
          <w:rFonts w:hint="eastAsia" w:ascii="宋体" w:hAnsi="宋体"/>
          <w:b/>
          <w:bCs/>
          <w:color w:val="FF0000"/>
        </w:rPr>
        <w:t>32.2 投标文件初审内容详见《资格性审查表》《符合性审查表》《异常低价审查表》部分。投标人若有一条审查不通过则按投标无效处理。</w:t>
      </w:r>
    </w:p>
    <w:p>
      <w:pPr>
        <w:ind w:firstLine="411" w:firstLineChars="196"/>
        <w:rPr>
          <w:rFonts w:ascii="宋体" w:hAnsi="宋体"/>
          <w:bCs/>
        </w:rPr>
      </w:pPr>
      <w:r>
        <w:rPr>
          <w:rFonts w:hint="eastAsia" w:ascii="宋体" w:hAnsi="宋体"/>
          <w:bCs/>
        </w:rPr>
        <w:t>32.3 投标文件初审中关于供应商家数的计算：</w:t>
      </w:r>
    </w:p>
    <w:p>
      <w:pPr>
        <w:ind w:firstLine="411" w:firstLineChars="196"/>
        <w:rPr>
          <w:rFonts w:ascii="宋体" w:hAnsi="宋体"/>
          <w:bCs/>
        </w:rPr>
      </w:pPr>
      <w:r>
        <w:rPr>
          <w:rFonts w:hint="eastAsia" w:ascii="宋体" w:hAnsi="宋体"/>
          <w:bCs/>
        </w:rPr>
        <w:t>32.3.1采用最低价法的采购项目，提供相同品牌产品的不同投标人参加同一合同项下投标的，以其中通过投标文件初审且报价最低的参加评标；报价相同的，由采购人或者采购人委托评审委员会按照招标文件规定的方式确定一个参加评审的投标人，招标文件未规定的采取随机抽取方式确定，其他投标无效。</w:t>
      </w:r>
    </w:p>
    <w:p>
      <w:pPr>
        <w:ind w:firstLine="411" w:firstLineChars="196"/>
        <w:rPr>
          <w:rFonts w:ascii="宋体" w:hAnsi="宋体"/>
          <w:bCs/>
        </w:rPr>
      </w:pPr>
      <w:r>
        <w:rPr>
          <w:rFonts w:hint="eastAsia" w:ascii="宋体" w:hAnsi="宋体"/>
          <w:bCs/>
        </w:rPr>
        <w:t>32.3.2采用综合评分法的采购项目，提供相同品牌产品且通过投标文件初审的不同投标人参加同一合同项下投标的，按一家投标人计算，评审后得分最高的同品牌投标人获得中标人推荐资格；评审得分相同的，由采购人或者采购人委托</w:t>
      </w:r>
      <w:r>
        <w:rPr>
          <w:rFonts w:hint="eastAsia" w:ascii="宋体" w:hAnsi="宋体"/>
          <w:bCs/>
          <w:szCs w:val="21"/>
        </w:rPr>
        <w:t>评审委员会</w:t>
      </w:r>
      <w:r>
        <w:rPr>
          <w:rFonts w:hint="eastAsia" w:ascii="宋体" w:hAnsi="宋体"/>
          <w:bCs/>
        </w:rPr>
        <w:t>按照招标文件规定的方式确定一个投标人获得中标人推荐资格，招标文件未规定的采取随机抽取方式确定，其他同品牌投标人不作为中标候选人。</w:t>
      </w:r>
    </w:p>
    <w:p>
      <w:pPr>
        <w:ind w:firstLine="411" w:firstLineChars="196"/>
        <w:rPr>
          <w:rFonts w:ascii="宋体" w:hAnsi="宋体"/>
          <w:bCs/>
        </w:rPr>
      </w:pPr>
      <w:r>
        <w:rPr>
          <w:rFonts w:hint="eastAsia" w:ascii="宋体" w:hAnsi="宋体"/>
          <w:bCs/>
        </w:rPr>
        <w:t>32.3.3非单一产品采购项目，采购人应当根据采购项目技术构成、产品价格比重等合理确定核心产品，并在招标文件中载明。多家投标人提供的核心产品品牌相同的，按前两款规定处理。</w:t>
      </w:r>
    </w:p>
    <w:p>
      <w:pPr>
        <w:ind w:firstLine="411" w:firstLineChars="196"/>
        <w:rPr>
          <w:rFonts w:ascii="宋体" w:hAnsi="宋体"/>
        </w:rPr>
      </w:pPr>
      <w:r>
        <w:rPr>
          <w:rFonts w:hint="eastAsia" w:ascii="宋体" w:hAnsi="宋体"/>
        </w:rPr>
        <w:t>32.4投标人投标文件出现以下情形之一的作无效处理，具体包括：</w:t>
      </w:r>
    </w:p>
    <w:p>
      <w:pPr>
        <w:ind w:firstLine="411" w:firstLineChars="196"/>
      </w:pPr>
      <w:r>
        <w:rPr>
          <w:rFonts w:hint="eastAsia" w:ascii="宋体" w:hAnsi="宋体"/>
        </w:rPr>
        <w:t>32.4.1</w:t>
      </w:r>
      <w:r>
        <w:rPr>
          <w:rFonts w:hint="eastAsia"/>
        </w:rPr>
        <w:t>不同投标人的投标文件由同一单位或者同一个人编制，或者由同一个人分阶段参与编制；</w:t>
      </w:r>
    </w:p>
    <w:p>
      <w:pPr>
        <w:ind w:firstLine="411" w:firstLineChars="196"/>
      </w:pPr>
      <w:r>
        <w:rPr>
          <w:rFonts w:ascii="宋体" w:hAnsi="宋体"/>
        </w:rPr>
        <w:t>32.4.</w:t>
      </w:r>
      <w:r>
        <w:rPr>
          <w:rFonts w:hint="eastAsia" w:ascii="宋体" w:hAnsi="宋体"/>
        </w:rPr>
        <w:t>2</w:t>
      </w:r>
      <w:r>
        <w:rPr>
          <w:rFonts w:hint="eastAsia"/>
        </w:rPr>
        <w:t>不同投标人委托同一单位或者个人办理投标事宜；</w:t>
      </w:r>
    </w:p>
    <w:p>
      <w:pPr>
        <w:ind w:firstLine="411" w:firstLineChars="196"/>
        <w:rPr>
          <w:rFonts w:ascii="宋体" w:hAnsi="宋体"/>
        </w:rPr>
      </w:pPr>
      <w:r>
        <w:rPr>
          <w:rFonts w:hint="eastAsia" w:ascii="宋体" w:hAnsi="宋体"/>
        </w:rPr>
        <w:t>32.4.3不同投标人的投标文件载明的项目管理成员或者联系人员为同一人；</w:t>
      </w:r>
    </w:p>
    <w:p>
      <w:pPr>
        <w:ind w:firstLine="411" w:firstLineChars="196"/>
        <w:rPr>
          <w:rFonts w:ascii="宋体" w:hAnsi="宋体"/>
        </w:rPr>
      </w:pPr>
      <w:r>
        <w:rPr>
          <w:rFonts w:hint="eastAsia" w:ascii="宋体" w:hAnsi="宋体"/>
        </w:rPr>
        <w:t>32.4.4不同投标人的投标文件异常一致或者投标报价呈规律性差异；</w:t>
      </w:r>
    </w:p>
    <w:p>
      <w:pPr>
        <w:ind w:firstLine="411" w:firstLineChars="196"/>
        <w:rPr>
          <w:rFonts w:ascii="宋体" w:hAnsi="宋体"/>
        </w:rPr>
      </w:pPr>
      <w:r>
        <w:rPr>
          <w:rFonts w:hint="eastAsia" w:ascii="宋体" w:hAnsi="宋体"/>
        </w:rPr>
        <w:t>32.4.5</w:t>
      </w:r>
      <w:r>
        <w:rPr>
          <w:rFonts w:ascii="宋体" w:hAnsi="宋体"/>
        </w:rPr>
        <w:t>不同投标供应商的投标文件或部分投标文件相互混装</w:t>
      </w:r>
      <w:r>
        <w:rPr>
          <w:rFonts w:hint="eastAsia" w:ascii="宋体" w:hAnsi="宋体"/>
        </w:rPr>
        <w:t>；</w:t>
      </w:r>
    </w:p>
    <w:p>
      <w:pPr>
        <w:ind w:firstLine="411" w:firstLineChars="196"/>
        <w:rPr>
          <w:rFonts w:ascii="宋体" w:hAnsi="宋体"/>
        </w:rPr>
      </w:pPr>
      <w:r>
        <w:rPr>
          <w:rFonts w:hint="eastAsia" w:ascii="宋体" w:hAnsi="宋体"/>
        </w:rPr>
        <w:t>32.4.6投标供应商之间相互约定给予未中标的供应商利益补偿；</w:t>
      </w:r>
    </w:p>
    <w:p>
      <w:pPr>
        <w:ind w:firstLine="411" w:firstLineChars="196"/>
        <w:rPr>
          <w:rFonts w:ascii="宋体" w:hAnsi="宋体"/>
        </w:rPr>
      </w:pPr>
      <w:r>
        <w:rPr>
          <w:rFonts w:hint="eastAsia" w:ascii="宋体" w:hAnsi="宋体"/>
        </w:rPr>
        <w:t>32.4.7不同投标供应商的法定代表人、主要经营负责人、项目投标授权代表人、项目负责人、主要技术人员为同一人、属同一单位或者同一单位缴纳社会保险；</w:t>
      </w:r>
    </w:p>
    <w:p>
      <w:pPr>
        <w:ind w:firstLine="411" w:firstLineChars="196"/>
        <w:rPr>
          <w:rFonts w:ascii="宋体" w:hAnsi="宋体"/>
        </w:rPr>
      </w:pPr>
      <w:r>
        <w:rPr>
          <w:rFonts w:hint="eastAsia" w:ascii="宋体" w:hAnsi="宋体"/>
        </w:rPr>
        <w:t>32.4.8不同投标供应商的投标文件内容存在非正常一致；</w:t>
      </w:r>
    </w:p>
    <w:p>
      <w:pPr>
        <w:ind w:firstLine="411" w:firstLineChars="196"/>
        <w:rPr>
          <w:rFonts w:ascii="宋体" w:hAnsi="宋体"/>
        </w:rPr>
      </w:pPr>
      <w:r>
        <w:rPr>
          <w:rFonts w:hint="eastAsia" w:ascii="宋体" w:hAnsi="宋体"/>
        </w:rPr>
        <w:t>32.4.9在同一单位工作人员为两家以上（含两家）供应商进行同一项投标活动；</w:t>
      </w:r>
    </w:p>
    <w:p>
      <w:pPr>
        <w:ind w:firstLine="411" w:firstLineChars="196"/>
        <w:rPr>
          <w:rFonts w:ascii="宋体" w:hAnsi="宋体"/>
        </w:rPr>
      </w:pPr>
      <w:r>
        <w:rPr>
          <w:rFonts w:hint="eastAsia" w:ascii="宋体" w:hAnsi="宋体"/>
        </w:rPr>
        <w:t>32.4.10主管部门依照法律、法规认定的其他情形。</w:t>
      </w:r>
    </w:p>
    <w:p>
      <w:pPr>
        <w:ind w:firstLine="420" w:firstLineChars="200"/>
        <w:rPr>
          <w:rFonts w:ascii="宋体" w:hAnsi="宋体"/>
          <w:color w:val="FF0000"/>
        </w:rPr>
      </w:pPr>
      <w:r>
        <w:rPr>
          <w:rFonts w:hint="eastAsia" w:ascii="宋体" w:hAnsi="宋体"/>
          <w:color w:val="FF0000"/>
        </w:rPr>
        <w:t>32.5政府采购异常低价审查的程序及要求：</w:t>
      </w:r>
    </w:p>
    <w:p>
      <w:pPr>
        <w:ind w:firstLine="420" w:firstLineChars="200"/>
        <w:rPr>
          <w:rFonts w:ascii="宋体" w:hAnsi="宋体"/>
          <w:color w:val="FF0000"/>
        </w:rPr>
      </w:pPr>
      <w:r>
        <w:rPr>
          <w:rFonts w:hint="eastAsia" w:ascii="宋体" w:hAnsi="宋体"/>
          <w:color w:val="FF0000"/>
        </w:rPr>
        <w:t>32.5.1政府采购评审中出现《异常低价审查表》中四种情形之一的，评审委员会应当启动异常低价投标（响应）审查程序。</w:t>
      </w:r>
    </w:p>
    <w:p>
      <w:pPr>
        <w:ind w:firstLine="420" w:firstLineChars="200"/>
        <w:rPr>
          <w:rFonts w:ascii="宋体" w:hAnsi="宋体"/>
          <w:color w:val="FF0000"/>
        </w:rPr>
      </w:pPr>
      <w:r>
        <w:rPr>
          <w:rFonts w:hint="eastAsia" w:ascii="宋体" w:hAnsi="宋体"/>
          <w:color w:val="FF0000"/>
        </w:rPr>
        <w:t>相关法律法规对供应商报价有规定的，从其规定。</w:t>
      </w:r>
    </w:p>
    <w:p>
      <w:pPr>
        <w:pStyle w:val="194"/>
        <w:ind w:firstLine="420" w:firstLineChars="200"/>
        <w:rPr>
          <w:rFonts w:ascii="宋体" w:hAnsi="宋体"/>
          <w:color w:val="FF0000"/>
        </w:rPr>
      </w:pPr>
      <w:r>
        <w:rPr>
          <w:rFonts w:hint="eastAsia" w:ascii="宋体" w:hAnsi="宋体"/>
          <w:color w:val="FF0000"/>
        </w:rPr>
        <w:t>32.5.2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pStyle w:val="194"/>
        <w:ind w:firstLine="420" w:firstLineChars="200"/>
        <w:rPr>
          <w:rFonts w:ascii="宋体" w:hAnsi="宋体"/>
        </w:rPr>
      </w:pPr>
      <w:r>
        <w:rPr>
          <w:rFonts w:hint="eastAsia" w:ascii="宋体" w:hAnsi="宋体"/>
          <w:color w:val="FF0000"/>
        </w:rPr>
        <w:t>32.5.3异常低价投标（响应）审查的启动原因、审查意见和审查结果应当在评审报告中记录，并随供应商提供的相关书面说明及证明材料，以及评审委员会有关互联网浏览、查询历史一并归档。</w:t>
      </w:r>
    </w:p>
    <w:p>
      <w:pPr>
        <w:ind w:firstLine="411" w:firstLineChars="196"/>
        <w:rPr>
          <w:rFonts w:ascii="宋体" w:hAnsi="宋体"/>
        </w:rPr>
      </w:pPr>
      <w:r>
        <w:rPr>
          <w:rFonts w:hint="eastAsia" w:ascii="宋体" w:hAnsi="宋体"/>
        </w:rPr>
        <w:t>32.6对不属于《资格性审查表》《符合性审查表》《异常低价审查表》所列的其他情形，除专用条款另有规定和32.4条款所列情形外，不得作为投标无效的理由。</w:t>
      </w:r>
    </w:p>
    <w:p>
      <w:pPr>
        <w:rPr>
          <w:rFonts w:ascii="黑体" w:hAnsi="宋体" w:eastAsia="黑体"/>
          <w:sz w:val="24"/>
        </w:rPr>
      </w:pPr>
      <w:r>
        <w:rPr>
          <w:rFonts w:hint="eastAsia" w:ascii="黑体" w:hAnsi="宋体" w:eastAsia="黑体"/>
          <w:sz w:val="24"/>
        </w:rPr>
        <w:t>33.澄清有关问题</w:t>
      </w:r>
    </w:p>
    <w:p>
      <w:pPr>
        <w:ind w:firstLine="411" w:firstLineChars="196"/>
        <w:rPr>
          <w:rFonts w:ascii="宋体" w:hAnsi="宋体"/>
        </w:rPr>
      </w:pPr>
      <w:bookmarkStart w:id="67" w:name="_Hlk71407321"/>
      <w:r>
        <w:rPr>
          <w:rFonts w:hint="eastAsia" w:ascii="宋体" w:hAnsi="宋体"/>
        </w:rPr>
        <w:t>3</w:t>
      </w:r>
      <w:r>
        <w:rPr>
          <w:rFonts w:ascii="宋体" w:hAnsi="宋体"/>
        </w:rPr>
        <w:t>3.1</w:t>
      </w:r>
      <w:r>
        <w:rPr>
          <w:rFonts w:hint="eastAsia" w:ascii="宋体" w:hAnsi="宋体"/>
        </w:rPr>
        <w:t>对招标文件中描述有歧义或前后不一致的地方（不含</w:t>
      </w:r>
      <w:r>
        <w:rPr>
          <w:szCs w:val="21"/>
        </w:rPr>
        <w:t>招标文件存在歧义、重大缺陷导致评</w:t>
      </w:r>
      <w:r>
        <w:rPr>
          <w:rFonts w:hint="eastAsia"/>
          <w:szCs w:val="21"/>
        </w:rPr>
        <w:t>审</w:t>
      </w:r>
      <w:r>
        <w:rPr>
          <w:szCs w:val="21"/>
        </w:rPr>
        <w:t>工作无法进行</w:t>
      </w:r>
      <w:r>
        <w:rPr>
          <w:rFonts w:hint="eastAsia"/>
          <w:szCs w:val="21"/>
        </w:rPr>
        <w:t>的情况）</w:t>
      </w:r>
      <w:r>
        <w:rPr>
          <w:rFonts w:hint="eastAsia" w:ascii="宋体" w:hAnsi="宋体"/>
        </w:rPr>
        <w:t>，评审委员会有权进行评判，但对同一条款的评判应适用于每个投标人。</w:t>
      </w:r>
      <w:bookmarkEnd w:id="67"/>
    </w:p>
    <w:p>
      <w:pPr>
        <w:ind w:firstLine="411" w:firstLineChars="196"/>
        <w:rPr>
          <w:rFonts w:ascii="宋体" w:hAnsi="宋体"/>
        </w:rPr>
      </w:pPr>
      <w:r>
        <w:rPr>
          <w:rFonts w:hint="eastAsia" w:ascii="宋体" w:hAnsi="宋体"/>
        </w:rPr>
        <w:t>3</w:t>
      </w:r>
      <w:r>
        <w:rPr>
          <w:rFonts w:ascii="宋体" w:hAnsi="宋体"/>
        </w:rPr>
        <w:t>3.2</w:t>
      </w:r>
      <w:r>
        <w:rPr>
          <w:szCs w:val="21"/>
        </w:rPr>
        <w:t>评</w:t>
      </w:r>
      <w:r>
        <w:rPr>
          <w:rFonts w:hint="eastAsia"/>
          <w:szCs w:val="21"/>
        </w:rPr>
        <w:t>审</w:t>
      </w:r>
      <w:r>
        <w:rPr>
          <w:szCs w:val="21"/>
        </w:rPr>
        <w:t>委员会发现招标文件存在歧义、重大缺陷导致评</w:t>
      </w:r>
      <w:r>
        <w:rPr>
          <w:rFonts w:hint="eastAsia"/>
          <w:szCs w:val="21"/>
        </w:rPr>
        <w:t>审</w:t>
      </w:r>
      <w:r>
        <w:rPr>
          <w:szCs w:val="21"/>
        </w:rPr>
        <w:t>工作无法进行，或者招标文件内容违反国家有关强制性规定的，应当停止评</w:t>
      </w:r>
      <w:r>
        <w:rPr>
          <w:rFonts w:hint="eastAsia"/>
          <w:szCs w:val="21"/>
        </w:rPr>
        <w:t>审</w:t>
      </w:r>
      <w:r>
        <w:rPr>
          <w:szCs w:val="21"/>
        </w:rPr>
        <w:t>工作，与</w:t>
      </w:r>
      <w:r>
        <w:rPr>
          <w:rFonts w:hint="eastAsia"/>
          <w:szCs w:val="21"/>
        </w:rPr>
        <w:t>政府集中采购机构</w:t>
      </w:r>
      <w:r>
        <w:rPr>
          <w:szCs w:val="21"/>
        </w:rPr>
        <w:t>沟通并作书面记录。</w:t>
      </w:r>
      <w:r>
        <w:rPr>
          <w:rFonts w:hint="eastAsia"/>
          <w:szCs w:val="21"/>
        </w:rPr>
        <w:t>经</w:t>
      </w:r>
      <w:r>
        <w:rPr>
          <w:szCs w:val="21"/>
        </w:rPr>
        <w:t>确认后，</w:t>
      </w:r>
      <w:r>
        <w:rPr>
          <w:rFonts w:hint="eastAsia"/>
          <w:szCs w:val="21"/>
        </w:rPr>
        <w:t>项目</w:t>
      </w:r>
      <w:r>
        <w:rPr>
          <w:szCs w:val="21"/>
        </w:rPr>
        <w:t>应当修改招标文件，重新组织采购活动。</w:t>
      </w:r>
    </w:p>
    <w:p>
      <w:pPr>
        <w:ind w:firstLine="411" w:firstLineChars="196"/>
        <w:rPr>
          <w:rFonts w:ascii="宋体" w:hAnsi="宋体"/>
        </w:rPr>
      </w:pPr>
      <w:r>
        <w:rPr>
          <w:rFonts w:ascii="宋体" w:hAnsi="宋体"/>
        </w:rPr>
        <w:t>33.3</w:t>
      </w:r>
      <w:r>
        <w:rPr>
          <w:rFonts w:hint="eastAsia" w:ascii="宋体" w:hAnsi="宋体"/>
        </w:rPr>
        <w:t>对于投标文件中含义不明确、同类问题表述不一致或者有明显文字和计算错误的内容，评审委员会应当以书面形式要求投标人作出必要的澄清、说明或者补正。</w:t>
      </w:r>
    </w:p>
    <w:p>
      <w:pPr>
        <w:ind w:firstLine="411" w:firstLineChars="196"/>
        <w:rPr>
          <w:rFonts w:ascii="宋体" w:hAnsi="宋体"/>
        </w:rPr>
      </w:pPr>
      <w:r>
        <w:rPr>
          <w:rFonts w:hint="eastAsia" w:ascii="宋体" w:hAnsi="宋体"/>
        </w:rPr>
        <w:t>投标人的澄清、说明或者补正应当采用书面形式【书面形式是指文书、信件（含电子邮件）、电报、电传、传真等形式】，并加盖公章（或者由法定代表人或其授权的代表签字）。投标人的澄清、说明或者补正不得超出投标文件的范围或者改变投标文件的实质性内容。</w:t>
      </w:r>
    </w:p>
    <w:p>
      <w:pPr>
        <w:ind w:firstLine="411" w:firstLineChars="196"/>
        <w:rPr>
          <w:rFonts w:ascii="宋体" w:hAnsi="宋体"/>
          <w:szCs w:val="21"/>
        </w:rPr>
      </w:pPr>
      <w:r>
        <w:rPr>
          <w:rFonts w:hint="eastAsia" w:ascii="宋体" w:hAnsi="宋体"/>
          <w:szCs w:val="21"/>
        </w:rPr>
        <w:t>根据本通用条款第34条，凡属于评审委员会在评审中发现的算术错误进行核实的修改不在此列。</w:t>
      </w:r>
    </w:p>
    <w:p>
      <w:pPr>
        <w:rPr>
          <w:rFonts w:ascii="黑体" w:hAnsi="宋体" w:eastAsia="黑体"/>
          <w:sz w:val="24"/>
        </w:rPr>
      </w:pPr>
      <w:bookmarkStart w:id="68" w:name="_Toc73518151"/>
      <w:bookmarkStart w:id="69" w:name="_Toc73521669"/>
      <w:bookmarkStart w:id="70" w:name="_Toc73521581"/>
      <w:bookmarkStart w:id="71" w:name="_Toc73517673"/>
      <w:bookmarkStart w:id="72" w:name="_Toc100052400"/>
      <w:r>
        <w:rPr>
          <w:rFonts w:hint="eastAsia" w:ascii="黑体" w:hAnsi="宋体" w:eastAsia="黑体"/>
          <w:sz w:val="24"/>
        </w:rPr>
        <w:t>34.错误的修正</w:t>
      </w:r>
      <w:bookmarkEnd w:id="68"/>
      <w:bookmarkEnd w:id="69"/>
      <w:bookmarkEnd w:id="70"/>
      <w:bookmarkEnd w:id="71"/>
      <w:bookmarkEnd w:id="72"/>
    </w:p>
    <w:p>
      <w:pPr>
        <w:ind w:firstLine="411" w:firstLineChars="196"/>
        <w:rPr>
          <w:rFonts w:ascii="宋体" w:hAnsi="宋体"/>
          <w:szCs w:val="21"/>
        </w:rPr>
      </w:pPr>
      <w:r>
        <w:rPr>
          <w:rFonts w:hint="eastAsia" w:ascii="宋体" w:hAnsi="宋体"/>
          <w:szCs w:val="21"/>
        </w:rPr>
        <w:t>投标文件报价出现前后不一致的，除专用条款另有规定外，按照下列规定修正：</w:t>
      </w:r>
    </w:p>
    <w:p>
      <w:pPr>
        <w:ind w:firstLine="411" w:firstLineChars="196"/>
        <w:rPr>
          <w:rFonts w:ascii="宋体" w:hAnsi="宋体"/>
          <w:szCs w:val="21"/>
        </w:rPr>
      </w:pPr>
      <w:r>
        <w:rPr>
          <w:rFonts w:hint="eastAsia" w:ascii="宋体" w:hAnsi="宋体"/>
          <w:szCs w:val="21"/>
        </w:rPr>
        <w:t>34.1投标文件中开标一览表投标报价内容与投标文件中投标报价相应内容不一致的，以开标一览表为准；</w:t>
      </w:r>
    </w:p>
    <w:p>
      <w:pPr>
        <w:ind w:firstLine="411" w:firstLineChars="196"/>
        <w:rPr>
          <w:rFonts w:ascii="宋体" w:hAnsi="宋体"/>
          <w:szCs w:val="21"/>
        </w:rPr>
      </w:pPr>
      <w:r>
        <w:rPr>
          <w:rFonts w:hint="eastAsia" w:ascii="宋体" w:hAnsi="宋体"/>
          <w:szCs w:val="21"/>
        </w:rPr>
        <w:t>34.2大写金额和小写金额不一致的，以大写金额为准；</w:t>
      </w:r>
    </w:p>
    <w:p>
      <w:pPr>
        <w:ind w:firstLine="411" w:firstLineChars="196"/>
        <w:rPr>
          <w:rFonts w:ascii="宋体" w:hAnsi="宋体"/>
          <w:szCs w:val="21"/>
        </w:rPr>
      </w:pPr>
      <w:r>
        <w:rPr>
          <w:rFonts w:hint="eastAsia" w:ascii="宋体" w:hAnsi="宋体"/>
          <w:szCs w:val="21"/>
        </w:rPr>
        <w:t>34.3单价金额小数点或者百分比有明显错位，以开标一览表的总价为准，并修改单价；</w:t>
      </w:r>
    </w:p>
    <w:p>
      <w:pPr>
        <w:ind w:firstLine="411" w:firstLineChars="196"/>
        <w:rPr>
          <w:rFonts w:ascii="宋体" w:hAnsi="宋体"/>
          <w:szCs w:val="21"/>
        </w:rPr>
      </w:pPr>
      <w:r>
        <w:rPr>
          <w:rFonts w:hint="eastAsia" w:ascii="宋体" w:hAnsi="宋体"/>
          <w:szCs w:val="21"/>
        </w:rPr>
        <w:t>34.4总价金额与按单价汇总金额不一致的，以单价金额计算结果为准。</w:t>
      </w:r>
    </w:p>
    <w:p>
      <w:pPr>
        <w:ind w:firstLine="411" w:firstLineChars="196"/>
        <w:rPr>
          <w:rFonts w:ascii="宋体" w:hAnsi="宋体"/>
          <w:szCs w:val="21"/>
        </w:rPr>
      </w:pPr>
      <w:r>
        <w:rPr>
          <w:rFonts w:hint="eastAsia" w:ascii="宋体" w:hAnsi="宋体"/>
          <w:szCs w:val="21"/>
        </w:rPr>
        <w:t>34.5同时出现两种以上不一致的，按照前款规定的顺序修正。修正后的报价按照本通用条款第33条的规定，经投标人确认后产生约束力，投标人不确认的，其投标无效。</w:t>
      </w:r>
    </w:p>
    <w:p>
      <w:pPr>
        <w:rPr>
          <w:rFonts w:ascii="黑体" w:hAnsi="宋体" w:eastAsia="黑体"/>
          <w:sz w:val="24"/>
        </w:rPr>
      </w:pPr>
      <w:r>
        <w:rPr>
          <w:rFonts w:hint="eastAsia" w:ascii="黑体" w:hAnsi="宋体" w:eastAsia="黑体"/>
          <w:sz w:val="24"/>
        </w:rPr>
        <w:t>35.投标文件的比较与评价</w:t>
      </w:r>
    </w:p>
    <w:p>
      <w:pPr>
        <w:ind w:firstLine="411" w:firstLineChars="196"/>
        <w:rPr>
          <w:rFonts w:ascii="宋体" w:hAnsi="宋体"/>
          <w:szCs w:val="21"/>
        </w:rPr>
      </w:pPr>
      <w:r>
        <w:rPr>
          <w:rFonts w:hint="eastAsia" w:ascii="宋体" w:hAnsi="宋体"/>
          <w:szCs w:val="21"/>
        </w:rPr>
        <w:t>评审委员会将按照《深圳经济特区政府采购条例》《深圳经济特区政府采购条例实施细则》《深圳市政府采购评标定标分离管理办法》及政府采购其他法律法规，仅对通过投标文件初审的投标文件进行综合比较与评价。</w:t>
      </w:r>
    </w:p>
    <w:p>
      <w:pPr>
        <w:ind w:firstLine="411" w:firstLineChars="196"/>
        <w:rPr>
          <w:rFonts w:ascii="宋体" w:hAnsi="宋体"/>
          <w:szCs w:val="21"/>
        </w:rPr>
      </w:pPr>
      <w:r>
        <w:rPr>
          <w:rFonts w:hint="eastAsia" w:ascii="宋体" w:hAnsi="宋体"/>
          <w:szCs w:val="21"/>
        </w:rPr>
        <w:t>评审委员会成员对需要共同认定的事项存在争议的，应当按照少数服从多数的原则作出结论。持不同意见的评审委员会成员应当书面作出说明，否则视为无异议。</w:t>
      </w:r>
    </w:p>
    <w:p>
      <w:pPr>
        <w:rPr>
          <w:rFonts w:ascii="黑体" w:hAnsi="宋体" w:eastAsia="黑体"/>
          <w:sz w:val="24"/>
        </w:rPr>
      </w:pPr>
      <w:r>
        <w:rPr>
          <w:rFonts w:hint="eastAsia" w:ascii="黑体" w:hAnsi="宋体" w:eastAsia="黑体"/>
          <w:sz w:val="24"/>
        </w:rPr>
        <w:t>36.评审方法</w:t>
      </w:r>
    </w:p>
    <w:p>
      <w:pPr>
        <w:ind w:firstLine="413" w:firstLineChars="196"/>
        <w:rPr>
          <w:rFonts w:ascii="宋体" w:hAnsi="宋体"/>
          <w:b/>
          <w:bCs/>
          <w:szCs w:val="21"/>
        </w:rPr>
      </w:pPr>
      <w:r>
        <w:rPr>
          <w:rFonts w:hint="eastAsia" w:ascii="宋体" w:hAnsi="宋体"/>
          <w:b/>
          <w:bCs/>
          <w:szCs w:val="21"/>
        </w:rPr>
        <w:t>36.1.1最低价法</w:t>
      </w:r>
    </w:p>
    <w:p>
      <w:pPr>
        <w:ind w:firstLine="411" w:firstLineChars="196"/>
        <w:rPr>
          <w:rFonts w:hint="eastAsia" w:ascii="ˎ̥" w:hAnsi="ˎ̥"/>
        </w:rPr>
      </w:pPr>
      <w:bookmarkStart w:id="73" w:name="_Hlk72438142"/>
      <w:r>
        <w:rPr>
          <w:rFonts w:ascii="ˎ̥" w:hAnsi="ˎ̥"/>
        </w:rPr>
        <w:t>最低价法，是指</w:t>
      </w:r>
      <w:r>
        <w:rPr>
          <w:rFonts w:hint="eastAsia" w:ascii="ˎ̥" w:hAnsi="ˎ̥"/>
        </w:rPr>
        <w:t>完全</w:t>
      </w:r>
      <w:r>
        <w:rPr>
          <w:rFonts w:ascii="ˎ̥" w:hAnsi="ˎ̥"/>
        </w:rPr>
        <w:t>满足招标文件实质性要求，</w:t>
      </w:r>
      <w:r>
        <w:rPr>
          <w:rFonts w:hint="eastAsia" w:ascii="ˎ̥" w:hAnsi="ˎ̥"/>
        </w:rPr>
        <w:t>按照报价由低到高的顺序，依据招标文件中规定的数量或者比例推荐候选中标供应商。</w:t>
      </w:r>
    </w:p>
    <w:p>
      <w:pPr>
        <w:ind w:firstLine="411" w:firstLineChars="196"/>
        <w:rPr>
          <w:rFonts w:hint="eastAsia" w:ascii="ˎ̥" w:hAnsi="ˎ̥"/>
        </w:rPr>
      </w:pPr>
      <w:r>
        <w:rPr>
          <w:rFonts w:hint="eastAsia" w:ascii="ˎ̥" w:hAnsi="ˎ̥"/>
        </w:rPr>
        <w:t>采用最低价法的，评标结果按投标报价由低到高顺序排列。投标报价相同的并列。投标文件满足招标文件全部实质性要求且投标报价最低的投标人为排名第一的中标候选人（如中标候选人数量为2家或以上的，则排名</w:t>
      </w:r>
      <w:r>
        <w:rPr>
          <w:rFonts w:ascii="ˎ̥" w:hAnsi="ˎ̥"/>
        </w:rPr>
        <w:t>第二</w:t>
      </w:r>
      <w:r>
        <w:rPr>
          <w:rFonts w:hint="eastAsia" w:ascii="ˎ̥" w:hAnsi="ˎ̥"/>
        </w:rPr>
        <w:t>的投标人为第一替补中标候选人、排名</w:t>
      </w:r>
      <w:r>
        <w:rPr>
          <w:rFonts w:ascii="ˎ̥" w:hAnsi="ˎ̥"/>
        </w:rPr>
        <w:t>第</w:t>
      </w:r>
      <w:r>
        <w:rPr>
          <w:rFonts w:hint="eastAsia" w:ascii="ˎ̥" w:hAnsi="ˎ̥"/>
        </w:rPr>
        <w:t>三的投标人为第二替补中标候选人，以此类推）。中标候选人并列的，由采购人或者采购人委托评标委员会按照招标文件规定的方式确定中标人；招标文件未规定的，采取随机抽取的方式确定，具体操作办法及流程由评审委员会确定。</w:t>
      </w:r>
    </w:p>
    <w:p>
      <w:pPr>
        <w:ind w:firstLine="413" w:firstLineChars="196"/>
        <w:rPr>
          <w:rFonts w:ascii="宋体" w:hAnsi="宋体"/>
          <w:b/>
          <w:bCs/>
          <w:szCs w:val="21"/>
        </w:rPr>
      </w:pPr>
      <w:r>
        <w:rPr>
          <w:rFonts w:hint="eastAsia" w:ascii="宋体" w:hAnsi="宋体"/>
          <w:b/>
          <w:bCs/>
          <w:szCs w:val="21"/>
        </w:rPr>
        <w:t>36.1.2综合评分法</w:t>
      </w:r>
    </w:p>
    <w:p>
      <w:pPr>
        <w:ind w:firstLine="411" w:firstLineChars="196"/>
        <w:rPr>
          <w:rFonts w:hint="eastAsia" w:ascii="ˎ̥" w:hAnsi="ˎ̥"/>
        </w:rPr>
      </w:pPr>
      <w:r>
        <w:rPr>
          <w:rFonts w:ascii="ˎ̥" w:hAnsi="ˎ̥"/>
        </w:rPr>
        <w:t>综合评分法，是指</w:t>
      </w:r>
      <w:r>
        <w:rPr>
          <w:rFonts w:hint="eastAsia" w:ascii="ˎ̥" w:hAnsi="ˎ̥"/>
        </w:rPr>
        <w:t>在</w:t>
      </w:r>
      <w:r>
        <w:rPr>
          <w:rFonts w:ascii="ˎ̥" w:hAnsi="ˎ̥"/>
        </w:rPr>
        <w:t>满足招标文件全部实质性要求</w:t>
      </w:r>
      <w:r>
        <w:rPr>
          <w:rFonts w:hint="eastAsia" w:ascii="ˎ̥" w:hAnsi="ˎ̥"/>
        </w:rPr>
        <w:t>的前提下</w:t>
      </w:r>
      <w:r>
        <w:rPr>
          <w:rFonts w:ascii="ˎ̥" w:hAnsi="ˎ̥"/>
        </w:rPr>
        <w:t>，</w:t>
      </w:r>
      <w:r>
        <w:rPr>
          <w:rFonts w:hint="eastAsia" w:ascii="ˎ̥" w:hAnsi="ˎ̥"/>
        </w:rPr>
        <w:t>按照招标文件中规定的各项因素进行综合评审，评审总得分排名前列的投标人，作为推荐的候选中标供应商。</w:t>
      </w:r>
      <w:bookmarkEnd w:id="73"/>
    </w:p>
    <w:p>
      <w:pPr>
        <w:pStyle w:val="2"/>
        <w:spacing w:line="240" w:lineRule="auto"/>
        <w:ind w:firstLine="420" w:firstLineChars="200"/>
        <w:rPr>
          <w:rFonts w:hint="eastAsia" w:ascii="ˎ̥" w:hAnsi="ˎ̥"/>
          <w:b w:val="0"/>
          <w:bCs w:val="0"/>
          <w:sz w:val="21"/>
        </w:rPr>
      </w:pPr>
      <w:r>
        <w:rPr>
          <w:rFonts w:hint="eastAsia" w:ascii="ˎ̥" w:hAnsi="ˎ̥"/>
          <w:b w:val="0"/>
          <w:bCs w:val="0"/>
          <w:sz w:val="21"/>
        </w:rPr>
        <w:t>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如中标候选人数量为2家或以上的，则排名第二的投标人为第一替补中标候选人、排名第三的投标人为第二替补中标候选人，以此类推）。中标候选人并列的，由采购人或者采购人委托评标委员会按照招标文件规定的方式确定中标人；招标文件未规定的，采取随机抽取的方式确定，具体操作办法及流程由评审委员会确定。</w:t>
      </w:r>
    </w:p>
    <w:p>
      <w:pPr>
        <w:ind w:firstLine="411" w:firstLineChars="196"/>
        <w:rPr>
          <w:rFonts w:ascii="宋体" w:hAnsi="宋体"/>
          <w:b/>
          <w:bCs/>
          <w:szCs w:val="21"/>
        </w:rPr>
      </w:pPr>
      <w:r>
        <w:rPr>
          <w:rFonts w:hint="eastAsia" w:ascii="ˎ̥" w:hAnsi="ˎ̥"/>
        </w:rPr>
        <w:t>3</w:t>
      </w:r>
      <w:r>
        <w:rPr>
          <w:rFonts w:hint="eastAsia" w:ascii="宋体" w:hAnsi="宋体"/>
          <w:b/>
          <w:bCs/>
          <w:szCs w:val="21"/>
        </w:rPr>
        <w:t>6.2 本项目采用的评审方法见本项目招标文件第一册“专用条款”的相关内容。</w:t>
      </w:r>
    </w:p>
    <w:p>
      <w:pPr>
        <w:ind w:firstLine="413" w:firstLineChars="196"/>
        <w:rPr>
          <w:rFonts w:ascii="宋体" w:hAnsi="宋体"/>
          <w:b/>
          <w:bCs/>
          <w:szCs w:val="21"/>
        </w:rPr>
      </w:pPr>
      <w:r>
        <w:rPr>
          <w:rFonts w:hint="eastAsia" w:ascii="宋体" w:hAnsi="宋体"/>
          <w:b/>
          <w:bCs/>
          <w:szCs w:val="21"/>
        </w:rPr>
        <w:t>36.3重新评审的情形</w:t>
      </w:r>
    </w:p>
    <w:p>
      <w:pPr>
        <w:ind w:firstLine="411" w:firstLineChars="196"/>
        <w:rPr>
          <w:rFonts w:ascii="宋体" w:hAnsi="宋体"/>
          <w:b/>
          <w:bCs/>
          <w:szCs w:val="21"/>
        </w:rPr>
      </w:pPr>
      <w:r>
        <w:rPr>
          <w:rFonts w:hint="eastAsia" w:ascii="宋体" w:hAnsi="宋体" w:cs="宋体"/>
          <w:kern w:val="0"/>
          <w:szCs w:val="21"/>
        </w:rPr>
        <w:t>评审结果汇总完成后，除下列情形外，任何人不得修改评审结果：</w:t>
      </w:r>
    </w:p>
    <w:p>
      <w:pPr>
        <w:ind w:firstLine="411" w:firstLineChars="196"/>
        <w:rPr>
          <w:rFonts w:ascii="宋体" w:hAnsi="宋体" w:cs="宋体"/>
          <w:kern w:val="0"/>
          <w:szCs w:val="21"/>
        </w:rPr>
      </w:pPr>
      <w:r>
        <w:rPr>
          <w:rFonts w:hint="eastAsia" w:ascii="宋体" w:hAnsi="宋体" w:cs="宋体"/>
          <w:kern w:val="0"/>
          <w:szCs w:val="21"/>
        </w:rPr>
        <w:t>36.3.1分值汇总计算错误的；</w:t>
      </w:r>
    </w:p>
    <w:p>
      <w:pPr>
        <w:ind w:firstLine="411" w:firstLineChars="196"/>
        <w:rPr>
          <w:rFonts w:ascii="宋体" w:hAnsi="宋体" w:cs="宋体"/>
          <w:kern w:val="0"/>
          <w:szCs w:val="21"/>
        </w:rPr>
      </w:pPr>
      <w:r>
        <w:rPr>
          <w:rFonts w:hint="eastAsia" w:ascii="宋体" w:hAnsi="宋体" w:cs="宋体"/>
          <w:kern w:val="0"/>
          <w:szCs w:val="21"/>
        </w:rPr>
        <w:t>36.3.2分项评分超出评分标准范围的；</w:t>
      </w:r>
    </w:p>
    <w:p>
      <w:pPr>
        <w:ind w:firstLine="411" w:firstLineChars="196"/>
        <w:rPr>
          <w:rFonts w:ascii="宋体" w:hAnsi="宋体" w:cs="宋体"/>
          <w:kern w:val="0"/>
          <w:szCs w:val="21"/>
        </w:rPr>
      </w:pPr>
      <w:r>
        <w:rPr>
          <w:rFonts w:hint="eastAsia" w:ascii="宋体" w:hAnsi="宋体" w:cs="宋体"/>
          <w:kern w:val="0"/>
          <w:szCs w:val="21"/>
        </w:rPr>
        <w:t>36.3.3评审委员会成员对客观评审因素评分不一致的；</w:t>
      </w:r>
    </w:p>
    <w:p>
      <w:pPr>
        <w:ind w:firstLine="411" w:firstLineChars="196"/>
        <w:rPr>
          <w:rFonts w:ascii="宋体" w:hAnsi="宋体" w:cs="宋体"/>
          <w:kern w:val="0"/>
          <w:szCs w:val="21"/>
        </w:rPr>
      </w:pPr>
      <w:r>
        <w:rPr>
          <w:rFonts w:hint="eastAsia" w:ascii="宋体" w:hAnsi="宋体" w:cs="宋体"/>
          <w:kern w:val="0"/>
          <w:szCs w:val="21"/>
        </w:rPr>
        <w:t>36.3.4经评审委员会认定评分畸高、畸低的。</w:t>
      </w:r>
    </w:p>
    <w:p>
      <w:pPr>
        <w:ind w:firstLine="411" w:firstLineChars="196"/>
        <w:rPr>
          <w:rFonts w:ascii="宋体" w:hAnsi="宋体" w:cs="宋体"/>
          <w:kern w:val="0"/>
          <w:szCs w:val="21"/>
        </w:rPr>
      </w:pPr>
      <w:r>
        <w:rPr>
          <w:rFonts w:hint="eastAsia" w:ascii="宋体" w:hAnsi="宋体" w:cs="宋体"/>
          <w:kern w:val="0"/>
          <w:szCs w:val="21"/>
        </w:rPr>
        <w:t>评审报告签署前，经复核发现存在以上情形之一的，评审委员会应当当场修改评审结果，并进行书面记载；评审报告签署后，采购人或者采购代理机构发现存在以上情形之一的，应当组织原评审委员会进行重新评审，重新评审改变评审结果的，书面报告本级财政部门。</w:t>
      </w:r>
    </w:p>
    <w:p>
      <w:pPr>
        <w:ind w:firstLine="411" w:firstLineChars="196"/>
        <w:rPr>
          <w:rFonts w:ascii="宋体" w:hAnsi="宋体" w:cs="宋体"/>
          <w:kern w:val="0"/>
          <w:szCs w:val="21"/>
        </w:rPr>
      </w:pPr>
      <w:r>
        <w:rPr>
          <w:rFonts w:hint="eastAsia" w:ascii="宋体" w:hAnsi="宋体" w:cs="宋体"/>
          <w:kern w:val="0"/>
          <w:szCs w:val="21"/>
        </w:rPr>
        <w:t>投标人对本条第一款情形提出质疑的，采购人或者采购代理机构可以组织原评审委员会进行重新评审，重新评审改变评审结果的，应当书面报告本级财政部门。</w:t>
      </w:r>
    </w:p>
    <w:p>
      <w:pPr>
        <w:ind w:firstLine="413" w:firstLineChars="196"/>
        <w:rPr>
          <w:rFonts w:ascii="宋体" w:hAnsi="宋体"/>
          <w:b/>
          <w:bCs/>
          <w:szCs w:val="21"/>
        </w:rPr>
      </w:pPr>
      <w:r>
        <w:rPr>
          <w:rFonts w:hint="eastAsia" w:ascii="宋体" w:hAnsi="宋体"/>
          <w:b/>
          <w:bCs/>
          <w:szCs w:val="21"/>
        </w:rPr>
        <w:t>36.4重新组建评审委员会的情形</w:t>
      </w:r>
    </w:p>
    <w:p>
      <w:pPr>
        <w:ind w:firstLine="411" w:firstLineChars="196"/>
        <w:rPr>
          <w:rFonts w:ascii="宋体" w:hAnsi="宋体" w:cs="宋体"/>
          <w:kern w:val="0"/>
          <w:szCs w:val="21"/>
        </w:rPr>
      </w:pPr>
      <w:r>
        <w:rPr>
          <w:rFonts w:hint="eastAsia" w:ascii="宋体" w:hAnsi="宋体" w:cs="宋体"/>
          <w:kern w:val="0"/>
          <w:szCs w:val="21"/>
        </w:rPr>
        <w:t>评审委员会或者其成员存在下列情形导致评审结果无效的，重新组建评审委员会进行评标，并书面报告本级财政部门：</w:t>
      </w:r>
    </w:p>
    <w:p>
      <w:pPr>
        <w:ind w:firstLine="411" w:firstLineChars="196"/>
        <w:rPr>
          <w:rFonts w:ascii="宋体" w:hAnsi="宋体" w:cs="宋体"/>
          <w:kern w:val="0"/>
          <w:szCs w:val="21"/>
        </w:rPr>
      </w:pPr>
      <w:r>
        <w:rPr>
          <w:rFonts w:hint="eastAsia" w:ascii="宋体" w:hAnsi="宋体" w:cs="宋体"/>
          <w:kern w:val="0"/>
          <w:szCs w:val="21"/>
        </w:rPr>
        <w:t>36.4.1评审委员会组成不符合《政府采购货物和服务招标投标管理办法》规定的；</w:t>
      </w:r>
    </w:p>
    <w:p>
      <w:pPr>
        <w:ind w:firstLine="411" w:firstLineChars="196"/>
        <w:rPr>
          <w:rFonts w:ascii="宋体" w:hAnsi="宋体" w:cs="宋体"/>
          <w:kern w:val="0"/>
          <w:szCs w:val="21"/>
        </w:rPr>
      </w:pPr>
      <w:r>
        <w:rPr>
          <w:rFonts w:hint="eastAsia" w:ascii="宋体" w:hAnsi="宋体" w:cs="宋体"/>
          <w:kern w:val="0"/>
          <w:szCs w:val="21"/>
        </w:rPr>
        <w:t>36.4.2有《政府采购货物和服务招标投标管理办法》第六十二条第一至五项情形的；</w:t>
      </w:r>
    </w:p>
    <w:p>
      <w:pPr>
        <w:ind w:firstLine="411" w:firstLineChars="196"/>
        <w:rPr>
          <w:rFonts w:ascii="宋体" w:hAnsi="宋体" w:cs="宋体"/>
          <w:kern w:val="0"/>
          <w:szCs w:val="21"/>
        </w:rPr>
      </w:pPr>
      <w:r>
        <w:rPr>
          <w:rFonts w:hint="eastAsia" w:ascii="宋体" w:hAnsi="宋体" w:cs="宋体"/>
          <w:kern w:val="0"/>
          <w:szCs w:val="21"/>
        </w:rPr>
        <w:t>36.4.3评审委员会及其成员独立评标受到非法干预的；</w:t>
      </w:r>
    </w:p>
    <w:p>
      <w:pPr>
        <w:ind w:firstLine="411" w:firstLineChars="196"/>
        <w:rPr>
          <w:rFonts w:ascii="宋体" w:hAnsi="宋体" w:cs="宋体"/>
          <w:kern w:val="0"/>
          <w:szCs w:val="21"/>
        </w:rPr>
      </w:pPr>
      <w:r>
        <w:rPr>
          <w:rFonts w:hint="eastAsia" w:ascii="宋体" w:hAnsi="宋体" w:cs="宋体"/>
          <w:kern w:val="0"/>
          <w:szCs w:val="21"/>
        </w:rPr>
        <w:t>36.4.4有政府采购法实施条例第七十五条规定的违法行为的。</w:t>
      </w:r>
    </w:p>
    <w:p>
      <w:pPr>
        <w:ind w:firstLine="411" w:firstLineChars="196"/>
        <w:rPr>
          <w:rFonts w:ascii="宋体" w:hAnsi="宋体" w:cs="宋体"/>
          <w:kern w:val="0"/>
          <w:szCs w:val="21"/>
        </w:rPr>
      </w:pPr>
      <w:r>
        <w:rPr>
          <w:rFonts w:hint="eastAsia" w:ascii="宋体" w:hAnsi="宋体" w:cs="宋体"/>
          <w:kern w:val="0"/>
          <w:szCs w:val="21"/>
        </w:rPr>
        <w:t>有违法违规行为的原评审委员会成员不得参加重新组建的评审委员会。</w:t>
      </w:r>
    </w:p>
    <w:p>
      <w:pPr>
        <w:ind w:firstLine="411" w:firstLineChars="196"/>
        <w:rPr>
          <w:rFonts w:ascii="宋体" w:hAnsi="宋体"/>
          <w:szCs w:val="21"/>
        </w:rPr>
      </w:pPr>
    </w:p>
    <w:p>
      <w:pPr>
        <w:pStyle w:val="7"/>
        <w:numPr>
          <w:ilvl w:val="0"/>
          <w:numId w:val="16"/>
        </w:numPr>
        <w:spacing w:before="120" w:beforeLines="50" w:after="120" w:afterLines="50"/>
        <w:ind w:left="562" w:hanging="562"/>
        <w:rPr>
          <w:sz w:val="28"/>
          <w:szCs w:val="28"/>
        </w:rPr>
      </w:pPr>
      <w:r>
        <w:rPr>
          <w:rFonts w:hint="eastAsia"/>
          <w:sz w:val="28"/>
          <w:szCs w:val="28"/>
        </w:rPr>
        <w:t>定标及公示</w:t>
      </w:r>
    </w:p>
    <w:p>
      <w:pPr>
        <w:rPr>
          <w:rFonts w:ascii="黑体" w:hAnsi="宋体" w:eastAsia="黑体"/>
          <w:sz w:val="24"/>
        </w:rPr>
      </w:pPr>
      <w:r>
        <w:rPr>
          <w:rFonts w:hint="eastAsia" w:ascii="黑体" w:hAnsi="宋体" w:eastAsia="黑体"/>
          <w:sz w:val="24"/>
        </w:rPr>
        <w:t>37.定标方法</w:t>
      </w:r>
    </w:p>
    <w:p>
      <w:pPr>
        <w:ind w:firstLine="411" w:firstLineChars="196"/>
        <w:rPr>
          <w:rFonts w:ascii="宋体" w:hAnsi="宋体"/>
          <w:szCs w:val="21"/>
        </w:rPr>
      </w:pPr>
      <w:r>
        <w:rPr>
          <w:rFonts w:hint="eastAsia" w:ascii="宋体" w:hAnsi="宋体"/>
          <w:szCs w:val="21"/>
        </w:rPr>
        <w:t>37.1非评定分离项目定标方法</w:t>
      </w:r>
    </w:p>
    <w:p>
      <w:pPr>
        <w:ind w:firstLine="411" w:firstLineChars="196"/>
        <w:rPr>
          <w:rFonts w:ascii="宋体" w:hAnsi="宋体"/>
          <w:szCs w:val="21"/>
        </w:rPr>
      </w:pPr>
      <w:r>
        <w:rPr>
          <w:rFonts w:hint="eastAsia" w:ascii="宋体" w:hAnsi="宋体"/>
          <w:szCs w:val="21"/>
        </w:rPr>
        <w:t>37</w:t>
      </w:r>
      <w:r>
        <w:rPr>
          <w:rFonts w:ascii="宋体" w:hAnsi="宋体"/>
          <w:szCs w:val="21"/>
        </w:rPr>
        <w:t>.</w:t>
      </w:r>
      <w:r>
        <w:rPr>
          <w:rFonts w:hint="eastAsia" w:ascii="宋体" w:hAnsi="宋体"/>
          <w:szCs w:val="21"/>
        </w:rPr>
        <w:t>1.1评审委员会依据本项目招标文件所约定的评审方法进行评审和比较，向政府集中采购机构提交书面评审报告，并根据评审方法比较评价结果从优到劣进行排序，确定候选中标供应商。</w:t>
      </w:r>
    </w:p>
    <w:p>
      <w:pPr>
        <w:ind w:firstLine="411" w:firstLineChars="196"/>
        <w:rPr>
          <w:rFonts w:hint="eastAsia" w:ascii="ˎ̥" w:hAnsi="ˎ̥"/>
        </w:rPr>
      </w:pPr>
      <w:r>
        <w:rPr>
          <w:rFonts w:hint="eastAsia" w:ascii="宋体" w:hAnsi="宋体"/>
          <w:szCs w:val="21"/>
        </w:rPr>
        <w:t>37</w:t>
      </w:r>
      <w:r>
        <w:rPr>
          <w:rFonts w:ascii="宋体" w:hAnsi="宋体"/>
          <w:szCs w:val="21"/>
        </w:rPr>
        <w:t>.</w:t>
      </w:r>
      <w:r>
        <w:rPr>
          <w:rFonts w:hint="eastAsia" w:ascii="宋体" w:hAnsi="宋体"/>
          <w:szCs w:val="21"/>
        </w:rPr>
        <w:t>1.2</w:t>
      </w:r>
      <w:r>
        <w:rPr>
          <w:rFonts w:hint="eastAsia" w:ascii="ˎ̥" w:hAnsi="ˎ̥"/>
        </w:rPr>
        <w:t>采用最低价法的，评标结果按投标报价由低到高顺序排列。投标报价相同的并列。投标文件满足招标文件全部实质性要求且投标报价最低的投标人为排名第一的中标候选人（如中标候选人数量为2家或以上的，则排名</w:t>
      </w:r>
      <w:r>
        <w:rPr>
          <w:rFonts w:ascii="ˎ̥" w:hAnsi="ˎ̥"/>
        </w:rPr>
        <w:t>第二</w:t>
      </w:r>
      <w:r>
        <w:rPr>
          <w:rFonts w:hint="eastAsia" w:ascii="ˎ̥" w:hAnsi="ˎ̥"/>
        </w:rPr>
        <w:t>的投标人为第一替补中标候选人、排名</w:t>
      </w:r>
      <w:r>
        <w:rPr>
          <w:rFonts w:ascii="ˎ̥" w:hAnsi="ˎ̥"/>
        </w:rPr>
        <w:t>第</w:t>
      </w:r>
      <w:r>
        <w:rPr>
          <w:rFonts w:hint="eastAsia" w:ascii="ˎ̥" w:hAnsi="ˎ̥"/>
        </w:rPr>
        <w:t>三的投标人为第二替补中标候选人，以此类推）。中标候选人并列的，由采购人或者采购人委托评标委员会按照招标文件规定的方式确定中标人；招标文件未规定的，采取随机抽取的方式确定，具体操作办法及流程由评审委员会确定。</w:t>
      </w:r>
    </w:p>
    <w:p>
      <w:pPr>
        <w:ind w:firstLine="210" w:firstLineChars="100"/>
        <w:rPr>
          <w:rFonts w:hint="eastAsia" w:ascii="ˎ̥" w:hAnsi="ˎ̥"/>
        </w:rPr>
      </w:pPr>
      <w:r>
        <w:rPr>
          <w:rFonts w:hint="eastAsia" w:ascii="宋体" w:hAnsi="宋体"/>
          <w:szCs w:val="21"/>
        </w:rPr>
        <w:t>37</w:t>
      </w:r>
      <w:r>
        <w:rPr>
          <w:rFonts w:ascii="宋体" w:hAnsi="宋体"/>
          <w:szCs w:val="21"/>
        </w:rPr>
        <w:t>.</w:t>
      </w:r>
      <w:r>
        <w:rPr>
          <w:rFonts w:hint="eastAsia" w:ascii="宋体" w:hAnsi="宋体"/>
          <w:szCs w:val="21"/>
        </w:rPr>
        <w:t>1.3</w:t>
      </w:r>
      <w:r>
        <w:rPr>
          <w:rFonts w:hint="eastAsia" w:ascii="ˎ̥" w:hAnsi="ˎ̥"/>
        </w:rPr>
        <w:t>采用综合评分法的，评标结果按评审后得分由高到低顺序排列。得分相同的，按投标报价由低到高顺序排列。得分且投标报价相同的并列。</w:t>
      </w:r>
    </w:p>
    <w:p>
      <w:pPr>
        <w:ind w:firstLine="420" w:firstLineChars="200"/>
        <w:rPr>
          <w:rFonts w:hint="eastAsia" w:ascii="ˎ̥" w:hAnsi="ˎ̥"/>
        </w:rPr>
      </w:pPr>
      <w:r>
        <w:rPr>
          <w:rFonts w:ascii="ˎ̥" w:hAnsi="ˎ̥"/>
        </w:rPr>
        <w:t>投标文件满足招标文件全部实质性要求，且按照评审因素的量化指标评审得分最高的投标人</w:t>
      </w:r>
      <w:r>
        <w:rPr>
          <w:rFonts w:hint="eastAsia" w:ascii="ˎ̥" w:hAnsi="ˎ̥"/>
        </w:rPr>
        <w:t>为中标供应商</w:t>
      </w:r>
      <w:r>
        <w:rPr>
          <w:rFonts w:ascii="ˎ̥" w:hAnsi="ˎ̥"/>
        </w:rPr>
        <w:t>（</w:t>
      </w:r>
      <w:r>
        <w:rPr>
          <w:rFonts w:hint="eastAsia" w:ascii="ˎ̥" w:hAnsi="ˎ̥"/>
        </w:rPr>
        <w:t>排名</w:t>
      </w:r>
      <w:r>
        <w:rPr>
          <w:rFonts w:ascii="ˎ̥" w:hAnsi="ˎ̥"/>
        </w:rPr>
        <w:t>第二</w:t>
      </w:r>
      <w:r>
        <w:rPr>
          <w:rFonts w:hint="eastAsia" w:ascii="ˎ̥" w:hAnsi="ˎ̥"/>
        </w:rPr>
        <w:t>的投标人为第一替补中标候选人、排名</w:t>
      </w:r>
      <w:r>
        <w:rPr>
          <w:rFonts w:ascii="ˎ̥" w:hAnsi="ˎ̥"/>
        </w:rPr>
        <w:t>第</w:t>
      </w:r>
      <w:r>
        <w:rPr>
          <w:rFonts w:hint="eastAsia" w:ascii="ˎ̥" w:hAnsi="ˎ̥"/>
        </w:rPr>
        <w:t>三的投标人为第二替补中标候选人</w:t>
      </w:r>
      <w:r>
        <w:rPr>
          <w:rFonts w:ascii="ˎ̥" w:hAnsi="ˎ̥"/>
        </w:rPr>
        <w:t>）。</w:t>
      </w:r>
      <w:r>
        <w:rPr>
          <w:rFonts w:hint="eastAsia" w:ascii="ˎ̥" w:hAnsi="ˎ̥"/>
        </w:rPr>
        <w:t>出现</w:t>
      </w:r>
      <w:r>
        <w:rPr>
          <w:rFonts w:ascii="ˎ̥" w:hAnsi="ˎ̥"/>
        </w:rPr>
        <w:t>得分且投标报价相同的并列</w:t>
      </w:r>
      <w:r>
        <w:rPr>
          <w:rFonts w:hint="eastAsia" w:ascii="ˎ̥" w:hAnsi="ˎ̥"/>
        </w:rPr>
        <w:t>情况时，采取随机抽取的方式确定，具体操作办法及流程由评审委员会确定。</w:t>
      </w:r>
      <w:r>
        <w:rPr>
          <w:rFonts w:hint="eastAsia"/>
          <w:b/>
          <w:bCs/>
        </w:rPr>
        <w:t>如排名第一的中标候选人被认定投标或中标无效，符合法定情形时，依法顺次替补；合格供应商不符合法定数量时，应当重新开展采购活动。</w:t>
      </w:r>
    </w:p>
    <w:p>
      <w:pPr>
        <w:ind w:firstLine="411" w:firstLineChars="196"/>
        <w:rPr>
          <w:rFonts w:ascii="宋体" w:hAnsi="宋体"/>
          <w:szCs w:val="21"/>
        </w:rPr>
      </w:pPr>
      <w:r>
        <w:rPr>
          <w:rFonts w:hint="eastAsia" w:ascii="宋体" w:hAnsi="宋体"/>
          <w:szCs w:val="21"/>
        </w:rPr>
        <w:t>37.2</w:t>
      </w:r>
      <w:bookmarkStart w:id="74" w:name="_Hlk218843798"/>
      <w:r>
        <w:rPr>
          <w:rFonts w:hint="eastAsia" w:ascii="宋体" w:hAnsi="宋体"/>
          <w:szCs w:val="21"/>
        </w:rPr>
        <w:t>评定分离</w:t>
      </w:r>
      <w:bookmarkEnd w:id="74"/>
      <w:r>
        <w:rPr>
          <w:rFonts w:hint="eastAsia" w:ascii="宋体" w:hAnsi="宋体"/>
          <w:szCs w:val="21"/>
        </w:rPr>
        <w:t>项目定标方法</w:t>
      </w:r>
    </w:p>
    <w:p>
      <w:pPr>
        <w:ind w:firstLine="411" w:firstLineChars="196"/>
        <w:rPr>
          <w:rFonts w:ascii="宋体" w:hAnsi="宋体"/>
          <w:szCs w:val="21"/>
        </w:rPr>
      </w:pPr>
      <w:r>
        <w:rPr>
          <w:rFonts w:hint="eastAsia" w:ascii="宋体" w:hAnsi="宋体"/>
          <w:szCs w:val="21"/>
        </w:rPr>
        <w:t>37.2.1评定分离是指在政府集中采购程序中，以公开招标方式执行采购，评审委员会负责对投标文件进行评审、推荐候选中标供应商并出具书面评审报告，由采购人根据评审委员会出具的评审报告从推荐的候选中标供应商中确定中标供应商。单个项目需要确定多家中标供应商的，不适用评定分离。</w:t>
      </w:r>
    </w:p>
    <w:p>
      <w:pPr>
        <w:ind w:firstLine="411" w:firstLineChars="196"/>
      </w:pPr>
      <w:r>
        <w:rPr>
          <w:rFonts w:ascii="宋体" w:hAnsi="宋体"/>
          <w:szCs w:val="21"/>
        </w:rPr>
        <w:t>3</w:t>
      </w:r>
      <w:r>
        <w:rPr>
          <w:rFonts w:hint="eastAsia" w:ascii="宋体" w:hAnsi="宋体"/>
          <w:szCs w:val="21"/>
        </w:rPr>
        <w:t>7</w:t>
      </w:r>
      <w:r>
        <w:rPr>
          <w:rFonts w:ascii="宋体" w:hAnsi="宋体"/>
          <w:szCs w:val="21"/>
        </w:rPr>
        <w:t xml:space="preserve">.2.2 </w:t>
      </w:r>
      <w:bookmarkStart w:id="75" w:name="_Hlk71469733"/>
      <w:r>
        <w:t>适用评定分离的政府采购项目，采用综合评分法评</w:t>
      </w:r>
      <w:r>
        <w:rPr>
          <w:rFonts w:hint="eastAsia"/>
        </w:rPr>
        <w:t>审。</w:t>
      </w:r>
      <w:r>
        <w:rPr>
          <w:rFonts w:hint="eastAsia" w:ascii="宋体" w:hAnsi="宋体"/>
          <w:szCs w:val="21"/>
        </w:rPr>
        <w:t>评审委员会按照评审结果，推荐</w:t>
      </w:r>
      <w:r>
        <w:t>三个合格的候选中标供应商。</w:t>
      </w:r>
    </w:p>
    <w:p>
      <w:pPr>
        <w:ind w:firstLine="411" w:firstLineChars="196"/>
        <w:rPr>
          <w:rFonts w:ascii="宋体" w:hAnsi="宋体"/>
          <w:szCs w:val="21"/>
        </w:rPr>
      </w:pPr>
      <w:r>
        <w:rPr>
          <w:rFonts w:hint="eastAsia" w:ascii="宋体" w:hAnsi="宋体"/>
          <w:szCs w:val="21"/>
        </w:rPr>
        <w:t>37.2.3</w:t>
      </w:r>
      <w:bookmarkStart w:id="76" w:name="_Hlk71469688"/>
      <w:r>
        <w:t>适用评定分离的政府采购项目，</w:t>
      </w:r>
      <w:r>
        <w:rPr>
          <w:rFonts w:hint="eastAsia" w:ascii="宋体" w:hAnsi="宋体"/>
          <w:szCs w:val="21"/>
        </w:rPr>
        <w:t>按照自定法确定中标供应商：自定法是指采购人组织定标委员会，由定标委员会在三家候选中标供应商中确定中标供应商。</w:t>
      </w:r>
      <w:bookmarkEnd w:id="75"/>
      <w:bookmarkEnd w:id="76"/>
    </w:p>
    <w:p>
      <w:pPr>
        <w:ind w:firstLine="411" w:firstLineChars="196"/>
        <w:rPr>
          <w:rFonts w:ascii="宋体" w:hAnsi="宋体"/>
          <w:szCs w:val="21"/>
        </w:rPr>
      </w:pPr>
      <w:r>
        <w:rPr>
          <w:rFonts w:ascii="宋体" w:hAnsi="宋体"/>
          <w:szCs w:val="21"/>
        </w:rPr>
        <w:t>3</w:t>
      </w:r>
      <w:r>
        <w:rPr>
          <w:rFonts w:hint="eastAsia" w:ascii="宋体" w:hAnsi="宋体"/>
          <w:szCs w:val="21"/>
        </w:rPr>
        <w:t>7</w:t>
      </w:r>
      <w:r>
        <w:rPr>
          <w:rFonts w:ascii="宋体" w:hAnsi="宋体"/>
          <w:szCs w:val="21"/>
        </w:rPr>
        <w:t>.2.4</w:t>
      </w:r>
      <w:r>
        <w:rPr>
          <w:rFonts w:hint="eastAsia" w:ascii="宋体" w:hAnsi="宋体"/>
          <w:szCs w:val="21"/>
        </w:rPr>
        <w:t>政府集中采购机构</w:t>
      </w:r>
      <w:r>
        <w:t>应当自评审结束之日起两个工作日内将候选中标供应商名单及其投标文件、评审报告送交采购人</w:t>
      </w:r>
      <w:r>
        <w:rPr>
          <w:rFonts w:hint="eastAsia" w:ascii="宋体" w:hAnsi="宋体"/>
          <w:szCs w:val="21"/>
        </w:rPr>
        <w:t>。</w:t>
      </w:r>
      <w:r>
        <w:t>采购人应当安排专人对定标过程进行书面记录，形成定标报告，作为采购文件的组成部分存档，并及时将定标结果反馈</w:t>
      </w:r>
      <w:r>
        <w:rPr>
          <w:rFonts w:hint="eastAsia"/>
        </w:rPr>
        <w:t>政府集中采购机构。具体定标程序及相关要求按照《深圳市财政局关于&lt;深圳市政府采购评标定标分离管理办法&gt;续期的通知》（深财规〔2023〕1号）执行。</w:t>
      </w:r>
    </w:p>
    <w:p>
      <w:pPr>
        <w:ind w:firstLine="411" w:firstLineChars="196"/>
        <w:rPr>
          <w:rFonts w:ascii="宋体" w:hAnsi="宋体"/>
          <w:szCs w:val="21"/>
        </w:rPr>
      </w:pPr>
      <w:r>
        <w:rPr>
          <w:rFonts w:hint="eastAsia" w:ascii="宋体" w:hAnsi="宋体"/>
          <w:szCs w:val="21"/>
        </w:rPr>
        <w:t>说明：采购人及投标供应商应按照上述方法提前做好相关准备。</w:t>
      </w:r>
    </w:p>
    <w:p>
      <w:pPr>
        <w:ind w:firstLine="411" w:firstLineChars="196"/>
        <w:rPr>
          <w:rFonts w:ascii="宋体" w:hAnsi="宋体"/>
          <w:szCs w:val="21"/>
        </w:rPr>
      </w:pPr>
      <w:r>
        <w:rPr>
          <w:rFonts w:hint="eastAsia" w:ascii="宋体" w:hAnsi="宋体"/>
          <w:szCs w:val="21"/>
        </w:rPr>
        <w:t>37.3专用条款另有规定的，按专用条款相关要求定标。</w:t>
      </w:r>
    </w:p>
    <w:p>
      <w:pPr>
        <w:rPr>
          <w:rFonts w:ascii="黑体" w:hAnsi="宋体" w:eastAsia="黑体"/>
          <w:sz w:val="24"/>
        </w:rPr>
      </w:pPr>
      <w:r>
        <w:rPr>
          <w:rFonts w:hint="eastAsia" w:ascii="黑体" w:hAnsi="宋体" w:eastAsia="黑体"/>
          <w:sz w:val="24"/>
        </w:rPr>
        <w:t>38.编写评审报告</w:t>
      </w:r>
    </w:p>
    <w:p>
      <w:pPr>
        <w:ind w:firstLine="411" w:firstLineChars="196"/>
        <w:rPr>
          <w:rFonts w:ascii="宋体" w:hAnsi="宋体"/>
          <w:szCs w:val="21"/>
        </w:rPr>
      </w:pPr>
      <w:r>
        <w:rPr>
          <w:rFonts w:hint="eastAsia" w:ascii="宋体" w:hAnsi="宋体"/>
          <w:szCs w:val="21"/>
        </w:rPr>
        <w:t>评审报告是评审委员会根据全体评标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评审结论。评审委员会应当对此作出书面说明并记录存档。</w:t>
      </w:r>
    </w:p>
    <w:p>
      <w:pPr>
        <w:rPr>
          <w:rFonts w:ascii="黑体" w:hAnsi="宋体" w:eastAsia="黑体"/>
          <w:sz w:val="24"/>
        </w:rPr>
      </w:pPr>
      <w:r>
        <w:rPr>
          <w:rFonts w:hint="eastAsia" w:ascii="黑体" w:hAnsi="宋体" w:eastAsia="黑体"/>
          <w:sz w:val="24"/>
        </w:rPr>
        <w:t>39.中标公告</w:t>
      </w:r>
    </w:p>
    <w:p>
      <w:pPr>
        <w:ind w:firstLine="411" w:firstLineChars="196"/>
        <w:rPr>
          <w:rFonts w:ascii="宋体" w:hAnsi="宋体"/>
          <w:szCs w:val="21"/>
        </w:rPr>
      </w:pPr>
      <w:r>
        <w:rPr>
          <w:rFonts w:hint="eastAsia" w:ascii="宋体" w:hAnsi="宋体"/>
          <w:szCs w:val="21"/>
        </w:rPr>
        <w:t>39.1</w:t>
      </w:r>
      <w:bookmarkStart w:id="77" w:name="_Hlk72438709"/>
      <w:r>
        <w:rPr>
          <w:rFonts w:hint="eastAsia" w:ascii="宋体" w:hAnsi="宋体"/>
          <w:szCs w:val="21"/>
        </w:rPr>
        <w:t>为体现“公开、公平、公正”的原则，评审结束后经采购人确认（确定）评审结果，政府集中采购机构将在</w:t>
      </w:r>
      <w:r>
        <w:rPr>
          <w:rFonts w:hint="eastAsia" w:ascii="宋体" w:hAnsi="宋体"/>
          <w:b/>
          <w:bCs/>
          <w:szCs w:val="21"/>
        </w:rPr>
        <w:t>“深圳公共资源交易网（https://szggzy.com/）”</w:t>
      </w:r>
      <w:r>
        <w:rPr>
          <w:rFonts w:hint="eastAsia" w:ascii="宋体" w:hAnsi="宋体"/>
          <w:szCs w:val="21"/>
        </w:rPr>
        <w:t>上发布中标结果公告。</w:t>
      </w:r>
      <w:bookmarkEnd w:id="77"/>
      <w:bookmarkStart w:id="78" w:name="_Hlk72438751"/>
      <w:r>
        <w:rPr>
          <w:rFonts w:hint="eastAsia" w:ascii="宋体" w:hAnsi="宋体"/>
          <w:szCs w:val="21"/>
        </w:rPr>
        <w:t>供应商如对评审结果有异议，</w:t>
      </w:r>
      <w:r>
        <w:rPr>
          <w:rFonts w:ascii="宋体" w:hAnsi="宋体"/>
          <w:szCs w:val="21"/>
        </w:rPr>
        <w:t>可在发布公示日期起</w:t>
      </w:r>
      <w:r>
        <w:rPr>
          <w:rFonts w:hint="eastAsia" w:ascii="宋体" w:hAnsi="宋体"/>
          <w:szCs w:val="21"/>
        </w:rPr>
        <w:t>七</w:t>
      </w:r>
      <w:r>
        <w:rPr>
          <w:rFonts w:ascii="宋体" w:hAnsi="宋体"/>
          <w:szCs w:val="21"/>
        </w:rPr>
        <w:t>个工作日内向</w:t>
      </w:r>
      <w:r>
        <w:rPr>
          <w:rFonts w:hint="eastAsia" w:ascii="宋体" w:hAnsi="宋体"/>
          <w:szCs w:val="21"/>
        </w:rPr>
        <w:t>政府集中采购机构</w:t>
      </w:r>
      <w:r>
        <w:rPr>
          <w:rFonts w:ascii="宋体" w:hAnsi="宋体"/>
          <w:szCs w:val="21"/>
        </w:rPr>
        <w:t>提出。监督电话：0755-82239952。</w:t>
      </w:r>
      <w:r>
        <w:rPr>
          <w:rFonts w:hint="eastAsia" w:ascii="宋体" w:hAnsi="宋体"/>
          <w:szCs w:val="21"/>
        </w:rPr>
        <w:t>若在法定质疑期内未提出质疑，则视为认同该评审结果。</w:t>
      </w:r>
    </w:p>
    <w:bookmarkEnd w:id="78"/>
    <w:p>
      <w:pPr>
        <w:ind w:firstLine="411" w:firstLineChars="196"/>
        <w:rPr>
          <w:rFonts w:ascii="宋体" w:hAnsi="宋体"/>
          <w:szCs w:val="21"/>
        </w:rPr>
      </w:pPr>
      <w:r>
        <w:rPr>
          <w:rFonts w:hint="eastAsia" w:ascii="宋体" w:hAnsi="宋体"/>
          <w:szCs w:val="21"/>
        </w:rPr>
        <w:t>39.2质疑、投诉供应商应保证质疑、投诉内容的真实性和可靠性，并承担相应的法律责任。</w:t>
      </w:r>
    </w:p>
    <w:p>
      <w:pPr>
        <w:pStyle w:val="2"/>
        <w:spacing w:line="240" w:lineRule="auto"/>
        <w:ind w:firstLine="315" w:firstLineChars="150"/>
        <w:rPr>
          <w:rFonts w:ascii="宋体" w:hAnsi="宋体"/>
          <w:b w:val="0"/>
          <w:bCs w:val="0"/>
          <w:sz w:val="21"/>
          <w:szCs w:val="21"/>
        </w:rPr>
      </w:pPr>
      <w:r>
        <w:rPr>
          <w:rFonts w:hint="eastAsia" w:ascii="宋体" w:hAnsi="宋体"/>
          <w:b w:val="0"/>
          <w:bCs w:val="0"/>
          <w:sz w:val="21"/>
          <w:szCs w:val="21"/>
        </w:rPr>
        <w:t xml:space="preserve"> </w:t>
      </w:r>
      <w:bookmarkStart w:id="79" w:name="OLE_LINK16"/>
      <w:r>
        <w:rPr>
          <w:rFonts w:hint="eastAsia" w:ascii="宋体" w:hAnsi="宋体"/>
          <w:b w:val="0"/>
          <w:bCs w:val="0"/>
          <w:sz w:val="21"/>
          <w:szCs w:val="21"/>
        </w:rPr>
        <w:t xml:space="preserve">39.3 </w:t>
      </w:r>
      <w:bookmarkStart w:id="80" w:name="_Hlk235714702"/>
      <w:r>
        <w:rPr>
          <w:rFonts w:hint="eastAsia" w:ascii="宋体" w:hAnsi="宋体"/>
          <w:b w:val="0"/>
          <w:bCs w:val="0"/>
          <w:sz w:val="21"/>
          <w:szCs w:val="21"/>
        </w:rPr>
        <w:t>采用综合评分法评审的，未中标（成交）供应商可联系政府集中采购机构了解自身的评审总得分及总排序，需以书面加盖公章的形式提出申请。</w:t>
      </w:r>
      <w:bookmarkEnd w:id="79"/>
      <w:bookmarkEnd w:id="80"/>
    </w:p>
    <w:p>
      <w:pPr>
        <w:rPr>
          <w:rFonts w:ascii="黑体" w:hAnsi="宋体" w:eastAsia="黑体"/>
          <w:sz w:val="24"/>
        </w:rPr>
      </w:pPr>
      <w:r>
        <w:rPr>
          <w:rFonts w:hint="eastAsia" w:ascii="黑体" w:hAnsi="宋体" w:eastAsia="黑体"/>
          <w:sz w:val="24"/>
        </w:rPr>
        <w:t>40.中标通知书</w:t>
      </w:r>
    </w:p>
    <w:p>
      <w:pPr>
        <w:ind w:firstLine="411" w:firstLineChars="196"/>
        <w:rPr>
          <w:rFonts w:ascii="宋体" w:hAnsi="宋体"/>
          <w:szCs w:val="21"/>
        </w:rPr>
      </w:pPr>
      <w:r>
        <w:rPr>
          <w:rFonts w:hint="eastAsia" w:ascii="宋体" w:hAnsi="宋体"/>
          <w:szCs w:val="21"/>
        </w:rPr>
        <w:t>40</w:t>
      </w:r>
      <w:r>
        <w:rPr>
          <w:rFonts w:ascii="宋体" w:hAnsi="宋体"/>
          <w:szCs w:val="21"/>
        </w:rPr>
        <w:t>.</w:t>
      </w:r>
      <w:r>
        <w:rPr>
          <w:rFonts w:hint="eastAsia" w:ascii="宋体" w:hAnsi="宋体"/>
          <w:szCs w:val="21"/>
        </w:rPr>
        <w:t>1</w:t>
      </w:r>
      <w:bookmarkStart w:id="81" w:name="_Hlk72438863"/>
      <w:r>
        <w:rPr>
          <w:rFonts w:hint="eastAsia" w:ascii="宋体" w:hAnsi="宋体"/>
          <w:szCs w:val="21"/>
        </w:rPr>
        <w:t>中标结果公示期满无异议或者异议不成立的情况下，中标供应商和采购人可自行在</w:t>
      </w:r>
      <w:r>
        <w:rPr>
          <w:rFonts w:hint="eastAsia" w:ascii="宋体" w:hAnsi="宋体"/>
          <w:b/>
          <w:bCs/>
          <w:szCs w:val="21"/>
        </w:rPr>
        <w:t>“深圳政府采购智慧平台（http://zfcg.szggzy.com:8081/）”</w:t>
      </w:r>
      <w:r>
        <w:rPr>
          <w:rFonts w:hint="eastAsia" w:ascii="宋体" w:hAnsi="宋体"/>
          <w:szCs w:val="21"/>
        </w:rPr>
        <w:t>上打印</w:t>
      </w:r>
      <w:r>
        <w:rPr>
          <w:rFonts w:hint="eastAsia" w:ascii="宋体" w:hAnsi="宋体"/>
          <w:b/>
          <w:szCs w:val="21"/>
        </w:rPr>
        <w:t>《中标通知书》</w:t>
      </w:r>
      <w:r>
        <w:rPr>
          <w:rFonts w:hint="eastAsia" w:ascii="宋体" w:hAnsi="宋体"/>
          <w:szCs w:val="21"/>
        </w:rPr>
        <w:t>。</w:t>
      </w:r>
      <w:bookmarkEnd w:id="81"/>
    </w:p>
    <w:p>
      <w:pPr>
        <w:ind w:firstLine="411" w:firstLineChars="196"/>
        <w:rPr>
          <w:rFonts w:ascii="宋体" w:hAnsi="宋体"/>
          <w:szCs w:val="21"/>
        </w:rPr>
      </w:pPr>
      <w:r>
        <w:rPr>
          <w:rFonts w:hint="eastAsia" w:ascii="宋体" w:hAnsi="宋体"/>
          <w:szCs w:val="21"/>
        </w:rPr>
        <w:t>40</w:t>
      </w:r>
      <w:r>
        <w:rPr>
          <w:rFonts w:ascii="宋体" w:hAnsi="宋体"/>
          <w:szCs w:val="21"/>
        </w:rPr>
        <w:t>.2</w:t>
      </w:r>
      <w:r>
        <w:rPr>
          <w:rFonts w:hint="eastAsia" w:ascii="宋体" w:hAnsi="宋体"/>
          <w:szCs w:val="21"/>
        </w:rPr>
        <w:t>中标通知书是合同的重要组成部分。</w:t>
      </w:r>
    </w:p>
    <w:p>
      <w:pPr>
        <w:ind w:firstLine="411" w:firstLineChars="196"/>
        <w:rPr>
          <w:rFonts w:ascii="宋体" w:hAnsi="宋体"/>
          <w:szCs w:val="21"/>
        </w:rPr>
      </w:pPr>
      <w:bookmarkStart w:id="82" w:name="_Hlk71407340"/>
      <w:r>
        <w:rPr>
          <w:rFonts w:hint="eastAsia" w:ascii="宋体" w:hAnsi="宋体"/>
          <w:szCs w:val="21"/>
        </w:rPr>
        <w:t>40.3因质疑投诉或其它原因导致项目结果变更或采购终止的，政府集中采购机构有权撤销中标通知书。</w:t>
      </w:r>
    </w:p>
    <w:bookmarkEnd w:id="82"/>
    <w:p>
      <w:pPr>
        <w:ind w:firstLine="411" w:firstLineChars="196"/>
        <w:rPr>
          <w:rFonts w:ascii="宋体" w:hAnsi="宋体"/>
          <w:szCs w:val="21"/>
        </w:rPr>
      </w:pPr>
    </w:p>
    <w:p>
      <w:pPr>
        <w:pStyle w:val="7"/>
        <w:numPr>
          <w:ilvl w:val="0"/>
          <w:numId w:val="16"/>
        </w:numPr>
        <w:spacing w:before="120" w:beforeLines="50" w:after="120" w:afterLines="50"/>
        <w:ind w:left="562" w:hanging="562"/>
        <w:rPr>
          <w:sz w:val="28"/>
          <w:szCs w:val="28"/>
        </w:rPr>
      </w:pPr>
      <w:r>
        <w:rPr>
          <w:rFonts w:hint="eastAsia"/>
          <w:sz w:val="28"/>
          <w:szCs w:val="28"/>
        </w:rPr>
        <w:t>公开招标失败的后续处理</w:t>
      </w:r>
    </w:p>
    <w:p>
      <w:pPr>
        <w:rPr>
          <w:rFonts w:ascii="黑体" w:hAnsi="宋体" w:eastAsia="黑体"/>
          <w:sz w:val="24"/>
        </w:rPr>
      </w:pPr>
      <w:r>
        <w:rPr>
          <w:rFonts w:hint="eastAsia" w:ascii="黑体" w:hAnsi="宋体" w:eastAsia="黑体"/>
          <w:sz w:val="24"/>
        </w:rPr>
        <w:t>41.公开招标失败的处理</w:t>
      </w:r>
    </w:p>
    <w:p>
      <w:pPr>
        <w:ind w:firstLine="411" w:firstLineChars="196"/>
        <w:rPr>
          <w:rFonts w:ascii="宋体" w:hAnsi="宋体"/>
        </w:rPr>
      </w:pPr>
      <w:r>
        <w:rPr>
          <w:rFonts w:hint="eastAsia" w:ascii="宋体" w:hAnsi="宋体"/>
          <w:szCs w:val="21"/>
        </w:rPr>
        <w:t>41.1本项目公开招标过程中若由于投标截止后</w:t>
      </w:r>
      <w:r>
        <w:rPr>
          <w:rFonts w:hint="eastAsia" w:ascii="宋体" w:hAnsi="宋体"/>
        </w:rPr>
        <w:t>实际递交</w:t>
      </w:r>
      <w:r>
        <w:rPr>
          <w:rFonts w:ascii="宋体" w:hAnsi="宋体"/>
        </w:rPr>
        <w:t>投标</w:t>
      </w:r>
      <w:r>
        <w:rPr>
          <w:rFonts w:hint="eastAsia" w:ascii="宋体" w:hAnsi="宋体"/>
        </w:rPr>
        <w:t>文件的供应商数量不足、经</w:t>
      </w:r>
      <w:r>
        <w:rPr>
          <w:rFonts w:hint="eastAsia" w:ascii="宋体" w:hAnsi="宋体"/>
          <w:szCs w:val="21"/>
        </w:rPr>
        <w:t>评审委员会</w:t>
      </w:r>
      <w:r>
        <w:rPr>
          <w:rFonts w:hint="eastAsia" w:ascii="宋体" w:hAnsi="宋体"/>
        </w:rPr>
        <w:t>评审对招标文件作实质响应的供应商不足等原因造成公开招标失败，可由</w:t>
      </w:r>
      <w:r>
        <w:rPr>
          <w:rFonts w:hint="eastAsia" w:ascii="宋体" w:hAnsi="宋体" w:cs="宋体"/>
        </w:rPr>
        <w:t>政府集中采购机构</w:t>
      </w:r>
      <w:r>
        <w:rPr>
          <w:rFonts w:hint="eastAsia" w:ascii="宋体" w:hAnsi="宋体"/>
        </w:rPr>
        <w:t>重新组织采购。</w:t>
      </w:r>
    </w:p>
    <w:p>
      <w:pPr>
        <w:ind w:firstLine="411" w:firstLineChars="196"/>
        <w:rPr>
          <w:rFonts w:ascii="宋体" w:hAnsi="宋体"/>
          <w:szCs w:val="21"/>
        </w:rPr>
      </w:pPr>
      <w:r>
        <w:rPr>
          <w:rFonts w:hint="eastAsia" w:ascii="宋体" w:hAnsi="宋体"/>
          <w:szCs w:val="21"/>
        </w:rPr>
        <w:t>41.2对公开招标失败的项目，评审委员会在出具该项目招标失败结论的同时，可以提出重新采购组织形式的建议，以及进一步完善招标文件的资格、技术、商务要求的修改建议。</w:t>
      </w:r>
    </w:p>
    <w:p>
      <w:pPr>
        <w:ind w:firstLine="411" w:firstLineChars="196"/>
        <w:rPr>
          <w:rFonts w:ascii="宋体" w:hAnsi="宋体"/>
          <w:szCs w:val="21"/>
        </w:rPr>
      </w:pPr>
      <w:r>
        <w:rPr>
          <w:rFonts w:hint="eastAsia" w:ascii="宋体" w:hAnsi="宋体"/>
          <w:szCs w:val="21"/>
        </w:rPr>
        <w:t>41.3重新组织采购有以下两种组织形式：</w:t>
      </w:r>
    </w:p>
    <w:p>
      <w:pPr>
        <w:ind w:firstLine="411" w:firstLineChars="196"/>
        <w:rPr>
          <w:rFonts w:ascii="宋体" w:hAnsi="宋体"/>
        </w:rPr>
      </w:pPr>
      <w:r>
        <w:rPr>
          <w:rFonts w:hint="eastAsia" w:ascii="宋体" w:hAnsi="宋体"/>
        </w:rPr>
        <w:t>（1）由政府集中采购机构重新组织公开招标；</w:t>
      </w:r>
    </w:p>
    <w:p>
      <w:pPr>
        <w:ind w:firstLine="411" w:firstLineChars="196"/>
        <w:rPr>
          <w:rFonts w:ascii="宋体" w:hAnsi="宋体"/>
        </w:rPr>
      </w:pPr>
      <w:r>
        <w:rPr>
          <w:rFonts w:hint="eastAsia" w:ascii="宋体" w:hAnsi="宋体"/>
        </w:rPr>
        <w:t>（2）根据实际情况需要向同级财政部门提出非公开招标方式申请，经同级财政部门批准，公开招标失败采购项目可转为竞争性谈判或单一来源谈判方式采购。</w:t>
      </w:r>
    </w:p>
    <w:p>
      <w:pPr>
        <w:ind w:firstLine="411" w:firstLineChars="196"/>
        <w:rPr>
          <w:rFonts w:ascii="宋体" w:hAnsi="宋体"/>
        </w:rPr>
      </w:pPr>
      <w:r>
        <w:rPr>
          <w:rFonts w:hint="eastAsia" w:ascii="宋体" w:hAnsi="宋体"/>
        </w:rPr>
        <w:t>41.4公开招标失败的采购项目重新组织公开招标，由政府集中采购机构重新按公开招标流程组织采购活动。</w:t>
      </w:r>
    </w:p>
    <w:p>
      <w:pPr>
        <w:rPr>
          <w:rFonts w:ascii="宋体" w:hAnsi="宋体"/>
        </w:rPr>
      </w:pPr>
      <w:r>
        <w:rPr>
          <w:rFonts w:hint="eastAsia" w:ascii="黑体" w:hAnsi="宋体" w:eastAsia="黑体"/>
          <w:sz w:val="24"/>
        </w:rPr>
        <w:t xml:space="preserve">    </w:t>
      </w:r>
      <w:r>
        <w:rPr>
          <w:rFonts w:hint="eastAsia" w:ascii="宋体" w:hAnsi="宋体"/>
        </w:rPr>
        <w:t>41.5公开招标失败的采购项目经同级财政部门批准转为竞争性谈判或单一来源谈判方式采购的，按规定要求组织政府采购工作。</w:t>
      </w:r>
    </w:p>
    <w:p>
      <w:pPr>
        <w:rPr>
          <w:rFonts w:ascii="黑体" w:hAnsi="宋体" w:eastAsia="黑体"/>
          <w:sz w:val="24"/>
        </w:rPr>
      </w:pPr>
    </w:p>
    <w:p>
      <w:pPr>
        <w:pStyle w:val="7"/>
        <w:numPr>
          <w:ilvl w:val="0"/>
          <w:numId w:val="16"/>
        </w:numPr>
        <w:spacing w:before="120" w:beforeLines="50" w:after="120" w:afterLines="50"/>
        <w:ind w:left="562" w:hanging="562"/>
        <w:rPr>
          <w:sz w:val="28"/>
          <w:szCs w:val="28"/>
        </w:rPr>
      </w:pPr>
      <w:bookmarkStart w:id="83" w:name="_Hlk72439043"/>
      <w:r>
        <w:rPr>
          <w:rFonts w:hint="eastAsia"/>
          <w:sz w:val="28"/>
          <w:szCs w:val="28"/>
        </w:rPr>
        <w:t>合同的授予与备案</w:t>
      </w:r>
      <w:bookmarkEnd w:id="83"/>
    </w:p>
    <w:p>
      <w:pPr>
        <w:rPr>
          <w:rFonts w:ascii="黑体" w:hAnsi="宋体" w:eastAsia="黑体"/>
          <w:sz w:val="24"/>
        </w:rPr>
      </w:pPr>
      <w:bookmarkStart w:id="84" w:name="_Toc73518157"/>
      <w:bookmarkStart w:id="85" w:name="_Toc100052408"/>
      <w:bookmarkStart w:id="86" w:name="_Toc73517679"/>
      <w:bookmarkStart w:id="87" w:name="_Toc73521586"/>
      <w:bookmarkStart w:id="88" w:name="_Toc73521674"/>
      <w:bookmarkStart w:id="89" w:name="_Hlk72439088"/>
      <w:r>
        <w:rPr>
          <w:rFonts w:hint="eastAsia" w:ascii="黑体" w:hAnsi="宋体" w:eastAsia="黑体"/>
          <w:sz w:val="24"/>
        </w:rPr>
        <w:t>42.合同授予标准</w:t>
      </w:r>
      <w:bookmarkEnd w:id="84"/>
      <w:bookmarkEnd w:id="85"/>
      <w:bookmarkEnd w:id="86"/>
      <w:bookmarkEnd w:id="87"/>
      <w:bookmarkEnd w:id="88"/>
    </w:p>
    <w:p>
      <w:pPr>
        <w:ind w:firstLine="411" w:firstLineChars="196"/>
        <w:rPr>
          <w:rFonts w:ascii="宋体" w:hAnsi="宋体"/>
          <w:szCs w:val="21"/>
        </w:rPr>
      </w:pPr>
      <w:r>
        <w:rPr>
          <w:rFonts w:hint="eastAsia" w:ascii="宋体" w:hAnsi="宋体"/>
          <w:szCs w:val="21"/>
        </w:rPr>
        <w:t>本项目的合同将授予经本招标文件规定评审确定的中标供应商。</w:t>
      </w:r>
    </w:p>
    <w:p>
      <w:pPr>
        <w:rPr>
          <w:rFonts w:ascii="黑体" w:hAnsi="宋体" w:eastAsia="黑体"/>
          <w:sz w:val="24"/>
        </w:rPr>
      </w:pPr>
      <w:bookmarkStart w:id="90" w:name="_Toc73521587"/>
      <w:bookmarkStart w:id="91" w:name="_Toc100052409"/>
      <w:bookmarkStart w:id="92" w:name="_Toc73517680"/>
      <w:bookmarkStart w:id="93" w:name="_Toc73521675"/>
      <w:bookmarkStart w:id="94" w:name="_Toc73518158"/>
      <w:r>
        <w:rPr>
          <w:rFonts w:hint="eastAsia" w:ascii="黑体" w:hAnsi="宋体" w:eastAsia="黑体"/>
          <w:sz w:val="24"/>
        </w:rPr>
        <w:t>43.</w:t>
      </w:r>
      <w:bookmarkEnd w:id="90"/>
      <w:bookmarkEnd w:id="91"/>
      <w:bookmarkEnd w:id="92"/>
      <w:bookmarkEnd w:id="93"/>
      <w:bookmarkEnd w:id="94"/>
      <w:r>
        <w:rPr>
          <w:rFonts w:hint="eastAsia" w:ascii="黑体" w:hAnsi="宋体" w:eastAsia="黑体"/>
          <w:sz w:val="24"/>
        </w:rPr>
        <w:t>接受和拒绝任何或所有投标的权利</w:t>
      </w:r>
    </w:p>
    <w:p>
      <w:pPr>
        <w:ind w:firstLine="411" w:firstLineChars="196"/>
        <w:rPr>
          <w:rFonts w:ascii="宋体" w:hAnsi="宋体"/>
          <w:szCs w:val="21"/>
        </w:rPr>
      </w:pPr>
      <w:r>
        <w:rPr>
          <w:rFonts w:hint="eastAsia" w:ascii="宋体" w:hAnsi="宋体"/>
          <w:szCs w:val="21"/>
        </w:rPr>
        <w:t>政府集中采购机构和采购人保留在投标之前任何时候接受或拒绝任何投标或所有投标，以及宣布招标无效的权力，对受影响的投标人不承担任何责任，也无义务向受影响的投标人解释采取这一行动的理由。</w:t>
      </w:r>
    </w:p>
    <w:p>
      <w:pPr>
        <w:rPr>
          <w:rFonts w:ascii="黑体" w:hAnsi="宋体" w:eastAsia="黑体"/>
          <w:sz w:val="24"/>
        </w:rPr>
      </w:pPr>
      <w:bookmarkStart w:id="95" w:name="_Toc73521589"/>
      <w:bookmarkStart w:id="96" w:name="_Toc73517682"/>
      <w:bookmarkStart w:id="97" w:name="_Toc73518160"/>
      <w:bookmarkStart w:id="98" w:name="_Toc100052410"/>
      <w:bookmarkStart w:id="99" w:name="_Toc73521677"/>
      <w:r>
        <w:rPr>
          <w:rFonts w:hint="eastAsia" w:ascii="黑体" w:hAnsi="宋体" w:eastAsia="黑体"/>
          <w:sz w:val="24"/>
        </w:rPr>
        <w:t>44.合同的签订</w:t>
      </w:r>
      <w:bookmarkEnd w:id="95"/>
      <w:bookmarkEnd w:id="96"/>
      <w:bookmarkEnd w:id="97"/>
      <w:bookmarkEnd w:id="98"/>
      <w:bookmarkEnd w:id="99"/>
    </w:p>
    <w:p>
      <w:pPr>
        <w:ind w:firstLine="411" w:firstLineChars="196"/>
        <w:rPr>
          <w:rFonts w:ascii="宋体" w:hAnsi="宋体"/>
          <w:szCs w:val="21"/>
        </w:rPr>
      </w:pPr>
      <w:r>
        <w:rPr>
          <w:rFonts w:hint="eastAsia" w:ascii="宋体" w:hAnsi="宋体"/>
          <w:szCs w:val="21"/>
        </w:rPr>
        <w:t>44.1中标人将于中标通知书发出之日起十个工作日内，按照采购文件（招标文件和投标文件等）内容与采购人签订政府采购合同；合同的实质性内容应当符合招标文件的规定；</w:t>
      </w:r>
    </w:p>
    <w:p>
      <w:pPr>
        <w:ind w:firstLine="411" w:firstLineChars="196"/>
        <w:rPr>
          <w:rFonts w:ascii="宋体" w:hAnsi="宋体"/>
          <w:szCs w:val="21"/>
        </w:rPr>
      </w:pPr>
      <w:r>
        <w:rPr>
          <w:rFonts w:hint="eastAsia" w:ascii="宋体" w:hAnsi="宋体"/>
          <w:szCs w:val="21"/>
        </w:rPr>
        <w:t>44.2中标人如不按本通用条款第45</w:t>
      </w:r>
      <w:r>
        <w:rPr>
          <w:rFonts w:ascii="宋体" w:hAnsi="宋体"/>
          <w:szCs w:val="21"/>
        </w:rPr>
        <w:t>.1</w:t>
      </w:r>
      <w:r>
        <w:rPr>
          <w:rFonts w:hint="eastAsia" w:ascii="宋体" w:hAnsi="宋体"/>
          <w:szCs w:val="21"/>
        </w:rPr>
        <w:t>款的规定与采购人签订合同，</w:t>
      </w:r>
      <w:r>
        <w:rPr>
          <w:rFonts w:ascii="宋体" w:hAnsi="宋体" w:cs="宋体"/>
          <w:kern w:val="0"/>
          <w:szCs w:val="21"/>
        </w:rPr>
        <w:t>情节严重的，由</w:t>
      </w:r>
      <w:r>
        <w:rPr>
          <w:rFonts w:hint="eastAsia" w:ascii="宋体" w:hAnsi="宋体" w:cs="宋体"/>
          <w:kern w:val="0"/>
          <w:szCs w:val="21"/>
        </w:rPr>
        <w:t>同级财政</w:t>
      </w:r>
      <w:r>
        <w:rPr>
          <w:rFonts w:ascii="宋体" w:hAnsi="宋体" w:cs="宋体"/>
          <w:kern w:val="0"/>
          <w:szCs w:val="21"/>
        </w:rPr>
        <w:t>部门记入供应商诚信档案，予以通报</w:t>
      </w:r>
      <w:r>
        <w:rPr>
          <w:rFonts w:hint="eastAsia" w:ascii="宋体" w:hAnsi="宋体"/>
          <w:szCs w:val="21"/>
        </w:rPr>
        <w:t>；</w:t>
      </w:r>
    </w:p>
    <w:p>
      <w:pPr>
        <w:ind w:firstLine="411" w:firstLineChars="196"/>
        <w:rPr>
          <w:rFonts w:ascii="宋体" w:hAnsi="宋体"/>
          <w:szCs w:val="21"/>
        </w:rPr>
      </w:pPr>
      <w:r>
        <w:rPr>
          <w:rFonts w:hint="eastAsia" w:ascii="宋体" w:hAnsi="宋体"/>
          <w:szCs w:val="21"/>
        </w:rPr>
        <w:t>44.3中标人应当按照合同约定履行义务，完成中标项目，不得将中标项目转让（转包）给他人。</w:t>
      </w:r>
    </w:p>
    <w:p>
      <w:pPr>
        <w:rPr>
          <w:rFonts w:ascii="黑体" w:hAnsi="宋体" w:eastAsia="黑体"/>
          <w:sz w:val="24"/>
        </w:rPr>
      </w:pPr>
      <w:bookmarkStart w:id="100" w:name="_Toc73517683"/>
      <w:bookmarkStart w:id="101" w:name="_Toc100052411"/>
      <w:bookmarkStart w:id="102" w:name="_Toc73518161"/>
      <w:bookmarkStart w:id="103" w:name="_Toc73521590"/>
      <w:bookmarkStart w:id="104" w:name="_Toc73521678"/>
      <w:r>
        <w:rPr>
          <w:rFonts w:hint="eastAsia" w:ascii="黑体" w:hAnsi="宋体" w:eastAsia="黑体"/>
          <w:sz w:val="24"/>
        </w:rPr>
        <w:t>45.履约担保</w:t>
      </w:r>
      <w:bookmarkEnd w:id="100"/>
      <w:bookmarkEnd w:id="101"/>
      <w:bookmarkEnd w:id="102"/>
      <w:bookmarkEnd w:id="103"/>
      <w:bookmarkEnd w:id="104"/>
    </w:p>
    <w:p>
      <w:pPr>
        <w:ind w:firstLine="411" w:firstLineChars="196"/>
        <w:rPr>
          <w:rFonts w:ascii="宋体" w:hAnsi="宋体"/>
          <w:szCs w:val="21"/>
        </w:rPr>
      </w:pPr>
      <w:r>
        <w:rPr>
          <w:rFonts w:hint="eastAsia" w:ascii="宋体" w:hAnsi="宋体"/>
          <w:szCs w:val="21"/>
        </w:rPr>
        <w:t>45.1在签订项目合同的同时，中标人应按“对通用条款的补充内容”中规定的金额向采购人提交履约担保；</w:t>
      </w:r>
    </w:p>
    <w:p>
      <w:pPr>
        <w:ind w:firstLine="411" w:firstLineChars="196"/>
        <w:rPr>
          <w:rFonts w:ascii="宋体" w:hAnsi="宋体"/>
          <w:szCs w:val="21"/>
        </w:rPr>
      </w:pPr>
      <w:r>
        <w:rPr>
          <w:rFonts w:hint="eastAsia" w:ascii="宋体" w:hAnsi="宋体"/>
          <w:szCs w:val="21"/>
        </w:rPr>
        <w:t>45.2允许供应商自主选择以支票、汇票、本票、保函等非现金方式提交履约担保；</w:t>
      </w:r>
      <w:r>
        <w:t>中标</w:t>
      </w:r>
      <w:r>
        <w:rPr>
          <w:rFonts w:hint="eastAsia"/>
        </w:rPr>
        <w:t>人</w:t>
      </w:r>
      <w:r>
        <w:t>提交履约</w:t>
      </w:r>
      <w:r>
        <w:rPr>
          <w:rFonts w:hint="eastAsia"/>
        </w:rPr>
        <w:t>担保不是</w:t>
      </w:r>
      <w:r>
        <w:t>合同签订的</w:t>
      </w:r>
      <w:r>
        <w:rPr>
          <w:rFonts w:hint="eastAsia"/>
        </w:rPr>
        <w:t>前提</w:t>
      </w:r>
      <w:r>
        <w:t>条件，不要求中标</w:t>
      </w:r>
      <w:r>
        <w:rPr>
          <w:rFonts w:hint="eastAsia"/>
        </w:rPr>
        <w:t>人</w:t>
      </w:r>
      <w:r>
        <w:t>提供除法律、法规明确规定外的其他担保</w:t>
      </w:r>
      <w:r>
        <w:rPr>
          <w:rFonts w:hint="eastAsia"/>
        </w:rPr>
        <w:t>。</w:t>
      </w:r>
    </w:p>
    <w:p>
      <w:pPr>
        <w:rPr>
          <w:rFonts w:ascii="黑体" w:hAnsi="宋体" w:eastAsia="黑体"/>
          <w:sz w:val="24"/>
        </w:rPr>
      </w:pPr>
      <w:r>
        <w:rPr>
          <w:rFonts w:hint="eastAsia" w:ascii="黑体" w:hAnsi="宋体" w:eastAsia="黑体"/>
          <w:sz w:val="24"/>
        </w:rPr>
        <w:t>46. 合同备案</w:t>
      </w:r>
    </w:p>
    <w:p>
      <w:pPr>
        <w:ind w:firstLine="411" w:firstLineChars="196"/>
        <w:rPr>
          <w:rFonts w:ascii="宋体" w:hAnsi="宋体"/>
          <w:szCs w:val="21"/>
        </w:rPr>
      </w:pPr>
      <w:r>
        <w:rPr>
          <w:rFonts w:hint="eastAsia" w:ascii="宋体" w:hAnsi="宋体"/>
          <w:szCs w:val="21"/>
          <w:lang w:eastAsia="zh-Hans"/>
        </w:rPr>
        <w:t>采购人与中标供应商自中标通知书发出之日起10个工作日内签订政府采购合同，</w:t>
      </w:r>
      <w:r>
        <w:rPr>
          <w:rFonts w:hint="eastAsia" w:ascii="宋体" w:hAnsi="宋体"/>
          <w:szCs w:val="21"/>
        </w:rPr>
        <w:t>并按财政部门规定提交备案。</w:t>
      </w:r>
    </w:p>
    <w:p>
      <w:pPr>
        <w:rPr>
          <w:rFonts w:ascii="黑体" w:hAnsi="宋体" w:eastAsia="黑体"/>
          <w:sz w:val="24"/>
        </w:rPr>
      </w:pPr>
      <w:r>
        <w:rPr>
          <w:rFonts w:hint="eastAsia" w:ascii="黑体" w:hAnsi="宋体" w:eastAsia="黑体"/>
          <w:sz w:val="24"/>
        </w:rPr>
        <w:t>47. 合同变更</w:t>
      </w:r>
    </w:p>
    <w:p>
      <w:pPr>
        <w:ind w:firstLine="411" w:firstLineChars="196"/>
        <w:rPr>
          <w:rFonts w:ascii="宋体" w:hAnsi="宋体"/>
          <w:szCs w:val="21"/>
        </w:rPr>
      </w:pPr>
      <w:r>
        <w:rPr>
          <w:rFonts w:hint="eastAsia" w:ascii="宋体" w:hAnsi="宋体"/>
          <w:szCs w:val="21"/>
        </w:rPr>
        <w:t>合同变更事宜按《深圳市财政局关于优化政府采购合同备案的通知》（深财发保〔2022〕2号）相关规定执行。</w:t>
      </w:r>
    </w:p>
    <w:p>
      <w:pPr>
        <w:rPr>
          <w:rFonts w:ascii="黑体" w:hAnsi="宋体" w:eastAsia="黑体"/>
          <w:sz w:val="24"/>
        </w:rPr>
      </w:pPr>
      <w:r>
        <w:rPr>
          <w:rFonts w:hint="eastAsia" w:ascii="黑体" w:hAnsi="宋体" w:eastAsia="黑体"/>
          <w:sz w:val="24"/>
        </w:rPr>
        <w:t>48. 项目验收</w:t>
      </w:r>
    </w:p>
    <w:p>
      <w:pPr>
        <w:widowControl/>
        <w:ind w:right="176" w:firstLine="420"/>
        <w:jc w:val="left"/>
        <w:rPr>
          <w:rFonts w:ascii="宋体" w:hAnsi="宋体"/>
        </w:rPr>
      </w:pPr>
      <w:r>
        <w:rPr>
          <w:rFonts w:hint="eastAsia" w:ascii="宋体" w:hAnsi="宋体"/>
        </w:rPr>
        <w:t>48.1采购人应当按照招标文件和合同规定的标准和方法，及时组织验收。</w:t>
      </w:r>
      <w:r>
        <w:rPr>
          <w:rFonts w:ascii="宋体" w:hAnsi="宋体"/>
        </w:rPr>
        <w:t xml:space="preserve"> </w:t>
      </w:r>
    </w:p>
    <w:p>
      <w:pPr>
        <w:rPr>
          <w:rFonts w:ascii="黑体" w:hAnsi="宋体" w:eastAsia="黑体"/>
          <w:sz w:val="24"/>
        </w:rPr>
      </w:pPr>
      <w:r>
        <w:rPr>
          <w:rFonts w:hint="eastAsia" w:ascii="黑体" w:hAnsi="宋体" w:eastAsia="黑体"/>
          <w:sz w:val="24"/>
        </w:rPr>
        <w:t>49. 宣传</w:t>
      </w:r>
    </w:p>
    <w:p>
      <w:pPr>
        <w:ind w:left="210" w:leftChars="100" w:firstLine="411" w:firstLineChars="196"/>
        <w:rPr>
          <w:rFonts w:ascii="宋体" w:hAnsi="宋体"/>
        </w:rPr>
      </w:pPr>
      <w:r>
        <w:rPr>
          <w:rFonts w:hint="eastAsia" w:ascii="宋体" w:hAnsi="宋体"/>
        </w:rPr>
        <w:t>凡与政府采购活动有关的宣传或广告，若当中提及政府采购，</w:t>
      </w:r>
      <w:r>
        <w:rPr>
          <w:rFonts w:ascii="宋体" w:hAnsi="宋体"/>
        </w:rPr>
        <w:t>必须事先将具体对外宣传方案报</w:t>
      </w:r>
      <w:r>
        <w:rPr>
          <w:rFonts w:hint="eastAsia" w:ascii="宋体" w:hAnsi="宋体"/>
        </w:rPr>
        <w:t>同级财政部门</w:t>
      </w:r>
      <w:r>
        <w:rPr>
          <w:rFonts w:ascii="宋体" w:hAnsi="宋体"/>
        </w:rPr>
        <w:t>和</w:t>
      </w:r>
      <w:r>
        <w:rPr>
          <w:rFonts w:hint="eastAsia" w:ascii="宋体" w:hAnsi="宋体"/>
        </w:rPr>
        <w:t>政府集中采购机构</w:t>
      </w:r>
      <w:r>
        <w:rPr>
          <w:rFonts w:ascii="宋体" w:hAnsi="宋体"/>
        </w:rPr>
        <w:t>，并征得其同意。对外市场宣传包括但不限于以下形式：</w:t>
      </w:r>
    </w:p>
    <w:p>
      <w:pPr>
        <w:ind w:left="210" w:leftChars="100" w:firstLine="411" w:firstLineChars="196"/>
        <w:rPr>
          <w:rFonts w:ascii="宋体" w:hAnsi="宋体"/>
        </w:rPr>
      </w:pPr>
      <w:r>
        <w:rPr>
          <w:rFonts w:ascii="宋体" w:hAnsi="宋体"/>
        </w:rPr>
        <w:t>a.名片、宣传册、广告标语等；</w:t>
      </w:r>
    </w:p>
    <w:p>
      <w:pPr>
        <w:ind w:left="210" w:leftChars="100" w:firstLine="411" w:firstLineChars="196"/>
        <w:rPr>
          <w:rFonts w:ascii="宋体" w:hAnsi="宋体"/>
        </w:rPr>
      </w:pPr>
      <w:r>
        <w:rPr>
          <w:rFonts w:ascii="宋体" w:hAnsi="宋体"/>
        </w:rPr>
        <w:t>b.案例介绍、推广等；</w:t>
      </w:r>
    </w:p>
    <w:p>
      <w:pPr>
        <w:ind w:left="210" w:leftChars="100" w:firstLine="411" w:firstLineChars="196"/>
        <w:rPr>
          <w:rFonts w:ascii="宋体" w:hAnsi="宋体"/>
        </w:rPr>
      </w:pPr>
      <w:r>
        <w:rPr>
          <w:rFonts w:hint="eastAsia" w:ascii="宋体" w:hAnsi="宋体"/>
        </w:rPr>
        <w:t>c.工作</w:t>
      </w:r>
      <w:r>
        <w:rPr>
          <w:rFonts w:ascii="宋体" w:hAnsi="宋体"/>
        </w:rPr>
        <w:t>人员向其他消费群体宣传。</w:t>
      </w:r>
    </w:p>
    <w:p>
      <w:pPr>
        <w:rPr>
          <w:rFonts w:ascii="黑体" w:hAnsi="宋体" w:eastAsia="黑体"/>
          <w:sz w:val="24"/>
        </w:rPr>
      </w:pPr>
      <w:r>
        <w:rPr>
          <w:rFonts w:hint="eastAsia" w:ascii="黑体" w:hAnsi="宋体" w:eastAsia="黑体"/>
          <w:sz w:val="24"/>
        </w:rPr>
        <w:t>50. 供应商违法责任</w:t>
      </w:r>
    </w:p>
    <w:p>
      <w:pPr>
        <w:ind w:firstLine="411" w:firstLineChars="196"/>
        <w:rPr>
          <w:rFonts w:ascii="宋体" w:hAnsi="宋体"/>
          <w:szCs w:val="21"/>
        </w:rPr>
      </w:pPr>
      <w:r>
        <w:rPr>
          <w:rFonts w:hint="eastAsia" w:ascii="宋体" w:hAnsi="宋体"/>
          <w:szCs w:val="21"/>
        </w:rPr>
        <w:t>50</w:t>
      </w:r>
      <w:r>
        <w:rPr>
          <w:rFonts w:ascii="宋体" w:hAnsi="宋体"/>
          <w:szCs w:val="21"/>
        </w:rPr>
        <w:t>.1</w:t>
      </w:r>
      <w:r>
        <w:rPr>
          <w:rFonts w:hint="eastAsia" w:ascii="宋体" w:hAnsi="宋体"/>
          <w:szCs w:val="21"/>
        </w:rPr>
        <w:t>《深圳经济特区政府采购条例》第五十七条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pPr>
        <w:ind w:firstLine="411" w:firstLineChars="196"/>
        <w:rPr>
          <w:rFonts w:ascii="宋体" w:hAnsi="宋体"/>
          <w:szCs w:val="21"/>
        </w:rPr>
      </w:pPr>
      <w:r>
        <w:rPr>
          <w:rFonts w:hint="eastAsia" w:ascii="宋体" w:hAnsi="宋体"/>
          <w:szCs w:val="21"/>
        </w:rPr>
        <w:t>（1）在采购活动中应当回避而未回避的；</w:t>
      </w:r>
    </w:p>
    <w:p>
      <w:pPr>
        <w:ind w:firstLine="411" w:firstLineChars="196"/>
        <w:rPr>
          <w:rFonts w:ascii="宋体" w:hAnsi="宋体"/>
          <w:szCs w:val="21"/>
        </w:rPr>
      </w:pPr>
      <w:r>
        <w:rPr>
          <w:rFonts w:hint="eastAsia" w:ascii="宋体" w:hAnsi="宋体"/>
          <w:szCs w:val="21"/>
        </w:rPr>
        <w:t>（2）未按本条例规定签订、履行采购合同，造成严重后果的；</w:t>
      </w:r>
    </w:p>
    <w:p>
      <w:pPr>
        <w:ind w:firstLine="411" w:firstLineChars="196"/>
        <w:rPr>
          <w:rFonts w:ascii="宋体" w:hAnsi="宋体"/>
          <w:szCs w:val="21"/>
        </w:rPr>
      </w:pPr>
      <w:r>
        <w:rPr>
          <w:rFonts w:hint="eastAsia" w:ascii="宋体" w:hAnsi="宋体"/>
          <w:szCs w:val="21"/>
        </w:rPr>
        <w:t>（3）隐瞒真实情况，提供虚假资料的；</w:t>
      </w:r>
    </w:p>
    <w:p>
      <w:pPr>
        <w:ind w:firstLine="411" w:firstLineChars="196"/>
        <w:rPr>
          <w:rFonts w:ascii="宋体" w:hAnsi="宋体"/>
          <w:szCs w:val="21"/>
        </w:rPr>
      </w:pPr>
      <w:r>
        <w:rPr>
          <w:rFonts w:hint="eastAsia" w:ascii="宋体" w:hAnsi="宋体"/>
          <w:szCs w:val="21"/>
        </w:rPr>
        <w:t>（4）以非法手段排斥其他供应商参与竞争的；</w:t>
      </w:r>
    </w:p>
    <w:p>
      <w:pPr>
        <w:ind w:firstLine="411" w:firstLineChars="196"/>
        <w:rPr>
          <w:rFonts w:ascii="宋体" w:hAnsi="宋体"/>
          <w:szCs w:val="21"/>
        </w:rPr>
      </w:pPr>
      <w:r>
        <w:rPr>
          <w:rFonts w:hint="eastAsia" w:ascii="宋体" w:hAnsi="宋体"/>
          <w:szCs w:val="21"/>
        </w:rPr>
        <w:t>（5）与其他采购参加人串通投标的；</w:t>
      </w:r>
    </w:p>
    <w:p>
      <w:pPr>
        <w:ind w:firstLine="411" w:firstLineChars="196"/>
        <w:rPr>
          <w:rFonts w:ascii="宋体" w:hAnsi="宋体"/>
          <w:szCs w:val="21"/>
        </w:rPr>
      </w:pPr>
      <w:r>
        <w:rPr>
          <w:rFonts w:hint="eastAsia" w:ascii="宋体" w:hAnsi="宋体"/>
          <w:szCs w:val="21"/>
        </w:rPr>
        <w:t>（6）恶意投诉的；</w:t>
      </w:r>
    </w:p>
    <w:p>
      <w:pPr>
        <w:ind w:firstLine="411" w:firstLineChars="196"/>
        <w:rPr>
          <w:rFonts w:ascii="宋体" w:hAnsi="宋体"/>
          <w:szCs w:val="21"/>
        </w:rPr>
      </w:pPr>
      <w:r>
        <w:rPr>
          <w:rFonts w:hint="eastAsia" w:ascii="宋体" w:hAnsi="宋体"/>
          <w:szCs w:val="21"/>
        </w:rPr>
        <w:t>（7）向采购项目相关人行贿或者提供其他不当利益的；</w:t>
      </w:r>
    </w:p>
    <w:p>
      <w:pPr>
        <w:ind w:firstLine="411" w:firstLineChars="196"/>
        <w:rPr>
          <w:rFonts w:ascii="宋体" w:hAnsi="宋体"/>
          <w:szCs w:val="21"/>
        </w:rPr>
      </w:pPr>
      <w:r>
        <w:rPr>
          <w:rFonts w:hint="eastAsia" w:ascii="宋体" w:hAnsi="宋体"/>
          <w:szCs w:val="21"/>
        </w:rPr>
        <w:t>（8）阻碍、抗拒主管部门监督检查的；</w:t>
      </w:r>
    </w:p>
    <w:p>
      <w:pPr>
        <w:ind w:firstLine="411" w:firstLineChars="196"/>
        <w:rPr>
          <w:rFonts w:ascii="宋体" w:hAnsi="宋体"/>
          <w:szCs w:val="21"/>
        </w:rPr>
      </w:pPr>
      <w:r>
        <w:rPr>
          <w:rFonts w:hint="eastAsia" w:ascii="宋体" w:hAnsi="宋体"/>
          <w:szCs w:val="21"/>
        </w:rPr>
        <w:t>（9）其他违反本条例规定的行为。</w:t>
      </w:r>
    </w:p>
    <w:p>
      <w:pPr>
        <w:ind w:firstLine="411" w:firstLineChars="196"/>
        <w:rPr>
          <w:rFonts w:ascii="宋体" w:hAnsi="宋体"/>
          <w:szCs w:val="21"/>
        </w:rPr>
      </w:pPr>
      <w:r>
        <w:rPr>
          <w:rFonts w:hint="eastAsia" w:ascii="宋体" w:hAnsi="宋体"/>
          <w:szCs w:val="21"/>
        </w:rPr>
        <w:t>50</w:t>
      </w:r>
      <w:r>
        <w:rPr>
          <w:rFonts w:ascii="宋体" w:hAnsi="宋体"/>
          <w:szCs w:val="21"/>
        </w:rPr>
        <w:t xml:space="preserve">.2 </w:t>
      </w:r>
      <w:r>
        <w:rPr>
          <w:rFonts w:hint="eastAsia" w:ascii="宋体" w:hAnsi="宋体"/>
          <w:szCs w:val="21"/>
        </w:rPr>
        <w:t>根据《深圳市财政局关于调整政府采购投标（响应）保证金管理政策的通知 》（深财购〔2021〕51号）的要求，供应商在政府采购活动中出现《深圳经济特区政府采购条例实施细则》第八十条所列情形的，</w:t>
      </w:r>
      <w:bookmarkStart w:id="105" w:name="_Hlk72440769"/>
      <w:r>
        <w:rPr>
          <w:rFonts w:hint="eastAsia" w:ascii="宋体" w:hAnsi="宋体"/>
          <w:szCs w:val="21"/>
        </w:rPr>
        <w:t>政府集中采购机构或采购人不予退还其交纳的谈判保证金，情节严重的，并由主管部门</w:t>
      </w:r>
      <w:bookmarkEnd w:id="105"/>
      <w:r>
        <w:rPr>
          <w:rFonts w:hint="eastAsia" w:ascii="宋体" w:hAnsi="宋体"/>
          <w:szCs w:val="21"/>
        </w:rPr>
        <w:t>记入供应商诚信档案，予以通报：</w:t>
      </w:r>
    </w:p>
    <w:p>
      <w:pPr>
        <w:ind w:firstLine="411" w:firstLineChars="196"/>
        <w:rPr>
          <w:rFonts w:ascii="宋体" w:hAnsi="宋体"/>
          <w:szCs w:val="21"/>
        </w:rPr>
      </w:pPr>
      <w:r>
        <w:rPr>
          <w:rFonts w:hint="eastAsia" w:ascii="宋体" w:hAnsi="宋体"/>
          <w:szCs w:val="21"/>
        </w:rPr>
        <w:t>（1</w:t>
      </w:r>
      <w:r>
        <w:rPr>
          <w:rFonts w:ascii="宋体" w:hAnsi="宋体"/>
          <w:szCs w:val="21"/>
        </w:rPr>
        <w:t>）投标截止后，撤销投标的；</w:t>
      </w:r>
    </w:p>
    <w:p>
      <w:pPr>
        <w:ind w:firstLine="411" w:firstLineChars="196"/>
        <w:rPr>
          <w:rFonts w:ascii="宋体" w:hAnsi="宋体"/>
          <w:szCs w:val="21"/>
        </w:rPr>
      </w:pPr>
      <w:r>
        <w:rPr>
          <w:rFonts w:ascii="宋体" w:hAnsi="宋体"/>
          <w:szCs w:val="21"/>
        </w:rPr>
        <w:t>（</w:t>
      </w:r>
      <w:r>
        <w:rPr>
          <w:rFonts w:hint="eastAsia" w:ascii="宋体" w:hAnsi="宋体"/>
          <w:szCs w:val="21"/>
        </w:rPr>
        <w:t>2</w:t>
      </w:r>
      <w:r>
        <w:rPr>
          <w:rFonts w:ascii="宋体" w:hAnsi="宋体"/>
          <w:szCs w:val="21"/>
        </w:rPr>
        <w:t>）中标后无正当理由未在规定期限内签订合同的；</w:t>
      </w:r>
    </w:p>
    <w:p>
      <w:pPr>
        <w:ind w:firstLine="411" w:firstLineChars="196"/>
        <w:rPr>
          <w:rFonts w:ascii="宋体" w:hAnsi="宋体"/>
          <w:szCs w:val="21"/>
        </w:rPr>
      </w:pPr>
      <w:r>
        <w:rPr>
          <w:rFonts w:ascii="宋体" w:hAnsi="宋体"/>
          <w:szCs w:val="21"/>
        </w:rPr>
        <w:t>（</w:t>
      </w:r>
      <w:r>
        <w:rPr>
          <w:rFonts w:hint="eastAsia" w:ascii="宋体" w:hAnsi="宋体"/>
          <w:szCs w:val="21"/>
        </w:rPr>
        <w:t>3</w:t>
      </w:r>
      <w:r>
        <w:rPr>
          <w:rFonts w:ascii="宋体" w:hAnsi="宋体"/>
          <w:szCs w:val="21"/>
        </w:rPr>
        <w:t>）将中标项目转让给他人、或者在投标文件中未说明且未经采购人、采购招标机构同意，将中标项目分包给他人的；</w:t>
      </w:r>
    </w:p>
    <w:p>
      <w:pPr>
        <w:ind w:firstLine="411" w:firstLineChars="196"/>
        <w:rPr>
          <w:rFonts w:ascii="宋体" w:hAnsi="宋体"/>
          <w:szCs w:val="21"/>
        </w:rPr>
      </w:pPr>
      <w:r>
        <w:rPr>
          <w:rFonts w:ascii="宋体" w:hAnsi="宋体"/>
          <w:szCs w:val="21"/>
        </w:rPr>
        <w:t>（</w:t>
      </w:r>
      <w:r>
        <w:rPr>
          <w:rFonts w:hint="eastAsia" w:ascii="宋体" w:hAnsi="宋体"/>
          <w:szCs w:val="21"/>
        </w:rPr>
        <w:t>4</w:t>
      </w:r>
      <w:r>
        <w:rPr>
          <w:rFonts w:ascii="宋体" w:hAnsi="宋体"/>
          <w:szCs w:val="21"/>
        </w:rPr>
        <w:t>）拒绝履行合同义务的</w:t>
      </w:r>
      <w:r>
        <w:rPr>
          <w:rFonts w:hint="eastAsia" w:ascii="宋体" w:hAnsi="宋体"/>
          <w:szCs w:val="21"/>
        </w:rPr>
        <w:t>。</w:t>
      </w:r>
    </w:p>
    <w:bookmarkEnd w:id="89"/>
    <w:p>
      <w:pPr>
        <w:pStyle w:val="7"/>
        <w:numPr>
          <w:ilvl w:val="0"/>
          <w:numId w:val="16"/>
        </w:numPr>
        <w:spacing w:before="120" w:beforeLines="50" w:after="120" w:afterLines="50"/>
        <w:ind w:left="562" w:hanging="562"/>
        <w:rPr>
          <w:sz w:val="28"/>
          <w:szCs w:val="28"/>
        </w:rPr>
      </w:pPr>
      <w:r>
        <w:rPr>
          <w:rFonts w:hint="eastAsia"/>
          <w:sz w:val="28"/>
          <w:szCs w:val="28"/>
        </w:rPr>
        <w:t>质疑处理</w:t>
      </w:r>
    </w:p>
    <w:p>
      <w:pPr>
        <w:rPr>
          <w:rFonts w:ascii="黑体" w:hAnsi="宋体" w:eastAsia="黑体"/>
          <w:sz w:val="24"/>
        </w:rPr>
      </w:pPr>
      <w:bookmarkStart w:id="106" w:name="_Hlk72439706"/>
      <w:r>
        <w:rPr>
          <w:rFonts w:hint="eastAsia" w:ascii="黑体" w:hAnsi="宋体" w:eastAsia="黑体"/>
          <w:sz w:val="24"/>
        </w:rPr>
        <w:t>51.质疑提出与答复</w:t>
      </w:r>
    </w:p>
    <w:p>
      <w:pPr>
        <w:rPr>
          <w:rFonts w:ascii="宋体" w:hAnsi="宋体"/>
          <w:szCs w:val="21"/>
        </w:rPr>
      </w:pPr>
      <w:r>
        <w:rPr>
          <w:rFonts w:hint="eastAsia" w:ascii="宋体" w:hAnsi="宋体"/>
          <w:szCs w:val="21"/>
        </w:rPr>
        <w:t xml:space="preserve">    51.1提出质疑</w:t>
      </w:r>
    </w:p>
    <w:p>
      <w:pPr>
        <w:rPr>
          <w:rFonts w:ascii="宋体" w:hAnsi="宋体"/>
          <w:szCs w:val="21"/>
        </w:rPr>
      </w:pPr>
      <w:r>
        <w:rPr>
          <w:rFonts w:hint="eastAsia" w:ascii="宋体" w:hAnsi="宋体"/>
          <w:szCs w:val="21"/>
        </w:rPr>
        <w:t xml:space="preserve">    参与政府采购活动的供应商认为自己的权益在采购活动中受到损害的，应当自知道或者应当知道其权益受到损害之日起七个工作日内向采购人、政府集中采购机构以书面形式提出质疑。</w:t>
      </w:r>
    </w:p>
    <w:p>
      <w:pPr>
        <w:rPr>
          <w:rFonts w:ascii="宋体" w:hAnsi="宋体"/>
          <w:szCs w:val="21"/>
        </w:rPr>
      </w:pPr>
      <w:r>
        <w:rPr>
          <w:rFonts w:hint="eastAsia" w:ascii="宋体" w:hAnsi="宋体"/>
          <w:szCs w:val="21"/>
        </w:rPr>
        <w:t xml:space="preserve">    51.2</w:t>
      </w:r>
      <w:r>
        <w:rPr>
          <w:rFonts w:ascii="宋体" w:hAnsi="宋体"/>
          <w:szCs w:val="21"/>
        </w:rPr>
        <w:t>法律依据</w:t>
      </w:r>
    </w:p>
    <w:p>
      <w:pPr>
        <w:rPr>
          <w:rFonts w:ascii="宋体" w:hAnsi="宋体"/>
          <w:szCs w:val="21"/>
        </w:rPr>
      </w:pPr>
      <w:r>
        <w:rPr>
          <w:rFonts w:hint="eastAsia" w:ascii="宋体" w:hAnsi="宋体"/>
          <w:szCs w:val="21"/>
        </w:rPr>
        <w:t xml:space="preserve">    《中华人民共和国政府采购法》《中华人民共和国政府采购法实施条例》</w:t>
      </w:r>
      <w:r>
        <w:rPr>
          <w:rFonts w:ascii="宋体" w:hAnsi="宋体"/>
          <w:szCs w:val="21"/>
        </w:rPr>
        <w:t>《</w:t>
      </w:r>
      <w:r>
        <w:rPr>
          <w:rFonts w:hint="eastAsia" w:ascii="宋体" w:hAnsi="宋体"/>
          <w:szCs w:val="21"/>
        </w:rPr>
        <w:t>深圳经济特区政府采购</w:t>
      </w:r>
      <w:r>
        <w:rPr>
          <w:rFonts w:ascii="宋体" w:hAnsi="宋体"/>
          <w:szCs w:val="21"/>
        </w:rPr>
        <w:t>条例</w:t>
      </w:r>
      <w:r>
        <w:rPr>
          <w:rFonts w:hint="eastAsia" w:ascii="宋体" w:hAnsi="宋体"/>
          <w:szCs w:val="21"/>
        </w:rPr>
        <w:t>》《深圳经济特区政府采购条例实施细则》《政府采购质疑和投诉办法》（财政部令第94号）和其他有关法律法规规定。</w:t>
      </w:r>
    </w:p>
    <w:p>
      <w:pPr>
        <w:rPr>
          <w:rFonts w:ascii="宋体" w:hAnsi="宋体"/>
          <w:szCs w:val="21"/>
        </w:rPr>
      </w:pPr>
      <w:r>
        <w:rPr>
          <w:rFonts w:hint="eastAsia" w:ascii="宋体" w:hAnsi="宋体"/>
          <w:szCs w:val="21"/>
        </w:rPr>
        <w:t xml:space="preserve">  </w:t>
      </w:r>
      <w:r>
        <w:rPr>
          <w:rFonts w:hint="eastAsia" w:ascii="宋体" w:hAnsi="宋体"/>
          <w:color w:val="FF0000"/>
          <w:szCs w:val="21"/>
        </w:rPr>
        <w:t xml:space="preserve">  </w:t>
      </w:r>
      <w:r>
        <w:rPr>
          <w:rFonts w:hint="eastAsia" w:ascii="宋体" w:hAnsi="宋体"/>
          <w:szCs w:val="21"/>
        </w:rPr>
        <w:t>51.3质疑条件</w:t>
      </w:r>
    </w:p>
    <w:p>
      <w:pPr>
        <w:rPr>
          <w:rFonts w:ascii="宋体" w:hAnsi="宋体"/>
          <w:szCs w:val="21"/>
        </w:rPr>
      </w:pPr>
      <w:r>
        <w:rPr>
          <w:rFonts w:hint="eastAsia" w:ascii="宋体" w:hAnsi="宋体"/>
          <w:szCs w:val="21"/>
        </w:rPr>
        <w:t xml:space="preserve">    51.3.1提出质疑的供应商应当是参与所质疑项目采购活动的供应商；以联合体形式参与的，质疑应当由组成联合体的所有成员共同提出；</w:t>
      </w:r>
    </w:p>
    <w:p>
      <w:pPr>
        <w:rPr>
          <w:rFonts w:ascii="宋体" w:hAnsi="宋体"/>
          <w:szCs w:val="21"/>
        </w:rPr>
      </w:pPr>
      <w:r>
        <w:rPr>
          <w:rFonts w:hint="eastAsia" w:ascii="宋体" w:hAnsi="宋体"/>
          <w:szCs w:val="21"/>
        </w:rPr>
        <w:t xml:space="preserve">    51.3.2应当在法定质疑期内一次性提出针对同一采购程序环节的质疑，法定质疑期为自知道或应当知道权益受到损害之日起7个工作日内。应当知道其权益受到损害之日是指：对采购文件的质疑，为采购文件公布之日；对采购过程的质疑，为各采购程序环节结束之日；对中标（成交）结果以及评审委员会组成人员的质疑，为中标（成交）结果公示之日；供应商应认真、全面核查公告及附件内容，审慎研判相关事项，依法规范行使质疑权利。若项目发布更正公告的，对更正公告及附件中更正、修改的内容提出质疑，以更正公告时间计算质疑期限；对未作修改的原公告及附件内容提出质疑的，仍以原公告时间计算质疑期限。</w:t>
      </w:r>
    </w:p>
    <w:p>
      <w:pPr>
        <w:ind w:firstLine="420"/>
        <w:rPr>
          <w:rFonts w:ascii="宋体" w:hAnsi="宋体"/>
          <w:szCs w:val="21"/>
        </w:rPr>
      </w:pPr>
      <w:r>
        <w:rPr>
          <w:rFonts w:hint="eastAsia" w:ascii="宋体" w:hAnsi="宋体"/>
          <w:szCs w:val="21"/>
        </w:rPr>
        <w:t>51.3.3应提交书面质疑函，质疑函应当包括以下内容：</w:t>
      </w:r>
      <w:r>
        <w:rPr>
          <w:rFonts w:ascii="宋体" w:hAnsi="宋体"/>
          <w:szCs w:val="21"/>
        </w:rPr>
        <w:t xml:space="preserve"> </w:t>
      </w:r>
    </w:p>
    <w:p>
      <w:pPr>
        <w:ind w:firstLine="420"/>
        <w:rPr>
          <w:rFonts w:ascii="宋体" w:hAnsi="宋体"/>
          <w:szCs w:val="21"/>
        </w:rPr>
      </w:pPr>
      <w:r>
        <w:rPr>
          <w:rFonts w:hint="eastAsia" w:ascii="宋体" w:hAnsi="宋体"/>
          <w:szCs w:val="21"/>
        </w:rPr>
        <w:t>（1）供应商的名称（或者姓名）、地址、邮编、邮箱、联系人及联系电话；</w:t>
      </w:r>
    </w:p>
    <w:p>
      <w:pPr>
        <w:ind w:firstLine="420" w:firstLineChars="200"/>
        <w:rPr>
          <w:rFonts w:ascii="宋体" w:hAnsi="宋体"/>
          <w:szCs w:val="21"/>
        </w:rPr>
      </w:pPr>
      <w:r>
        <w:rPr>
          <w:rFonts w:hint="eastAsia" w:ascii="宋体" w:hAnsi="宋体"/>
          <w:szCs w:val="21"/>
        </w:rPr>
        <w:t>（2）质疑项目的名称、编号；</w:t>
      </w:r>
    </w:p>
    <w:p>
      <w:pPr>
        <w:ind w:firstLine="420" w:firstLineChars="200"/>
        <w:rPr>
          <w:rFonts w:ascii="宋体" w:hAnsi="宋体"/>
          <w:szCs w:val="21"/>
        </w:rPr>
      </w:pPr>
      <w:r>
        <w:rPr>
          <w:rFonts w:hint="eastAsia" w:ascii="宋体" w:hAnsi="宋体"/>
          <w:szCs w:val="21"/>
        </w:rPr>
        <w:t>（3）具体、明确的质疑对象、质疑事项和质疑请求；</w:t>
      </w:r>
    </w:p>
    <w:p>
      <w:pPr>
        <w:ind w:firstLine="420" w:firstLineChars="200"/>
        <w:rPr>
          <w:rFonts w:ascii="宋体" w:hAnsi="宋体"/>
          <w:szCs w:val="21"/>
        </w:rPr>
      </w:pPr>
      <w:r>
        <w:rPr>
          <w:rFonts w:hint="eastAsia" w:ascii="宋体" w:hAnsi="宋体"/>
          <w:szCs w:val="21"/>
        </w:rPr>
        <w:t>（4）因质疑事项而受损害的权益；</w:t>
      </w:r>
    </w:p>
    <w:p>
      <w:pPr>
        <w:ind w:firstLine="420" w:firstLineChars="200"/>
        <w:rPr>
          <w:rFonts w:ascii="宋体" w:hAnsi="宋体"/>
          <w:szCs w:val="21"/>
        </w:rPr>
      </w:pPr>
      <w:r>
        <w:rPr>
          <w:rFonts w:hint="eastAsia" w:ascii="宋体" w:hAnsi="宋体"/>
          <w:szCs w:val="21"/>
        </w:rPr>
        <w:t>（5）事实依据；</w:t>
      </w:r>
    </w:p>
    <w:p>
      <w:pPr>
        <w:ind w:firstLine="420" w:firstLineChars="200"/>
        <w:rPr>
          <w:rFonts w:ascii="宋体" w:hAnsi="宋体"/>
          <w:szCs w:val="21"/>
        </w:rPr>
      </w:pPr>
      <w:r>
        <w:rPr>
          <w:rFonts w:hint="eastAsia" w:ascii="宋体" w:hAnsi="宋体"/>
          <w:szCs w:val="21"/>
        </w:rPr>
        <w:t>（6）必要的法律依据；</w:t>
      </w:r>
    </w:p>
    <w:p>
      <w:pPr>
        <w:ind w:firstLine="420" w:firstLineChars="200"/>
        <w:rPr>
          <w:rFonts w:ascii="宋体" w:hAnsi="宋体"/>
          <w:szCs w:val="21"/>
        </w:rPr>
      </w:pPr>
      <w:r>
        <w:rPr>
          <w:rFonts w:hint="eastAsia" w:ascii="宋体" w:hAnsi="宋体"/>
          <w:szCs w:val="21"/>
        </w:rPr>
        <w:t>（7）提出质疑的日期。</w:t>
      </w:r>
    </w:p>
    <w:p>
      <w:pPr>
        <w:ind w:firstLine="420" w:firstLineChars="200"/>
        <w:rPr>
          <w:rFonts w:ascii="宋体" w:hAnsi="宋体"/>
          <w:szCs w:val="21"/>
        </w:rPr>
      </w:pPr>
      <w:r>
        <w:rPr>
          <w:rFonts w:hint="eastAsia" w:ascii="宋体" w:hAnsi="宋体"/>
          <w:szCs w:val="21"/>
        </w:rPr>
        <w:t>供应商为自然人的，应当由本人签字；供应商为法人或者其他组织的，应当由法定代表人（负责人），或者其授权代理人签字或者盖章，并加盖公章。</w:t>
      </w:r>
    </w:p>
    <w:p>
      <w:pPr>
        <w:ind w:firstLine="420" w:firstLineChars="200"/>
        <w:rPr>
          <w:rFonts w:ascii="宋体" w:hAnsi="宋体"/>
          <w:szCs w:val="21"/>
        </w:rPr>
      </w:pPr>
      <w:r>
        <w:rPr>
          <w:rFonts w:hint="eastAsia" w:ascii="宋体" w:hAnsi="宋体"/>
          <w:szCs w:val="21"/>
        </w:rPr>
        <w:t>51.4提交</w:t>
      </w:r>
      <w:r>
        <w:rPr>
          <w:rFonts w:ascii="宋体" w:hAnsi="宋体"/>
          <w:szCs w:val="21"/>
        </w:rPr>
        <w:t>材料</w:t>
      </w:r>
    </w:p>
    <w:p>
      <w:pPr>
        <w:ind w:firstLine="420" w:firstLineChars="200"/>
        <w:rPr>
          <w:rFonts w:ascii="宋体" w:hAnsi="宋体"/>
          <w:szCs w:val="21"/>
        </w:rPr>
      </w:pPr>
      <w:r>
        <w:rPr>
          <w:rFonts w:hint="eastAsia" w:ascii="宋体" w:hAnsi="宋体"/>
          <w:szCs w:val="21"/>
        </w:rPr>
        <w:t>供应商质疑实行实名制。供应商为自然人的，应当提交本人身份证复印件；供应商为法人或者其他组织的，应当根据自身性质提交营业执照复印件或者其他证明文件（如事业单位法人证书等）复印件。</w:t>
      </w:r>
    </w:p>
    <w:p>
      <w:pPr>
        <w:ind w:firstLine="420" w:firstLineChars="200"/>
        <w:rPr>
          <w:rFonts w:ascii="宋体" w:hAnsi="宋体"/>
          <w:szCs w:val="21"/>
        </w:rPr>
      </w:pPr>
      <w:r>
        <w:rPr>
          <w:rFonts w:hint="eastAsia" w:ascii="宋体" w:hAnsi="宋体"/>
          <w:szCs w:val="21"/>
        </w:rPr>
        <w:t>供应商可以委托代理人进行质疑。</w:t>
      </w:r>
      <w:r>
        <w:rPr>
          <w:rFonts w:ascii="宋体" w:hAnsi="宋体"/>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pPr>
        <w:ind w:firstLine="420" w:firstLineChars="200"/>
        <w:rPr>
          <w:rFonts w:ascii="宋体" w:hAnsi="宋体"/>
          <w:szCs w:val="21"/>
        </w:rPr>
      </w:pPr>
      <w:r>
        <w:rPr>
          <w:rFonts w:hint="eastAsia" w:ascii="宋体" w:hAnsi="宋体"/>
          <w:szCs w:val="21"/>
        </w:rPr>
        <w:t>51.5收文地点</w:t>
      </w:r>
    </w:p>
    <w:p>
      <w:pPr>
        <w:ind w:firstLine="421" w:firstLineChars="200"/>
        <w:rPr>
          <w:b/>
          <w:bCs/>
          <w:color w:val="FF0000"/>
        </w:rPr>
      </w:pPr>
      <w:r>
        <w:rPr>
          <w:rFonts w:hint="eastAsia" w:ascii="宋体" w:hAnsi="宋体"/>
          <w:b/>
          <w:bCs/>
          <w:szCs w:val="21"/>
        </w:rPr>
        <w:t>地址：</w:t>
      </w:r>
      <w:r>
        <w:rPr>
          <w:rFonts w:hint="eastAsia"/>
          <w:b/>
          <w:bCs/>
        </w:rPr>
        <w:t>深圳公共资源交易中心（深圳交易集团有限公司</w:t>
      </w:r>
      <w:r>
        <w:rPr>
          <w:rFonts w:hint="eastAsia"/>
          <w:b/>
          <w:bCs/>
          <w:lang w:eastAsia="zh-CN"/>
        </w:rPr>
        <w:t>盐田</w:t>
      </w:r>
      <w:r>
        <w:rPr>
          <w:rFonts w:hint="eastAsia"/>
          <w:b/>
          <w:bCs/>
        </w:rPr>
        <w:t>分公司）深圳市盐田区海景二路1025号壹海国际中心9楼901。质疑咨询电话：</w:t>
      </w:r>
      <w:bookmarkStart w:id="107" w:name="_Hlk235714740"/>
      <w:r>
        <w:rPr>
          <w:rFonts w:hint="eastAsia"/>
          <w:b/>
          <w:bCs/>
        </w:rPr>
        <w:t>0755-</w:t>
      </w:r>
      <w:bookmarkEnd w:id="107"/>
      <w:r>
        <w:rPr>
          <w:rFonts w:hint="eastAsia"/>
          <w:b/>
          <w:bCs/>
          <w:lang w:val="en-US" w:eastAsia="zh-CN"/>
        </w:rPr>
        <w:t>25869725</w:t>
      </w:r>
      <w:r>
        <w:rPr>
          <w:rFonts w:hint="eastAsia"/>
          <w:b/>
          <w:bCs/>
        </w:rPr>
        <w:t>。</w:t>
      </w:r>
    </w:p>
    <w:p>
      <w:pPr>
        <w:ind w:firstLine="420" w:firstLineChars="200"/>
        <w:rPr>
          <w:rFonts w:ascii="宋体" w:hAnsi="宋体"/>
          <w:szCs w:val="21"/>
        </w:rPr>
      </w:pPr>
      <w:r>
        <w:rPr>
          <w:rFonts w:hint="eastAsia" w:ascii="宋体" w:hAnsi="宋体"/>
          <w:szCs w:val="21"/>
        </w:rPr>
        <w:t>51.6收文办理</w:t>
      </w:r>
      <w:r>
        <w:rPr>
          <w:rFonts w:ascii="宋体" w:hAnsi="宋体"/>
          <w:szCs w:val="21"/>
        </w:rPr>
        <w:t>程序</w:t>
      </w:r>
    </w:p>
    <w:p>
      <w:pPr>
        <w:ind w:firstLine="420" w:firstLineChars="200"/>
        <w:rPr>
          <w:rFonts w:ascii="宋体" w:hAnsi="宋体"/>
          <w:szCs w:val="21"/>
        </w:rPr>
      </w:pPr>
      <w:r>
        <w:rPr>
          <w:rFonts w:hint="eastAsia" w:ascii="宋体" w:hAnsi="宋体"/>
          <w:szCs w:val="21"/>
        </w:rPr>
        <w:t>51.6.1供应商提交的质疑符合受理条件的，政府集中采购机构自收到质疑材料之日起即为受理，应当向供应商出具质疑函收文回执并可以要求其递交质疑的法定代表人（负责人）或者授权代理人签署质疑文书送达地址确认书。</w:t>
      </w:r>
    </w:p>
    <w:p>
      <w:pPr>
        <w:ind w:firstLine="420" w:firstLineChars="200"/>
        <w:rPr>
          <w:rFonts w:ascii="仿宋" w:hAnsi="仿宋" w:eastAsia="仿宋"/>
          <w:sz w:val="28"/>
          <w:szCs w:val="28"/>
        </w:rPr>
      </w:pPr>
      <w:r>
        <w:rPr>
          <w:rFonts w:hint="eastAsia" w:ascii="宋体" w:hAnsi="宋体"/>
          <w:szCs w:val="21"/>
        </w:rPr>
        <w:t>51.6.2供应商提交的质疑材料不符合质疑条件的，视情况处理：</w:t>
      </w:r>
    </w:p>
    <w:p>
      <w:pPr>
        <w:ind w:firstLine="420" w:firstLineChars="200"/>
        <w:rPr>
          <w:rFonts w:ascii="宋体" w:hAnsi="宋体"/>
          <w:szCs w:val="21"/>
        </w:rPr>
      </w:pPr>
      <w:r>
        <w:rPr>
          <w:rFonts w:hint="eastAsia" w:ascii="宋体" w:hAnsi="宋体"/>
          <w:szCs w:val="21"/>
        </w:rPr>
        <w:t>供应商提交的质疑材料不全或者未按要求签字或者盖章的，政府集中采购机构应当一次性告知供应商需补正的内容和补正期限。</w:t>
      </w:r>
    </w:p>
    <w:p>
      <w:pPr>
        <w:ind w:firstLine="420" w:firstLineChars="200"/>
        <w:rPr>
          <w:rFonts w:ascii="宋体" w:hAnsi="宋体"/>
          <w:szCs w:val="21"/>
        </w:rPr>
      </w:pPr>
      <w:r>
        <w:rPr>
          <w:rFonts w:hint="eastAsia" w:ascii="宋体" w:hAnsi="宋体"/>
          <w:szCs w:val="21"/>
        </w:rPr>
        <w:t>供应商提交的质疑存在下列情形之一的，不予受理：</w:t>
      </w:r>
    </w:p>
    <w:p>
      <w:pPr>
        <w:ind w:firstLine="420" w:firstLineChars="200"/>
        <w:rPr>
          <w:rFonts w:ascii="宋体" w:hAnsi="宋体"/>
          <w:szCs w:val="21"/>
        </w:rPr>
      </w:pPr>
      <w:r>
        <w:rPr>
          <w:rFonts w:hint="eastAsia" w:ascii="宋体" w:hAnsi="宋体"/>
          <w:szCs w:val="21"/>
        </w:rPr>
        <w:t>（1）质疑主体不满足要求的；</w:t>
      </w:r>
    </w:p>
    <w:p>
      <w:pPr>
        <w:ind w:firstLine="420" w:firstLineChars="200"/>
        <w:rPr>
          <w:rFonts w:ascii="宋体" w:hAnsi="宋体"/>
          <w:szCs w:val="21"/>
        </w:rPr>
      </w:pPr>
      <w:r>
        <w:rPr>
          <w:rFonts w:hint="eastAsia" w:ascii="宋体" w:hAnsi="宋体"/>
          <w:szCs w:val="21"/>
        </w:rPr>
        <w:t>（2）供应商自身权益未受到损害的；</w:t>
      </w:r>
    </w:p>
    <w:p>
      <w:pPr>
        <w:ind w:firstLine="420" w:firstLineChars="200"/>
        <w:rPr>
          <w:rFonts w:ascii="宋体" w:hAnsi="宋体"/>
          <w:szCs w:val="21"/>
        </w:rPr>
      </w:pPr>
      <w:r>
        <w:rPr>
          <w:rFonts w:hint="eastAsia" w:ascii="宋体" w:hAnsi="宋体"/>
          <w:szCs w:val="21"/>
        </w:rPr>
        <w:t>（3）供应商未在法定质疑期限内提出质疑的；</w:t>
      </w:r>
    </w:p>
    <w:p>
      <w:pPr>
        <w:ind w:firstLine="420" w:firstLineChars="200"/>
        <w:rPr>
          <w:rFonts w:ascii="宋体" w:hAnsi="宋体"/>
          <w:szCs w:val="21"/>
        </w:rPr>
      </w:pPr>
      <w:r>
        <w:rPr>
          <w:rFonts w:hint="eastAsia" w:ascii="宋体" w:hAnsi="宋体"/>
          <w:szCs w:val="21"/>
        </w:rPr>
        <w:t>（4）质疑材料不全或者未按要求签字或者盖章的情况下，要求补正后，逾期未补正或者补正后仍不符合规定的；</w:t>
      </w:r>
    </w:p>
    <w:p>
      <w:pPr>
        <w:ind w:firstLine="420" w:firstLineChars="200"/>
        <w:rPr>
          <w:rFonts w:ascii="宋体" w:hAnsi="宋体"/>
          <w:szCs w:val="21"/>
        </w:rPr>
      </w:pPr>
      <w:r>
        <w:rPr>
          <w:rFonts w:hint="eastAsia" w:ascii="宋体" w:hAnsi="宋体"/>
          <w:szCs w:val="21"/>
        </w:rPr>
        <w:t>（5）其他不符合受理条件情形的。</w:t>
      </w:r>
    </w:p>
    <w:p>
      <w:pPr>
        <w:ind w:firstLine="420" w:firstLineChars="200"/>
        <w:rPr>
          <w:rFonts w:ascii="宋体" w:hAnsi="宋体"/>
          <w:szCs w:val="21"/>
        </w:rPr>
      </w:pPr>
      <w:r>
        <w:rPr>
          <w:rFonts w:hint="eastAsia" w:ascii="宋体" w:hAnsi="宋体"/>
          <w:szCs w:val="21"/>
        </w:rPr>
        <w:t>质疑事项不予受理的，政府集中采购机构应当向供应商出具不符合质疑条件告知书。</w:t>
      </w:r>
    </w:p>
    <w:p>
      <w:pPr>
        <w:rPr>
          <w:rFonts w:ascii="宋体" w:hAnsi="宋体"/>
          <w:szCs w:val="21"/>
        </w:rPr>
      </w:pPr>
      <w:r>
        <w:rPr>
          <w:rFonts w:hint="eastAsia" w:ascii="宋体" w:hAnsi="宋体"/>
          <w:color w:val="FF0000"/>
          <w:szCs w:val="21"/>
        </w:rPr>
        <w:t xml:space="preserve">  </w:t>
      </w:r>
      <w:r>
        <w:rPr>
          <w:rFonts w:hint="eastAsia" w:ascii="宋体" w:hAnsi="宋体"/>
          <w:szCs w:val="21"/>
        </w:rPr>
        <w:t xml:space="preserve">  51.7质疑答复时限</w:t>
      </w:r>
    </w:p>
    <w:p>
      <w:pPr>
        <w:rPr>
          <w:rFonts w:ascii="宋体" w:hAnsi="宋体"/>
          <w:szCs w:val="21"/>
        </w:rPr>
      </w:pPr>
      <w:r>
        <w:rPr>
          <w:rFonts w:hint="eastAsia" w:ascii="宋体" w:hAnsi="宋体"/>
          <w:szCs w:val="21"/>
        </w:rPr>
        <w:t xml:space="preserve">    自收文之日起七个工作日内。</w:t>
      </w:r>
    </w:p>
    <w:p>
      <w:pPr>
        <w:rPr>
          <w:rFonts w:ascii="宋体" w:hAnsi="宋体"/>
          <w:szCs w:val="21"/>
        </w:rPr>
      </w:pPr>
      <w:r>
        <w:rPr>
          <w:rFonts w:hint="eastAsia" w:ascii="宋体" w:hAnsi="宋体"/>
          <w:szCs w:val="21"/>
        </w:rPr>
        <w:t xml:space="preserve">    51.8投诉</w:t>
      </w:r>
    </w:p>
    <w:p>
      <w:pPr>
        <w:rPr>
          <w:rFonts w:ascii="宋体" w:hAnsi="宋体"/>
          <w:szCs w:val="21"/>
        </w:rPr>
      </w:pPr>
      <w:r>
        <w:rPr>
          <w:rFonts w:hint="eastAsia" w:ascii="宋体" w:hAnsi="宋体"/>
          <w:szCs w:val="21"/>
        </w:rPr>
        <w:t xml:space="preserve">    对质疑答复不满意或者未在规定时间内答复的，提出质疑的供应商可以在答复期满后15个工作日内向同级财政部门投诉。</w:t>
      </w:r>
    </w:p>
    <w:p>
      <w:pPr>
        <w:rPr>
          <w:rFonts w:ascii="黑体" w:hAnsi="宋体" w:eastAsia="黑体"/>
          <w:sz w:val="24"/>
        </w:rPr>
      </w:pPr>
      <w:r>
        <w:rPr>
          <w:rFonts w:hint="eastAsia" w:ascii="黑体" w:hAnsi="宋体" w:eastAsia="黑体"/>
          <w:sz w:val="24"/>
        </w:rPr>
        <w:t>52. 质疑后续处理</w:t>
      </w:r>
    </w:p>
    <w:p>
      <w:pPr>
        <w:rPr>
          <w:rFonts w:ascii="宋体" w:hAnsi="宋体"/>
          <w:szCs w:val="21"/>
        </w:rPr>
      </w:pPr>
      <w:r>
        <w:rPr>
          <w:rFonts w:hint="eastAsia" w:ascii="宋体" w:hAnsi="宋体"/>
          <w:szCs w:val="21"/>
        </w:rPr>
        <w:t xml:space="preserve">    52.1供应商质疑不成立，或者成立但未对中标、成交结果构成影响的，继续开展采购活动。</w:t>
      </w:r>
    </w:p>
    <w:p>
      <w:pPr>
        <w:ind w:firstLine="420"/>
        <w:rPr>
          <w:rFonts w:ascii="宋体" w:hAnsi="宋体"/>
          <w:szCs w:val="21"/>
        </w:rPr>
      </w:pPr>
      <w:r>
        <w:rPr>
          <w:rFonts w:hint="eastAsia" w:ascii="宋体" w:hAnsi="宋体"/>
          <w:szCs w:val="21"/>
        </w:rPr>
        <w:t>52.2供应商质疑成立且影响或者可能影响中标、成交结果的，按照下列情况处理：</w:t>
      </w:r>
    </w:p>
    <w:p>
      <w:pPr>
        <w:numPr>
          <w:ilvl w:val="0"/>
          <w:numId w:val="17"/>
        </w:numPr>
        <w:ind w:firstLine="420"/>
        <w:rPr>
          <w:rFonts w:ascii="宋体" w:hAnsi="宋体"/>
          <w:szCs w:val="21"/>
        </w:rPr>
      </w:pPr>
      <w:r>
        <w:rPr>
          <w:rFonts w:hint="eastAsia" w:ascii="宋体" w:hAnsi="宋体"/>
          <w:szCs w:val="21"/>
        </w:rPr>
        <w:t>对采购文件提出的质疑，依法通过澄清或者修改可以继续开展采购活动的，澄清或者修改采购文件后继续开展采购活动；否则应当修改采购文件后重新开展采购活动。</w:t>
      </w:r>
    </w:p>
    <w:p>
      <w:pPr>
        <w:ind w:firstLine="432"/>
        <w:rPr>
          <w:rFonts w:ascii="宋体" w:hAnsi="宋体"/>
          <w:szCs w:val="21"/>
        </w:rPr>
      </w:pPr>
      <w:r>
        <w:rPr>
          <w:rFonts w:hint="eastAsia" w:ascii="宋体" w:hAnsi="宋体"/>
          <w:szCs w:val="21"/>
        </w:rPr>
        <w:t>对采购过程、中标或者成交结果提出的质疑，合格供应商符合法定数量时，可以从合格的中标或者成交候选人中另行确定中标、成交供应商的，应当依法另行确定中标、成交供应商；否则应当重新开展采购活动。</w:t>
      </w:r>
    </w:p>
    <w:p>
      <w:pPr>
        <w:ind w:left="420"/>
        <w:jc w:val="center"/>
      </w:pPr>
      <w:r>
        <w:t>---- END ----</w:t>
      </w:r>
    </w:p>
    <w:bookmarkEnd w:id="106"/>
    <w:p>
      <w:pPr>
        <w:rPr>
          <w:rFonts w:ascii="宋体" w:hAnsi="宋体"/>
          <w:szCs w:val="21"/>
        </w:rPr>
      </w:pPr>
    </w:p>
    <w:sectPr>
      <w:pgSz w:w="11907" w:h="16840"/>
      <w:pgMar w:top="1440" w:right="1797" w:bottom="1440" w:left="1797" w:header="851" w:footer="992" w:gutter="0"/>
      <w:cols w:space="425"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Arial Unicode MS">
    <w:altName w:val="Nimbus Roman No9 L"/>
    <w:panose1 w:val="020B0604020202020204"/>
    <w:charset w:val="86"/>
    <w:family w:val="swiss"/>
    <w:pitch w:val="default"/>
    <w:sig w:usb0="00000000" w:usb1="00000000" w:usb2="0000003F" w:usb3="00000000" w:csb0="603F01FF" w:csb1="FFFF0000"/>
  </w:font>
  <w:font w:name="隶书">
    <w:altName w:val="方正隶书_GBK"/>
    <w:panose1 w:val="02010509060101010101"/>
    <w:charset w:val="86"/>
    <w:family w:val="modern"/>
    <w:pitch w:val="default"/>
    <w:sig w:usb0="00000000" w:usb1="00000000" w:usb2="00000000" w:usb3="00000000" w:csb0="00040000" w:csb1="00000000"/>
  </w:font>
  <w:font w:name="方正隶书_GBK">
    <w:panose1 w:val="02000000000000000000"/>
    <w:charset w:val="86"/>
    <w:family w:val="auto"/>
    <w:pitch w:val="default"/>
    <w:sig w:usb0="00000001" w:usb1="08000000" w:usb2="00000000" w:usb3="00000000" w:csb0="00040000" w:csb1="00000000"/>
  </w:font>
  <w:font w:name="Verdana">
    <w:altName w:val="Ubuntu Light"/>
    <w:panose1 w:val="020B0604030504040204"/>
    <w:charset w:val="00"/>
    <w:family w:val="swiss"/>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长城仿宋">
    <w:altName w:val="方正仿宋_GBK"/>
    <w:panose1 w:val="00000000000000000000"/>
    <w:charset w:val="86"/>
    <w:family w:val="modern"/>
    <w:pitch w:val="default"/>
    <w:sig w:usb0="00000000" w:usb1="00000000" w:usb2="00000010" w:usb3="00000000" w:csb0="00040000" w:csb1="00000000"/>
  </w:font>
  <w:font w:name="Helvetica">
    <w:altName w:val="FreeSans"/>
    <w:panose1 w:val="020B0504020202020204"/>
    <w:charset w:val="00"/>
    <w:family w:val="swiss"/>
    <w:pitch w:val="default"/>
    <w:sig w:usb0="00000000" w:usb1="00000000" w:usb2="00000000" w:usb3="00000000" w:csb0="00000001" w:csb1="00000000"/>
  </w:font>
  <w:font w:name="FreeSans">
    <w:panose1 w:val="020B0504020202020204"/>
    <w:charset w:val="00"/>
    <w:family w:val="auto"/>
    <w:pitch w:val="default"/>
    <w:sig w:usb0="E4839EFF" w:usb1="4600FDFF" w:usb2="000030A0" w:usb3="00000584" w:csb0="600001BF" w:csb1="DFF70000"/>
  </w:font>
  <w:font w:name="Tahoma">
    <w:altName w:val="DejaVu Sans"/>
    <w:panose1 w:val="020B0604030504040204"/>
    <w:charset w:val="00"/>
    <w:family w:val="swiss"/>
    <w:pitch w:val="default"/>
    <w:sig w:usb0="00000000" w:usb1="00000000" w:usb2="00000029" w:usb3="00000000" w:csb0="200101FF" w:csb1="20280000"/>
  </w:font>
  <w:font w:name="文鼎粗黑">
    <w:altName w:val="方正黑体_GBK"/>
    <w:panose1 w:val="00000000000000000000"/>
    <w:charset w:val="86"/>
    <w:family w:val="modern"/>
    <w:pitch w:val="default"/>
    <w:sig w:usb0="00000000" w:usb1="00000000" w:usb2="00000010" w:usb3="00000000" w:csb0="00040000" w:csb1="00000000"/>
  </w:font>
  <w:font w:name="Arial (W1)">
    <w:altName w:val="Nimbus Roman No9 L"/>
    <w:panose1 w:val="00000000000000000000"/>
    <w:charset w:val="00"/>
    <w:family w:val="swiss"/>
    <w:pitch w:val="default"/>
    <w:sig w:usb0="00000000" w:usb1="00000000" w:usb2="00000009" w:usb3="00000000" w:csb0="000001FF"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ˎ̥">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
    <w:altName w:val="华文中宋"/>
    <w:panose1 w:val="00000000000000000000"/>
    <w:charset w:val="01"/>
    <w:family w:val="auto"/>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汉仪细等线简">
    <w:altName w:val="华文中宋"/>
    <w:panose1 w:val="00000000000000000000"/>
    <w:charset w:val="86"/>
    <w:family w:val="modern"/>
    <w:pitch w:val="default"/>
    <w:sig w:usb0="00000000" w:usb1="00000000" w:usb2="00000012" w:usb3="00000000" w:csb0="00040000" w:csb1="00000000"/>
  </w:font>
  <w:font w:name="H Yb 2gj">
    <w:altName w:val="华文中宋"/>
    <w:panose1 w:val="00000000000000000000"/>
    <w:charset w:val="86"/>
    <w:family w:val="auto"/>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Cambria Math">
    <w:altName w:val="DejaVu Math TeX Gyre"/>
    <w:panose1 w:val="02040503050406030204"/>
    <w:charset w:val="01"/>
    <w:family w:val="roman"/>
    <w:pitch w:val="default"/>
    <w:sig w:usb0="00000000" w:usb1="00000000" w:usb2="02000000" w:usb3="00000000" w:csb0="2000019F" w:csb1="00000000"/>
  </w:font>
  <w:font w:name="DejaVu Math TeX Gyre">
    <w:panose1 w:val="02000503000000000000"/>
    <w:charset w:val="00"/>
    <w:family w:val="auto"/>
    <w:pitch w:val="default"/>
    <w:sig w:usb0="A10000EF" w:usb1="4201F9EE" w:usb2="02000000" w:usb3="00000000" w:csb0="60000193" w:csb1="0DD40000"/>
  </w:font>
  <w:font w:name="微软雅黑">
    <w:altName w:val="方正黑体_GBK"/>
    <w:panose1 w:val="020B0503020204020204"/>
    <w:charset w:val="86"/>
    <w:family w:val="auto"/>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9"/>
                            <w:rPr>
                              <w:rStyle w:val="48"/>
                            </w:rPr>
                          </w:pPr>
                          <w:r>
                            <w:t xml:space="preserve">- </w:t>
                          </w:r>
                          <w:r>
                            <w:fldChar w:fldCharType="begin"/>
                          </w:r>
                          <w:r>
                            <w:instrText xml:space="preserve"> PAGE </w:instrText>
                          </w:r>
                          <w:r>
                            <w:fldChar w:fldCharType="separate"/>
                          </w:r>
                          <w:r>
                            <w:t>29</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29"/>
                      <w:rPr>
                        <w:rStyle w:val="48"/>
                      </w:rPr>
                    </w:pPr>
                    <w:r>
                      <w:t xml:space="preserve">- </w:t>
                    </w:r>
                    <w:r>
                      <w:fldChar w:fldCharType="begin"/>
                    </w:r>
                    <w:r>
                      <w:instrText xml:space="preserve"> PAGE </w:instrText>
                    </w:r>
                    <w:r>
                      <w:fldChar w:fldCharType="separate"/>
                    </w:r>
                    <w:r>
                      <w:t>29</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center" w:y="1"/>
      <w:rPr>
        <w:rStyle w:val="48"/>
      </w:rPr>
    </w:pPr>
    <w:r>
      <w:rPr>
        <w:rStyle w:val="48"/>
      </w:rPr>
      <w:fldChar w:fldCharType="begin"/>
    </w:r>
    <w:r>
      <w:rPr>
        <w:rStyle w:val="48"/>
      </w:rPr>
      <w:instrText xml:space="preserve">PAGE  </w:instrText>
    </w:r>
    <w:r>
      <w:rPr>
        <w:rStyle w:val="48"/>
      </w:rPr>
      <w:fldChar w:fldCharType="separate"/>
    </w:r>
    <w:r>
      <w:rPr>
        <w:rStyle w:val="48"/>
      </w:rPr>
      <w:t>2</w:t>
    </w:r>
    <w:r>
      <w:rPr>
        <w:rStyle w:val="48"/>
      </w:rPr>
      <w:fldChar w:fldCharType="end"/>
    </w:r>
  </w:p>
  <w:p>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CzSVju0AAAAAUBAAAPAAAAAAAAAAEAIAAAADgAAABkcnMvZG93&#10;bnJldi54bWxQSwECFAAUAAAACACHTuJABWGMPysCAABVBAAADgAAAAAAAAABACAAAAA1AQAAZHJz&#10;L2Uyb0RvYy54bWxQSwUGAAAAAAYABgBZAQAA0gUAAAAA&#10;">
              <v:fill on="f" focussize="0,0"/>
              <v:stroke on="f" weight="0.5pt"/>
              <v:imagedata o:title=""/>
              <o:lock v:ext="edit" aspectratio="f"/>
              <v:textbox inset="0mm,0mm,0mm,0mm" style="mso-fit-shape-to-text:t;">
                <w:txbxContent>
                  <w:p>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02A6DD"/>
    <w:multiLevelType w:val="singleLevel"/>
    <w:tmpl w:val="A702A6DD"/>
    <w:lvl w:ilvl="0" w:tentative="0">
      <w:start w:val="1"/>
      <w:numFmt w:val="decimal"/>
      <w:suff w:val="nothing"/>
      <w:lvlText w:val="%1、"/>
      <w:lvlJc w:val="left"/>
    </w:lvl>
  </w:abstractNum>
  <w:abstractNum w:abstractNumId="1">
    <w:nsid w:val="B9358C2E"/>
    <w:multiLevelType w:val="singleLevel"/>
    <w:tmpl w:val="B9358C2E"/>
    <w:lvl w:ilvl="0" w:tentative="0">
      <w:start w:val="2"/>
      <w:numFmt w:val="decimal"/>
      <w:suff w:val="nothing"/>
      <w:lvlText w:val="%1、"/>
      <w:lvlJc w:val="left"/>
    </w:lvl>
  </w:abstractNum>
  <w:abstractNum w:abstractNumId="2">
    <w:nsid w:val="F3B9D592"/>
    <w:multiLevelType w:val="singleLevel"/>
    <w:tmpl w:val="F3B9D592"/>
    <w:lvl w:ilvl="0" w:tentative="0">
      <w:start w:val="1"/>
      <w:numFmt w:val="decimal"/>
      <w:suff w:val="nothing"/>
      <w:lvlText w:val="（%1）"/>
      <w:lvlJc w:val="left"/>
    </w:lvl>
  </w:abstractNum>
  <w:abstractNum w:abstractNumId="3">
    <w:nsid w:val="FE8EE6E5"/>
    <w:multiLevelType w:val="multilevel"/>
    <w:tmpl w:val="FE8EE6E5"/>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203"/>
      <w:suff w:val="nothing"/>
      <w:lvlText w:val="%1.%2　"/>
      <w:lvlJc w:val="left"/>
      <w:pPr>
        <w:ind w:left="0" w:firstLine="0"/>
      </w:pPr>
      <w:rPr>
        <w:rFonts w:hint="eastAsia" w:ascii="黑体" w:hAnsi="Times New Roman" w:eastAsia="黑体" w:cs="Times New Roman"/>
        <w:b w:val="0"/>
        <w:bCs w:val="0"/>
        <w:i w:val="0"/>
        <w:iCs w:val="0"/>
        <w:caps w:val="0"/>
        <w:strike w:val="0"/>
        <w:dstrike w:val="0"/>
        <w:spacing w:val="0"/>
        <w:kern w:val="0"/>
        <w:position w:val="0"/>
        <w:sz w:val="21"/>
        <w:szCs w:val="21"/>
        <w:u w:val="none"/>
        <w:vertAlign w:val="baseline"/>
      </w:rPr>
    </w:lvl>
    <w:lvl w:ilvl="2" w:tentative="0">
      <w:start w:val="1"/>
      <w:numFmt w:val="decimal"/>
      <w:pStyle w:val="202"/>
      <w:suff w:val="nothing"/>
      <w:lvlText w:val="%1.%2.%3　"/>
      <w:lvlJc w:val="left"/>
      <w:pPr>
        <w:ind w:left="0" w:firstLine="0"/>
      </w:pPr>
      <w:rPr>
        <w:rFonts w:hint="eastAsia" w:ascii="黑体" w:hAnsi="Times New Roman" w:eastAsia="黑体"/>
        <w:b w:val="0"/>
        <w:i w:val="0"/>
        <w:color w:val="auto"/>
        <w:sz w:val="21"/>
      </w:rPr>
    </w:lvl>
    <w:lvl w:ilvl="3" w:tentative="0">
      <w:start w:val="1"/>
      <w:numFmt w:val="decimal"/>
      <w:pStyle w:val="200"/>
      <w:suff w:val="nothing"/>
      <w:lvlText w:val="%1.%2.%3.%4　"/>
      <w:lvlJc w:val="left"/>
      <w:pPr>
        <w:ind w:left="0" w:firstLine="0"/>
      </w:pPr>
      <w:rPr>
        <w:rFonts w:ascii="黑体" w:hAnsi="黑体" w:eastAsia="黑体"/>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FFFFFF7C"/>
    <w:multiLevelType w:val="singleLevel"/>
    <w:tmpl w:val="FFFFFF7C"/>
    <w:lvl w:ilvl="0" w:tentative="0">
      <w:start w:val="1"/>
      <w:numFmt w:val="decimal"/>
      <w:pStyle w:val="58"/>
      <w:lvlText w:val="%1."/>
      <w:lvlJc w:val="left"/>
      <w:pPr>
        <w:tabs>
          <w:tab w:val="left" w:pos="2040"/>
        </w:tabs>
        <w:ind w:left="2040" w:leftChars="800" w:hanging="360" w:hangingChars="200"/>
      </w:pPr>
    </w:lvl>
  </w:abstractNum>
  <w:abstractNum w:abstractNumId="5">
    <w:nsid w:val="FFFFFF89"/>
    <w:multiLevelType w:val="singleLevel"/>
    <w:tmpl w:val="FFFFFF89"/>
    <w:lvl w:ilvl="0" w:tentative="0">
      <w:start w:val="1"/>
      <w:numFmt w:val="bullet"/>
      <w:pStyle w:val="17"/>
      <w:lvlText w:val=""/>
      <w:lvlJc w:val="left"/>
      <w:pPr>
        <w:tabs>
          <w:tab w:val="left" w:pos="360"/>
        </w:tabs>
        <w:ind w:left="360" w:hanging="360" w:hangingChars="200"/>
      </w:pPr>
      <w:rPr>
        <w:rFonts w:hint="default" w:ascii="Wingdings" w:hAnsi="Wingdings"/>
      </w:rPr>
    </w:lvl>
  </w:abstractNum>
  <w:abstractNum w:abstractNumId="6">
    <w:nsid w:val="09F81FD3"/>
    <w:multiLevelType w:val="multilevel"/>
    <w:tmpl w:val="09F81FD3"/>
    <w:lvl w:ilvl="0" w:tentative="0">
      <w:start w:val="1"/>
      <w:numFmt w:val="japaneseCounting"/>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12503483"/>
    <w:multiLevelType w:val="multilevel"/>
    <w:tmpl w:val="12503483"/>
    <w:lvl w:ilvl="0" w:tentative="0">
      <w:start w:val="1"/>
      <w:numFmt w:val="bullet"/>
      <w:pStyle w:val="106"/>
      <w:lvlText w:val=""/>
      <w:lvlJc w:val="left"/>
      <w:pPr>
        <w:tabs>
          <w:tab w:val="left" w:pos="420"/>
        </w:tabs>
        <w:ind w:left="420" w:hanging="420"/>
      </w:pPr>
      <w:rPr>
        <w:rFonts w:hint="default" w:ascii="Wingdings" w:hAnsi="Wingdings"/>
      </w:rPr>
    </w:lvl>
    <w:lvl w:ilvl="1" w:tentative="0">
      <w:start w:val="1"/>
      <w:numFmt w:val="bullet"/>
      <w:pStyle w:val="105"/>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160D20D0"/>
    <w:multiLevelType w:val="multilevel"/>
    <w:tmpl w:val="160D20D0"/>
    <w:lvl w:ilvl="0" w:tentative="0">
      <w:start w:val="1"/>
      <w:numFmt w:val="bullet"/>
      <w:pStyle w:val="74"/>
      <w:lvlText w:val=""/>
      <w:lvlJc w:val="left"/>
      <w:pPr>
        <w:tabs>
          <w:tab w:val="left" w:pos="840"/>
        </w:tabs>
        <w:ind w:left="840" w:hanging="420"/>
      </w:pPr>
      <w:rPr>
        <w:rFonts w:hint="default" w:ascii="Wingdings" w:hAnsi="Wingdings"/>
      </w:rPr>
    </w:lvl>
    <w:lvl w:ilvl="1" w:tentative="0">
      <w:start w:val="1"/>
      <w:numFmt w:val="bullet"/>
      <w:pStyle w:val="75"/>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9">
    <w:nsid w:val="2020E3E6"/>
    <w:multiLevelType w:val="singleLevel"/>
    <w:tmpl w:val="2020E3E6"/>
    <w:lvl w:ilvl="0" w:tentative="0">
      <w:start w:val="1"/>
      <w:numFmt w:val="decimal"/>
      <w:suff w:val="nothing"/>
      <w:lvlText w:val="（%1）"/>
      <w:lvlJc w:val="left"/>
    </w:lvl>
  </w:abstractNum>
  <w:abstractNum w:abstractNumId="10">
    <w:nsid w:val="2F395B7B"/>
    <w:multiLevelType w:val="multilevel"/>
    <w:tmpl w:val="2F395B7B"/>
    <w:lvl w:ilvl="0" w:tentative="0">
      <w:start w:val="1"/>
      <w:numFmt w:val="bullet"/>
      <w:pStyle w:val="166"/>
      <w:lvlText w:val=""/>
      <w:lvlJc w:val="left"/>
      <w:pPr>
        <w:tabs>
          <w:tab w:val="left" w:pos="360"/>
        </w:tabs>
        <w:ind w:left="360" w:hanging="360"/>
      </w:pPr>
      <w:rPr>
        <w:rFonts w:hint="default" w:ascii="Symbol" w:hAnsi="Symbol"/>
      </w:rPr>
    </w:lvl>
    <w:lvl w:ilvl="1" w:tentative="0">
      <w:start w:val="1"/>
      <w:numFmt w:val="bullet"/>
      <w:lvlText w:val=""/>
      <w:lvlJc w:val="left"/>
      <w:pPr>
        <w:tabs>
          <w:tab w:val="left" w:pos="1140"/>
        </w:tabs>
        <w:ind w:left="1140" w:hanging="420"/>
      </w:pPr>
      <w:rPr>
        <w:rFonts w:hint="default" w:ascii="Wingdings" w:hAnsi="Wingdings"/>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11">
    <w:nsid w:val="33D65536"/>
    <w:multiLevelType w:val="multilevel"/>
    <w:tmpl w:val="33D65536"/>
    <w:lvl w:ilvl="0" w:tentative="0">
      <w:start w:val="1"/>
      <w:numFmt w:val="lowerLetter"/>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2">
    <w:nsid w:val="46783A56"/>
    <w:multiLevelType w:val="multilevel"/>
    <w:tmpl w:val="46783A56"/>
    <w:lvl w:ilvl="0" w:tentative="0">
      <w:start w:val="1"/>
      <w:numFmt w:val="lowerLetter"/>
      <w:pStyle w:val="199"/>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9E8B78"/>
    <w:multiLevelType w:val="singleLevel"/>
    <w:tmpl w:val="489E8B78"/>
    <w:lvl w:ilvl="0" w:tentative="0">
      <w:start w:val="1"/>
      <w:numFmt w:val="decimal"/>
      <w:lvlText w:val="%1."/>
      <w:lvlJc w:val="left"/>
      <w:pPr>
        <w:tabs>
          <w:tab w:val="left" w:pos="312"/>
        </w:tabs>
      </w:pPr>
    </w:lvl>
  </w:abstractNum>
  <w:abstractNum w:abstractNumId="14">
    <w:nsid w:val="5F4B3801"/>
    <w:multiLevelType w:val="multilevel"/>
    <w:tmpl w:val="5F4B3801"/>
    <w:lvl w:ilvl="0" w:tentative="0">
      <w:start w:val="1"/>
      <w:numFmt w:val="lowerLetter"/>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5">
    <w:nsid w:val="646260FA"/>
    <w:multiLevelType w:val="multilevel"/>
    <w:tmpl w:val="646260FA"/>
    <w:lvl w:ilvl="0" w:tentative="0">
      <w:start w:val="1"/>
      <w:numFmt w:val="decimal"/>
      <w:pStyle w:val="198"/>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6">
    <w:nsid w:val="7AEF7716"/>
    <w:multiLevelType w:val="multilevel"/>
    <w:tmpl w:val="7AEF7716"/>
    <w:lvl w:ilvl="0" w:tentative="0">
      <w:start w:val="1"/>
      <w:numFmt w:val="chineseCountingThousand"/>
      <w:pStyle w:val="119"/>
      <w:lvlText w:val="%1"/>
      <w:lvlJc w:val="left"/>
      <w:pPr>
        <w:tabs>
          <w:tab w:val="left" w:pos="1290"/>
        </w:tabs>
        <w:ind w:left="630" w:hanging="420"/>
      </w:pPr>
      <w:rPr>
        <w:rFonts w:hint="eastAsia"/>
        <w:sz w:val="32"/>
        <w:szCs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5"/>
  </w:num>
  <w:num w:numId="2">
    <w:abstractNumId w:val="4"/>
  </w:num>
  <w:num w:numId="3">
    <w:abstractNumId w:val="8"/>
  </w:num>
  <w:num w:numId="4">
    <w:abstractNumId w:val="7"/>
  </w:num>
  <w:num w:numId="5">
    <w:abstractNumId w:val="16"/>
  </w:num>
  <w:num w:numId="6">
    <w:abstractNumId w:val="10"/>
  </w:num>
  <w:num w:numId="7">
    <w:abstractNumId w:val="15"/>
  </w:num>
  <w:num w:numId="8">
    <w:abstractNumId w:val="12"/>
  </w:num>
  <w:num w:numId="9">
    <w:abstractNumId w:val="3"/>
  </w:num>
  <w:num w:numId="10">
    <w:abstractNumId w:val="9"/>
  </w:num>
  <w:num w:numId="11">
    <w:abstractNumId w:val="11"/>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0"/>
  </w:num>
  <w:num w:numId="15">
    <w:abstractNumId w:val="1"/>
  </w:num>
  <w:num w:numId="16">
    <w:abstractNumId w:val="6"/>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VkYjIyMjcxNTBjMWYzYTc1ZjMzMTRjZmMyNTg0MTIifQ=="/>
  </w:docVars>
  <w:rsids>
    <w:rsidRoot w:val="006C5683"/>
    <w:rsid w:val="00000AD9"/>
    <w:rsid w:val="000041AD"/>
    <w:rsid w:val="000043C0"/>
    <w:rsid w:val="000050CA"/>
    <w:rsid w:val="000051C6"/>
    <w:rsid w:val="00005215"/>
    <w:rsid w:val="00005A10"/>
    <w:rsid w:val="00005D3D"/>
    <w:rsid w:val="00006F7B"/>
    <w:rsid w:val="00007355"/>
    <w:rsid w:val="00007951"/>
    <w:rsid w:val="00007DB0"/>
    <w:rsid w:val="00010063"/>
    <w:rsid w:val="00010102"/>
    <w:rsid w:val="00011EA6"/>
    <w:rsid w:val="00012B21"/>
    <w:rsid w:val="0001300F"/>
    <w:rsid w:val="00013262"/>
    <w:rsid w:val="0001451A"/>
    <w:rsid w:val="0001480D"/>
    <w:rsid w:val="00014A5C"/>
    <w:rsid w:val="00015388"/>
    <w:rsid w:val="00015BDD"/>
    <w:rsid w:val="00015C88"/>
    <w:rsid w:val="00016D97"/>
    <w:rsid w:val="0001716B"/>
    <w:rsid w:val="00017F81"/>
    <w:rsid w:val="00020691"/>
    <w:rsid w:val="000211EA"/>
    <w:rsid w:val="000234B2"/>
    <w:rsid w:val="00025AE4"/>
    <w:rsid w:val="0002684B"/>
    <w:rsid w:val="00027645"/>
    <w:rsid w:val="00027DAC"/>
    <w:rsid w:val="000300AE"/>
    <w:rsid w:val="000300EE"/>
    <w:rsid w:val="000302B6"/>
    <w:rsid w:val="0003106D"/>
    <w:rsid w:val="00031700"/>
    <w:rsid w:val="00031F6E"/>
    <w:rsid w:val="0003277F"/>
    <w:rsid w:val="00032948"/>
    <w:rsid w:val="00032ACA"/>
    <w:rsid w:val="00032B0A"/>
    <w:rsid w:val="0003315D"/>
    <w:rsid w:val="00033DE7"/>
    <w:rsid w:val="0003541F"/>
    <w:rsid w:val="00035CD1"/>
    <w:rsid w:val="00036A2B"/>
    <w:rsid w:val="000377D2"/>
    <w:rsid w:val="00040D3C"/>
    <w:rsid w:val="00040E5A"/>
    <w:rsid w:val="00042897"/>
    <w:rsid w:val="00042C84"/>
    <w:rsid w:val="00043739"/>
    <w:rsid w:val="00043A89"/>
    <w:rsid w:val="00045739"/>
    <w:rsid w:val="00046D30"/>
    <w:rsid w:val="000510B6"/>
    <w:rsid w:val="00051133"/>
    <w:rsid w:val="00051F3F"/>
    <w:rsid w:val="000521D8"/>
    <w:rsid w:val="00052BC1"/>
    <w:rsid w:val="00053A89"/>
    <w:rsid w:val="00054D1F"/>
    <w:rsid w:val="0005582B"/>
    <w:rsid w:val="00056247"/>
    <w:rsid w:val="00056292"/>
    <w:rsid w:val="00056C11"/>
    <w:rsid w:val="00057302"/>
    <w:rsid w:val="00057332"/>
    <w:rsid w:val="0005785A"/>
    <w:rsid w:val="00057D00"/>
    <w:rsid w:val="00057DC0"/>
    <w:rsid w:val="00060B1F"/>
    <w:rsid w:val="0006267A"/>
    <w:rsid w:val="0006335B"/>
    <w:rsid w:val="00063C25"/>
    <w:rsid w:val="00064231"/>
    <w:rsid w:val="00064892"/>
    <w:rsid w:val="00064C7A"/>
    <w:rsid w:val="00066026"/>
    <w:rsid w:val="000661FF"/>
    <w:rsid w:val="00066537"/>
    <w:rsid w:val="0006660A"/>
    <w:rsid w:val="0006670C"/>
    <w:rsid w:val="00067960"/>
    <w:rsid w:val="0007003A"/>
    <w:rsid w:val="00070210"/>
    <w:rsid w:val="000707BF"/>
    <w:rsid w:val="00071FF0"/>
    <w:rsid w:val="0007277D"/>
    <w:rsid w:val="000734CD"/>
    <w:rsid w:val="00074403"/>
    <w:rsid w:val="00074CF0"/>
    <w:rsid w:val="000750DC"/>
    <w:rsid w:val="0007583C"/>
    <w:rsid w:val="00076057"/>
    <w:rsid w:val="000770EC"/>
    <w:rsid w:val="00081E95"/>
    <w:rsid w:val="00082667"/>
    <w:rsid w:val="00082AD2"/>
    <w:rsid w:val="00083DC6"/>
    <w:rsid w:val="000840D4"/>
    <w:rsid w:val="00084857"/>
    <w:rsid w:val="00084F26"/>
    <w:rsid w:val="0008503C"/>
    <w:rsid w:val="000850AF"/>
    <w:rsid w:val="000852EB"/>
    <w:rsid w:val="00086539"/>
    <w:rsid w:val="000869D8"/>
    <w:rsid w:val="00086CA6"/>
    <w:rsid w:val="00090213"/>
    <w:rsid w:val="000903AC"/>
    <w:rsid w:val="00092FC7"/>
    <w:rsid w:val="00093133"/>
    <w:rsid w:val="0009395E"/>
    <w:rsid w:val="00094603"/>
    <w:rsid w:val="000954D5"/>
    <w:rsid w:val="00095723"/>
    <w:rsid w:val="0009618D"/>
    <w:rsid w:val="0009709B"/>
    <w:rsid w:val="000975E3"/>
    <w:rsid w:val="00097DDA"/>
    <w:rsid w:val="000A1DD1"/>
    <w:rsid w:val="000A21A5"/>
    <w:rsid w:val="000A3908"/>
    <w:rsid w:val="000A4C29"/>
    <w:rsid w:val="000A5EA4"/>
    <w:rsid w:val="000A6E2B"/>
    <w:rsid w:val="000A79D3"/>
    <w:rsid w:val="000B05E2"/>
    <w:rsid w:val="000B0C99"/>
    <w:rsid w:val="000B0F8B"/>
    <w:rsid w:val="000B2213"/>
    <w:rsid w:val="000B2568"/>
    <w:rsid w:val="000B41BB"/>
    <w:rsid w:val="000B5357"/>
    <w:rsid w:val="000B5853"/>
    <w:rsid w:val="000B597F"/>
    <w:rsid w:val="000B634D"/>
    <w:rsid w:val="000B7465"/>
    <w:rsid w:val="000C14CB"/>
    <w:rsid w:val="000C18BC"/>
    <w:rsid w:val="000C1EE4"/>
    <w:rsid w:val="000C1FF9"/>
    <w:rsid w:val="000C21C4"/>
    <w:rsid w:val="000C4151"/>
    <w:rsid w:val="000C4425"/>
    <w:rsid w:val="000C4B12"/>
    <w:rsid w:val="000C4FCB"/>
    <w:rsid w:val="000C5EA0"/>
    <w:rsid w:val="000C5FA7"/>
    <w:rsid w:val="000C7E71"/>
    <w:rsid w:val="000D16AA"/>
    <w:rsid w:val="000D1A7D"/>
    <w:rsid w:val="000D2309"/>
    <w:rsid w:val="000D2CCA"/>
    <w:rsid w:val="000D366B"/>
    <w:rsid w:val="000D38F9"/>
    <w:rsid w:val="000D5D6B"/>
    <w:rsid w:val="000D62C8"/>
    <w:rsid w:val="000D76F9"/>
    <w:rsid w:val="000D7A20"/>
    <w:rsid w:val="000E0BFC"/>
    <w:rsid w:val="000E161C"/>
    <w:rsid w:val="000E266E"/>
    <w:rsid w:val="000E2B61"/>
    <w:rsid w:val="000E470B"/>
    <w:rsid w:val="000E4DE8"/>
    <w:rsid w:val="000E50F5"/>
    <w:rsid w:val="000E5906"/>
    <w:rsid w:val="000E5E99"/>
    <w:rsid w:val="000E73D9"/>
    <w:rsid w:val="000F0C3B"/>
    <w:rsid w:val="000F0E9F"/>
    <w:rsid w:val="000F1540"/>
    <w:rsid w:val="000F2065"/>
    <w:rsid w:val="000F256D"/>
    <w:rsid w:val="000F2A88"/>
    <w:rsid w:val="000F2C23"/>
    <w:rsid w:val="000F2D1B"/>
    <w:rsid w:val="000F3658"/>
    <w:rsid w:val="000F3697"/>
    <w:rsid w:val="000F3B37"/>
    <w:rsid w:val="000F3F12"/>
    <w:rsid w:val="000F4478"/>
    <w:rsid w:val="000F565B"/>
    <w:rsid w:val="000F5C6C"/>
    <w:rsid w:val="000F5F3F"/>
    <w:rsid w:val="00100425"/>
    <w:rsid w:val="00100570"/>
    <w:rsid w:val="00100C7B"/>
    <w:rsid w:val="0010184B"/>
    <w:rsid w:val="00101CE5"/>
    <w:rsid w:val="00101DD0"/>
    <w:rsid w:val="00102555"/>
    <w:rsid w:val="001029C0"/>
    <w:rsid w:val="00102B4B"/>
    <w:rsid w:val="00103AB9"/>
    <w:rsid w:val="00103E80"/>
    <w:rsid w:val="00104CC6"/>
    <w:rsid w:val="001061A4"/>
    <w:rsid w:val="00107187"/>
    <w:rsid w:val="00107272"/>
    <w:rsid w:val="00107D54"/>
    <w:rsid w:val="00110B62"/>
    <w:rsid w:val="001110F0"/>
    <w:rsid w:val="00111581"/>
    <w:rsid w:val="00111CEB"/>
    <w:rsid w:val="00111F8F"/>
    <w:rsid w:val="0011245C"/>
    <w:rsid w:val="00114BCB"/>
    <w:rsid w:val="0011500F"/>
    <w:rsid w:val="00115A55"/>
    <w:rsid w:val="0011665D"/>
    <w:rsid w:val="00116AAC"/>
    <w:rsid w:val="0011754F"/>
    <w:rsid w:val="00117D55"/>
    <w:rsid w:val="001204B2"/>
    <w:rsid w:val="001212EF"/>
    <w:rsid w:val="001217DC"/>
    <w:rsid w:val="00121F81"/>
    <w:rsid w:val="0012203F"/>
    <w:rsid w:val="00123CC6"/>
    <w:rsid w:val="00125689"/>
    <w:rsid w:val="00125C8A"/>
    <w:rsid w:val="001261FC"/>
    <w:rsid w:val="00126CD7"/>
    <w:rsid w:val="001306FE"/>
    <w:rsid w:val="00130827"/>
    <w:rsid w:val="001308A2"/>
    <w:rsid w:val="00131140"/>
    <w:rsid w:val="00132FD3"/>
    <w:rsid w:val="00133A61"/>
    <w:rsid w:val="001341E8"/>
    <w:rsid w:val="001362BD"/>
    <w:rsid w:val="0013673A"/>
    <w:rsid w:val="00137F86"/>
    <w:rsid w:val="001410EB"/>
    <w:rsid w:val="00141B41"/>
    <w:rsid w:val="00143554"/>
    <w:rsid w:val="00143653"/>
    <w:rsid w:val="00143934"/>
    <w:rsid w:val="00143B3A"/>
    <w:rsid w:val="00143E43"/>
    <w:rsid w:val="00143FFC"/>
    <w:rsid w:val="001453B3"/>
    <w:rsid w:val="00146ABB"/>
    <w:rsid w:val="00147338"/>
    <w:rsid w:val="00147A48"/>
    <w:rsid w:val="00150143"/>
    <w:rsid w:val="001509AB"/>
    <w:rsid w:val="00152E91"/>
    <w:rsid w:val="00153C18"/>
    <w:rsid w:val="0015460B"/>
    <w:rsid w:val="001566E7"/>
    <w:rsid w:val="00156CA9"/>
    <w:rsid w:val="00157465"/>
    <w:rsid w:val="0015771E"/>
    <w:rsid w:val="00157E23"/>
    <w:rsid w:val="00157FC3"/>
    <w:rsid w:val="00160ACE"/>
    <w:rsid w:val="00161C4F"/>
    <w:rsid w:val="00161C84"/>
    <w:rsid w:val="00161F2A"/>
    <w:rsid w:val="00161FDF"/>
    <w:rsid w:val="001626BD"/>
    <w:rsid w:val="00162C33"/>
    <w:rsid w:val="0016340E"/>
    <w:rsid w:val="001645C4"/>
    <w:rsid w:val="00164E23"/>
    <w:rsid w:val="0016595F"/>
    <w:rsid w:val="00166A2C"/>
    <w:rsid w:val="00166BF2"/>
    <w:rsid w:val="00166CC3"/>
    <w:rsid w:val="00166F71"/>
    <w:rsid w:val="00170A9E"/>
    <w:rsid w:val="0017121A"/>
    <w:rsid w:val="00171401"/>
    <w:rsid w:val="00171777"/>
    <w:rsid w:val="001719FB"/>
    <w:rsid w:val="00172664"/>
    <w:rsid w:val="0017270B"/>
    <w:rsid w:val="00172B65"/>
    <w:rsid w:val="00172EF5"/>
    <w:rsid w:val="001732E1"/>
    <w:rsid w:val="00175189"/>
    <w:rsid w:val="00175D12"/>
    <w:rsid w:val="0017613E"/>
    <w:rsid w:val="00177167"/>
    <w:rsid w:val="00177F97"/>
    <w:rsid w:val="00180411"/>
    <w:rsid w:val="00181A71"/>
    <w:rsid w:val="0018261B"/>
    <w:rsid w:val="001834A7"/>
    <w:rsid w:val="0018373B"/>
    <w:rsid w:val="00183B40"/>
    <w:rsid w:val="00183C79"/>
    <w:rsid w:val="00183C8B"/>
    <w:rsid w:val="00183E75"/>
    <w:rsid w:val="001845CF"/>
    <w:rsid w:val="00185A98"/>
    <w:rsid w:val="001865BB"/>
    <w:rsid w:val="00187518"/>
    <w:rsid w:val="00187743"/>
    <w:rsid w:val="00187CEC"/>
    <w:rsid w:val="0019096C"/>
    <w:rsid w:val="00191EA7"/>
    <w:rsid w:val="00192164"/>
    <w:rsid w:val="00193EB7"/>
    <w:rsid w:val="00194ACA"/>
    <w:rsid w:val="00194C98"/>
    <w:rsid w:val="00194FB7"/>
    <w:rsid w:val="00196B4E"/>
    <w:rsid w:val="001975A1"/>
    <w:rsid w:val="001A027A"/>
    <w:rsid w:val="001A08E4"/>
    <w:rsid w:val="001A0D2C"/>
    <w:rsid w:val="001A11D8"/>
    <w:rsid w:val="001A12B5"/>
    <w:rsid w:val="001A174B"/>
    <w:rsid w:val="001A1C72"/>
    <w:rsid w:val="001A2976"/>
    <w:rsid w:val="001A3980"/>
    <w:rsid w:val="001A422B"/>
    <w:rsid w:val="001A440A"/>
    <w:rsid w:val="001A47C6"/>
    <w:rsid w:val="001A4A55"/>
    <w:rsid w:val="001A5C6F"/>
    <w:rsid w:val="001A61D0"/>
    <w:rsid w:val="001A6A4F"/>
    <w:rsid w:val="001A76B7"/>
    <w:rsid w:val="001B015C"/>
    <w:rsid w:val="001B1339"/>
    <w:rsid w:val="001B1B58"/>
    <w:rsid w:val="001B1F55"/>
    <w:rsid w:val="001B2049"/>
    <w:rsid w:val="001B2934"/>
    <w:rsid w:val="001B4A37"/>
    <w:rsid w:val="001B4BB2"/>
    <w:rsid w:val="001B6FAD"/>
    <w:rsid w:val="001C04B2"/>
    <w:rsid w:val="001C1FDE"/>
    <w:rsid w:val="001C2063"/>
    <w:rsid w:val="001C21E1"/>
    <w:rsid w:val="001C3426"/>
    <w:rsid w:val="001C4768"/>
    <w:rsid w:val="001C5839"/>
    <w:rsid w:val="001C6431"/>
    <w:rsid w:val="001C6AF6"/>
    <w:rsid w:val="001C7129"/>
    <w:rsid w:val="001C77E1"/>
    <w:rsid w:val="001C7ADA"/>
    <w:rsid w:val="001D0FD3"/>
    <w:rsid w:val="001D121D"/>
    <w:rsid w:val="001D1C29"/>
    <w:rsid w:val="001D3543"/>
    <w:rsid w:val="001D35FD"/>
    <w:rsid w:val="001D3B85"/>
    <w:rsid w:val="001D3DF1"/>
    <w:rsid w:val="001D4151"/>
    <w:rsid w:val="001D4BB9"/>
    <w:rsid w:val="001D501B"/>
    <w:rsid w:val="001D58E5"/>
    <w:rsid w:val="001D5EAE"/>
    <w:rsid w:val="001E07AA"/>
    <w:rsid w:val="001E0FAB"/>
    <w:rsid w:val="001E2502"/>
    <w:rsid w:val="001E292F"/>
    <w:rsid w:val="001E351C"/>
    <w:rsid w:val="001E38F8"/>
    <w:rsid w:val="001E474D"/>
    <w:rsid w:val="001E506D"/>
    <w:rsid w:val="001E5194"/>
    <w:rsid w:val="001E5A81"/>
    <w:rsid w:val="001E62FB"/>
    <w:rsid w:val="001E6A0B"/>
    <w:rsid w:val="001E6B23"/>
    <w:rsid w:val="001E77DA"/>
    <w:rsid w:val="001E7A2F"/>
    <w:rsid w:val="001E7AB0"/>
    <w:rsid w:val="001E7DD0"/>
    <w:rsid w:val="001F0349"/>
    <w:rsid w:val="001F077B"/>
    <w:rsid w:val="001F0B74"/>
    <w:rsid w:val="001F2648"/>
    <w:rsid w:val="001F41B9"/>
    <w:rsid w:val="001F4BE8"/>
    <w:rsid w:val="001F4EB8"/>
    <w:rsid w:val="001F560A"/>
    <w:rsid w:val="001F6318"/>
    <w:rsid w:val="001F65B1"/>
    <w:rsid w:val="001F6B83"/>
    <w:rsid w:val="001F6F6A"/>
    <w:rsid w:val="001F7595"/>
    <w:rsid w:val="001F7FE7"/>
    <w:rsid w:val="002000B8"/>
    <w:rsid w:val="00200B4C"/>
    <w:rsid w:val="0020303B"/>
    <w:rsid w:val="00203267"/>
    <w:rsid w:val="00203897"/>
    <w:rsid w:val="0020391D"/>
    <w:rsid w:val="00205CDC"/>
    <w:rsid w:val="00205F9C"/>
    <w:rsid w:val="002060F7"/>
    <w:rsid w:val="00207BC6"/>
    <w:rsid w:val="00210771"/>
    <w:rsid w:val="00210C22"/>
    <w:rsid w:val="00211885"/>
    <w:rsid w:val="00212ADF"/>
    <w:rsid w:val="00212B9E"/>
    <w:rsid w:val="002134CF"/>
    <w:rsid w:val="00213A60"/>
    <w:rsid w:val="0021429B"/>
    <w:rsid w:val="00215699"/>
    <w:rsid w:val="002159DE"/>
    <w:rsid w:val="00215B1C"/>
    <w:rsid w:val="00215E99"/>
    <w:rsid w:val="0021667D"/>
    <w:rsid w:val="002166A1"/>
    <w:rsid w:val="002166A6"/>
    <w:rsid w:val="00216BB6"/>
    <w:rsid w:val="0022048B"/>
    <w:rsid w:val="0022175C"/>
    <w:rsid w:val="00221D76"/>
    <w:rsid w:val="00222261"/>
    <w:rsid w:val="00223AB6"/>
    <w:rsid w:val="00223AC8"/>
    <w:rsid w:val="00223C96"/>
    <w:rsid w:val="00224852"/>
    <w:rsid w:val="00225935"/>
    <w:rsid w:val="0022634D"/>
    <w:rsid w:val="00226437"/>
    <w:rsid w:val="0022711A"/>
    <w:rsid w:val="00227512"/>
    <w:rsid w:val="0022766E"/>
    <w:rsid w:val="002278D5"/>
    <w:rsid w:val="00227C13"/>
    <w:rsid w:val="00227D49"/>
    <w:rsid w:val="00227FC7"/>
    <w:rsid w:val="00230C3C"/>
    <w:rsid w:val="00230F66"/>
    <w:rsid w:val="00233A54"/>
    <w:rsid w:val="00234440"/>
    <w:rsid w:val="002347C9"/>
    <w:rsid w:val="00235A73"/>
    <w:rsid w:val="00236E72"/>
    <w:rsid w:val="002411BD"/>
    <w:rsid w:val="00244711"/>
    <w:rsid w:val="00244AE4"/>
    <w:rsid w:val="00245EBE"/>
    <w:rsid w:val="00246C63"/>
    <w:rsid w:val="002472C1"/>
    <w:rsid w:val="002473F4"/>
    <w:rsid w:val="00250600"/>
    <w:rsid w:val="002506E1"/>
    <w:rsid w:val="00250F42"/>
    <w:rsid w:val="00252934"/>
    <w:rsid w:val="00252EBA"/>
    <w:rsid w:val="0025361A"/>
    <w:rsid w:val="002545EF"/>
    <w:rsid w:val="00254B44"/>
    <w:rsid w:val="00254E99"/>
    <w:rsid w:val="00255B9B"/>
    <w:rsid w:val="002562E9"/>
    <w:rsid w:val="00256596"/>
    <w:rsid w:val="0026027A"/>
    <w:rsid w:val="00260533"/>
    <w:rsid w:val="002605CE"/>
    <w:rsid w:val="00261367"/>
    <w:rsid w:val="00261A54"/>
    <w:rsid w:val="00261C21"/>
    <w:rsid w:val="00261D37"/>
    <w:rsid w:val="00262D6B"/>
    <w:rsid w:val="00262ED0"/>
    <w:rsid w:val="00263607"/>
    <w:rsid w:val="002638EE"/>
    <w:rsid w:val="00264965"/>
    <w:rsid w:val="002656E1"/>
    <w:rsid w:val="00265CFF"/>
    <w:rsid w:val="002662AC"/>
    <w:rsid w:val="002707F2"/>
    <w:rsid w:val="00270B4E"/>
    <w:rsid w:val="00271500"/>
    <w:rsid w:val="00272E57"/>
    <w:rsid w:val="002734A9"/>
    <w:rsid w:val="00274663"/>
    <w:rsid w:val="00275641"/>
    <w:rsid w:val="0027569A"/>
    <w:rsid w:val="002767D9"/>
    <w:rsid w:val="0027757E"/>
    <w:rsid w:val="00280184"/>
    <w:rsid w:val="00280F4B"/>
    <w:rsid w:val="00281152"/>
    <w:rsid w:val="002821E9"/>
    <w:rsid w:val="002827D2"/>
    <w:rsid w:val="00283488"/>
    <w:rsid w:val="002835B7"/>
    <w:rsid w:val="0028361E"/>
    <w:rsid w:val="00284B7C"/>
    <w:rsid w:val="00284C1F"/>
    <w:rsid w:val="002851AF"/>
    <w:rsid w:val="00286129"/>
    <w:rsid w:val="0028787B"/>
    <w:rsid w:val="00287E1B"/>
    <w:rsid w:val="00290263"/>
    <w:rsid w:val="002908A7"/>
    <w:rsid w:val="00291768"/>
    <w:rsid w:val="00291796"/>
    <w:rsid w:val="00292C52"/>
    <w:rsid w:val="00292F66"/>
    <w:rsid w:val="0029315D"/>
    <w:rsid w:val="00293A33"/>
    <w:rsid w:val="0029449E"/>
    <w:rsid w:val="0029488D"/>
    <w:rsid w:val="00294E82"/>
    <w:rsid w:val="002951FD"/>
    <w:rsid w:val="0029530C"/>
    <w:rsid w:val="00296020"/>
    <w:rsid w:val="0029693F"/>
    <w:rsid w:val="002969C6"/>
    <w:rsid w:val="00296F46"/>
    <w:rsid w:val="00296F8A"/>
    <w:rsid w:val="00297AD1"/>
    <w:rsid w:val="00297CCD"/>
    <w:rsid w:val="002A11CE"/>
    <w:rsid w:val="002A13E2"/>
    <w:rsid w:val="002A180F"/>
    <w:rsid w:val="002A199B"/>
    <w:rsid w:val="002A1B36"/>
    <w:rsid w:val="002A2BC2"/>
    <w:rsid w:val="002A37E6"/>
    <w:rsid w:val="002A409A"/>
    <w:rsid w:val="002A4BFA"/>
    <w:rsid w:val="002A4D7B"/>
    <w:rsid w:val="002A4DFC"/>
    <w:rsid w:val="002B0660"/>
    <w:rsid w:val="002B1286"/>
    <w:rsid w:val="002B18D6"/>
    <w:rsid w:val="002B1B98"/>
    <w:rsid w:val="002B22D4"/>
    <w:rsid w:val="002B3259"/>
    <w:rsid w:val="002B3984"/>
    <w:rsid w:val="002B4595"/>
    <w:rsid w:val="002B45EE"/>
    <w:rsid w:val="002B4BF3"/>
    <w:rsid w:val="002B55C8"/>
    <w:rsid w:val="002B5E4B"/>
    <w:rsid w:val="002B660D"/>
    <w:rsid w:val="002B7969"/>
    <w:rsid w:val="002C0031"/>
    <w:rsid w:val="002C0485"/>
    <w:rsid w:val="002C0762"/>
    <w:rsid w:val="002C0C86"/>
    <w:rsid w:val="002C1397"/>
    <w:rsid w:val="002C257A"/>
    <w:rsid w:val="002C2BEC"/>
    <w:rsid w:val="002C30C0"/>
    <w:rsid w:val="002C4F4B"/>
    <w:rsid w:val="002C6EC0"/>
    <w:rsid w:val="002C7A58"/>
    <w:rsid w:val="002D0356"/>
    <w:rsid w:val="002D07C0"/>
    <w:rsid w:val="002D0F98"/>
    <w:rsid w:val="002D1DFB"/>
    <w:rsid w:val="002D45BF"/>
    <w:rsid w:val="002D4A85"/>
    <w:rsid w:val="002D4B65"/>
    <w:rsid w:val="002D6162"/>
    <w:rsid w:val="002D64DF"/>
    <w:rsid w:val="002D71EF"/>
    <w:rsid w:val="002E00F3"/>
    <w:rsid w:val="002E242E"/>
    <w:rsid w:val="002E255F"/>
    <w:rsid w:val="002E2CED"/>
    <w:rsid w:val="002E2FEC"/>
    <w:rsid w:val="002E38DB"/>
    <w:rsid w:val="002E4AB1"/>
    <w:rsid w:val="002E4F8A"/>
    <w:rsid w:val="002E505D"/>
    <w:rsid w:val="002E73B8"/>
    <w:rsid w:val="002F0823"/>
    <w:rsid w:val="002F0F0F"/>
    <w:rsid w:val="002F113B"/>
    <w:rsid w:val="002F2471"/>
    <w:rsid w:val="002F2B7A"/>
    <w:rsid w:val="002F3105"/>
    <w:rsid w:val="002F4864"/>
    <w:rsid w:val="002F5E6C"/>
    <w:rsid w:val="002F6DD7"/>
    <w:rsid w:val="002F72FF"/>
    <w:rsid w:val="002F7987"/>
    <w:rsid w:val="002F79D4"/>
    <w:rsid w:val="003005C9"/>
    <w:rsid w:val="00300BF3"/>
    <w:rsid w:val="0030143F"/>
    <w:rsid w:val="00301BCD"/>
    <w:rsid w:val="003024C7"/>
    <w:rsid w:val="00303636"/>
    <w:rsid w:val="00303ACF"/>
    <w:rsid w:val="0030463E"/>
    <w:rsid w:val="003047AB"/>
    <w:rsid w:val="00304ED6"/>
    <w:rsid w:val="0030661C"/>
    <w:rsid w:val="00306D5D"/>
    <w:rsid w:val="00306FF4"/>
    <w:rsid w:val="003074C6"/>
    <w:rsid w:val="00307A08"/>
    <w:rsid w:val="0031060A"/>
    <w:rsid w:val="00310EE1"/>
    <w:rsid w:val="00311901"/>
    <w:rsid w:val="003122B0"/>
    <w:rsid w:val="00312390"/>
    <w:rsid w:val="003138EB"/>
    <w:rsid w:val="003139DD"/>
    <w:rsid w:val="0031450D"/>
    <w:rsid w:val="00315880"/>
    <w:rsid w:val="00315A06"/>
    <w:rsid w:val="0031678B"/>
    <w:rsid w:val="0031683C"/>
    <w:rsid w:val="00317146"/>
    <w:rsid w:val="003176EA"/>
    <w:rsid w:val="00317D36"/>
    <w:rsid w:val="00321473"/>
    <w:rsid w:val="003225FB"/>
    <w:rsid w:val="00323A7C"/>
    <w:rsid w:val="00323BE9"/>
    <w:rsid w:val="00323C32"/>
    <w:rsid w:val="00323CC7"/>
    <w:rsid w:val="003241C6"/>
    <w:rsid w:val="003242A8"/>
    <w:rsid w:val="00324827"/>
    <w:rsid w:val="00324A1D"/>
    <w:rsid w:val="00324C55"/>
    <w:rsid w:val="003250B4"/>
    <w:rsid w:val="00325607"/>
    <w:rsid w:val="00325742"/>
    <w:rsid w:val="0032631C"/>
    <w:rsid w:val="00327AB3"/>
    <w:rsid w:val="00327F9E"/>
    <w:rsid w:val="00330527"/>
    <w:rsid w:val="003318A6"/>
    <w:rsid w:val="00331D51"/>
    <w:rsid w:val="003321A8"/>
    <w:rsid w:val="00332EB1"/>
    <w:rsid w:val="003331BB"/>
    <w:rsid w:val="00333E63"/>
    <w:rsid w:val="00334044"/>
    <w:rsid w:val="0033497C"/>
    <w:rsid w:val="00334C1F"/>
    <w:rsid w:val="00334FA0"/>
    <w:rsid w:val="00335188"/>
    <w:rsid w:val="00335234"/>
    <w:rsid w:val="003373B8"/>
    <w:rsid w:val="00340402"/>
    <w:rsid w:val="003413F4"/>
    <w:rsid w:val="00342DC1"/>
    <w:rsid w:val="00342EF7"/>
    <w:rsid w:val="003432B6"/>
    <w:rsid w:val="00343F41"/>
    <w:rsid w:val="0034427F"/>
    <w:rsid w:val="00344BF3"/>
    <w:rsid w:val="00345CC1"/>
    <w:rsid w:val="00345EA7"/>
    <w:rsid w:val="00345F52"/>
    <w:rsid w:val="0034629D"/>
    <w:rsid w:val="0034652C"/>
    <w:rsid w:val="00346606"/>
    <w:rsid w:val="00346B62"/>
    <w:rsid w:val="00346E73"/>
    <w:rsid w:val="00350219"/>
    <w:rsid w:val="00350368"/>
    <w:rsid w:val="0035067B"/>
    <w:rsid w:val="00350B6E"/>
    <w:rsid w:val="00351A4A"/>
    <w:rsid w:val="00351D95"/>
    <w:rsid w:val="00351E32"/>
    <w:rsid w:val="00351FB4"/>
    <w:rsid w:val="00352E52"/>
    <w:rsid w:val="00353860"/>
    <w:rsid w:val="00353C7B"/>
    <w:rsid w:val="00354CD9"/>
    <w:rsid w:val="003556C1"/>
    <w:rsid w:val="00355EEE"/>
    <w:rsid w:val="00356B23"/>
    <w:rsid w:val="00360494"/>
    <w:rsid w:val="00360C00"/>
    <w:rsid w:val="00360E7E"/>
    <w:rsid w:val="00361935"/>
    <w:rsid w:val="003626AE"/>
    <w:rsid w:val="003632AA"/>
    <w:rsid w:val="0036508D"/>
    <w:rsid w:val="003651C8"/>
    <w:rsid w:val="0036548D"/>
    <w:rsid w:val="00366321"/>
    <w:rsid w:val="003669F1"/>
    <w:rsid w:val="00366F10"/>
    <w:rsid w:val="003700A3"/>
    <w:rsid w:val="003706AA"/>
    <w:rsid w:val="00370B40"/>
    <w:rsid w:val="00371C15"/>
    <w:rsid w:val="003720AD"/>
    <w:rsid w:val="00372CDF"/>
    <w:rsid w:val="0037330D"/>
    <w:rsid w:val="00373411"/>
    <w:rsid w:val="00373D40"/>
    <w:rsid w:val="00373F52"/>
    <w:rsid w:val="003741F6"/>
    <w:rsid w:val="00374A29"/>
    <w:rsid w:val="00374FA4"/>
    <w:rsid w:val="003756C6"/>
    <w:rsid w:val="00375EFF"/>
    <w:rsid w:val="00376E35"/>
    <w:rsid w:val="003773E4"/>
    <w:rsid w:val="00377F6C"/>
    <w:rsid w:val="00380094"/>
    <w:rsid w:val="00380256"/>
    <w:rsid w:val="0038165D"/>
    <w:rsid w:val="00381812"/>
    <w:rsid w:val="00383071"/>
    <w:rsid w:val="00383BBC"/>
    <w:rsid w:val="0038418D"/>
    <w:rsid w:val="003849DF"/>
    <w:rsid w:val="00385444"/>
    <w:rsid w:val="00385717"/>
    <w:rsid w:val="00385C8D"/>
    <w:rsid w:val="00385F39"/>
    <w:rsid w:val="00386070"/>
    <w:rsid w:val="003900A5"/>
    <w:rsid w:val="00390941"/>
    <w:rsid w:val="003917AD"/>
    <w:rsid w:val="00391FAB"/>
    <w:rsid w:val="00392539"/>
    <w:rsid w:val="00392677"/>
    <w:rsid w:val="00393431"/>
    <w:rsid w:val="00393633"/>
    <w:rsid w:val="00393B41"/>
    <w:rsid w:val="003945E2"/>
    <w:rsid w:val="00394981"/>
    <w:rsid w:val="003953A8"/>
    <w:rsid w:val="003958E6"/>
    <w:rsid w:val="00395D76"/>
    <w:rsid w:val="00396986"/>
    <w:rsid w:val="00396F7B"/>
    <w:rsid w:val="00396FA3"/>
    <w:rsid w:val="00397077"/>
    <w:rsid w:val="0039788E"/>
    <w:rsid w:val="00397BCF"/>
    <w:rsid w:val="00397F0D"/>
    <w:rsid w:val="003A0DC3"/>
    <w:rsid w:val="003A1CF5"/>
    <w:rsid w:val="003A2812"/>
    <w:rsid w:val="003A2D0C"/>
    <w:rsid w:val="003A3298"/>
    <w:rsid w:val="003A3304"/>
    <w:rsid w:val="003A3551"/>
    <w:rsid w:val="003A38F0"/>
    <w:rsid w:val="003A443D"/>
    <w:rsid w:val="003A4708"/>
    <w:rsid w:val="003A4BAB"/>
    <w:rsid w:val="003A6A5A"/>
    <w:rsid w:val="003A72E9"/>
    <w:rsid w:val="003B06AD"/>
    <w:rsid w:val="003B06B9"/>
    <w:rsid w:val="003B0979"/>
    <w:rsid w:val="003B15E9"/>
    <w:rsid w:val="003B175A"/>
    <w:rsid w:val="003B3231"/>
    <w:rsid w:val="003B357A"/>
    <w:rsid w:val="003B4714"/>
    <w:rsid w:val="003B499C"/>
    <w:rsid w:val="003B4CCD"/>
    <w:rsid w:val="003B53D4"/>
    <w:rsid w:val="003B7298"/>
    <w:rsid w:val="003C0036"/>
    <w:rsid w:val="003C0FF8"/>
    <w:rsid w:val="003C43DA"/>
    <w:rsid w:val="003C4FD5"/>
    <w:rsid w:val="003C5585"/>
    <w:rsid w:val="003C57DD"/>
    <w:rsid w:val="003C582B"/>
    <w:rsid w:val="003C614D"/>
    <w:rsid w:val="003C77E9"/>
    <w:rsid w:val="003D152F"/>
    <w:rsid w:val="003D19EE"/>
    <w:rsid w:val="003D2333"/>
    <w:rsid w:val="003D2374"/>
    <w:rsid w:val="003D2B3A"/>
    <w:rsid w:val="003D3241"/>
    <w:rsid w:val="003D4804"/>
    <w:rsid w:val="003D5413"/>
    <w:rsid w:val="003D73E4"/>
    <w:rsid w:val="003D7685"/>
    <w:rsid w:val="003D7E9A"/>
    <w:rsid w:val="003E0366"/>
    <w:rsid w:val="003E100C"/>
    <w:rsid w:val="003E1678"/>
    <w:rsid w:val="003E2FFE"/>
    <w:rsid w:val="003E37AA"/>
    <w:rsid w:val="003E37BB"/>
    <w:rsid w:val="003E3871"/>
    <w:rsid w:val="003E411A"/>
    <w:rsid w:val="003E4310"/>
    <w:rsid w:val="003E47DE"/>
    <w:rsid w:val="003E4FFA"/>
    <w:rsid w:val="003E6E11"/>
    <w:rsid w:val="003E7BA8"/>
    <w:rsid w:val="003F0536"/>
    <w:rsid w:val="003F10D3"/>
    <w:rsid w:val="003F1548"/>
    <w:rsid w:val="003F2B3D"/>
    <w:rsid w:val="003F2EDF"/>
    <w:rsid w:val="003F3105"/>
    <w:rsid w:val="003F3BBA"/>
    <w:rsid w:val="003F3C44"/>
    <w:rsid w:val="003F4172"/>
    <w:rsid w:val="003F4249"/>
    <w:rsid w:val="003F4E3B"/>
    <w:rsid w:val="003F5086"/>
    <w:rsid w:val="003F5108"/>
    <w:rsid w:val="003F5D2C"/>
    <w:rsid w:val="003F64BC"/>
    <w:rsid w:val="003F6CAF"/>
    <w:rsid w:val="003F7679"/>
    <w:rsid w:val="004001D3"/>
    <w:rsid w:val="00400C13"/>
    <w:rsid w:val="00401A86"/>
    <w:rsid w:val="00401E65"/>
    <w:rsid w:val="00402311"/>
    <w:rsid w:val="0040239F"/>
    <w:rsid w:val="00402C97"/>
    <w:rsid w:val="00403364"/>
    <w:rsid w:val="00403411"/>
    <w:rsid w:val="004038BE"/>
    <w:rsid w:val="0040415C"/>
    <w:rsid w:val="00404AA4"/>
    <w:rsid w:val="00404C61"/>
    <w:rsid w:val="004050C9"/>
    <w:rsid w:val="004051F0"/>
    <w:rsid w:val="00406314"/>
    <w:rsid w:val="00406376"/>
    <w:rsid w:val="00406389"/>
    <w:rsid w:val="004063C0"/>
    <w:rsid w:val="00406896"/>
    <w:rsid w:val="00411B37"/>
    <w:rsid w:val="004125ED"/>
    <w:rsid w:val="00412B4D"/>
    <w:rsid w:val="00413B39"/>
    <w:rsid w:val="00413D4D"/>
    <w:rsid w:val="0041450E"/>
    <w:rsid w:val="0041456E"/>
    <w:rsid w:val="00414BE5"/>
    <w:rsid w:val="00415370"/>
    <w:rsid w:val="00415781"/>
    <w:rsid w:val="00416485"/>
    <w:rsid w:val="00416F40"/>
    <w:rsid w:val="00417769"/>
    <w:rsid w:val="00417F0D"/>
    <w:rsid w:val="00421795"/>
    <w:rsid w:val="00421EF2"/>
    <w:rsid w:val="00422668"/>
    <w:rsid w:val="004252CD"/>
    <w:rsid w:val="0042602D"/>
    <w:rsid w:val="00427004"/>
    <w:rsid w:val="0042772E"/>
    <w:rsid w:val="00430CF3"/>
    <w:rsid w:val="00431AC1"/>
    <w:rsid w:val="00431DE1"/>
    <w:rsid w:val="004329C9"/>
    <w:rsid w:val="00432CD5"/>
    <w:rsid w:val="00433CDB"/>
    <w:rsid w:val="00435D29"/>
    <w:rsid w:val="00435E5A"/>
    <w:rsid w:val="004363FA"/>
    <w:rsid w:val="004364CC"/>
    <w:rsid w:val="00436829"/>
    <w:rsid w:val="00436C29"/>
    <w:rsid w:val="00437141"/>
    <w:rsid w:val="004405B0"/>
    <w:rsid w:val="00441905"/>
    <w:rsid w:val="00441FF9"/>
    <w:rsid w:val="0044382F"/>
    <w:rsid w:val="00443B96"/>
    <w:rsid w:val="00443E1D"/>
    <w:rsid w:val="004442EB"/>
    <w:rsid w:val="00444FA3"/>
    <w:rsid w:val="00446553"/>
    <w:rsid w:val="004466DA"/>
    <w:rsid w:val="00446A92"/>
    <w:rsid w:val="00446CEB"/>
    <w:rsid w:val="00447664"/>
    <w:rsid w:val="004501B4"/>
    <w:rsid w:val="0045082F"/>
    <w:rsid w:val="00450C00"/>
    <w:rsid w:val="0045135E"/>
    <w:rsid w:val="004522E5"/>
    <w:rsid w:val="00452434"/>
    <w:rsid w:val="00452C53"/>
    <w:rsid w:val="004539C7"/>
    <w:rsid w:val="00453F8A"/>
    <w:rsid w:val="00454597"/>
    <w:rsid w:val="004548E6"/>
    <w:rsid w:val="0045543A"/>
    <w:rsid w:val="00455880"/>
    <w:rsid w:val="00455D1D"/>
    <w:rsid w:val="004561F9"/>
    <w:rsid w:val="0045637C"/>
    <w:rsid w:val="004569A3"/>
    <w:rsid w:val="00456A7F"/>
    <w:rsid w:val="004578ED"/>
    <w:rsid w:val="004611B6"/>
    <w:rsid w:val="00461997"/>
    <w:rsid w:val="00463F8B"/>
    <w:rsid w:val="004649AD"/>
    <w:rsid w:val="004650E7"/>
    <w:rsid w:val="0046687B"/>
    <w:rsid w:val="004674FB"/>
    <w:rsid w:val="00470418"/>
    <w:rsid w:val="004704DA"/>
    <w:rsid w:val="004704EA"/>
    <w:rsid w:val="0047056A"/>
    <w:rsid w:val="0047071D"/>
    <w:rsid w:val="00471464"/>
    <w:rsid w:val="004727C4"/>
    <w:rsid w:val="00473579"/>
    <w:rsid w:val="00474E5A"/>
    <w:rsid w:val="004754AE"/>
    <w:rsid w:val="0047558F"/>
    <w:rsid w:val="0047561A"/>
    <w:rsid w:val="00475FD5"/>
    <w:rsid w:val="0047770B"/>
    <w:rsid w:val="00477AFC"/>
    <w:rsid w:val="004812F4"/>
    <w:rsid w:val="0048231B"/>
    <w:rsid w:val="00482BD9"/>
    <w:rsid w:val="004838D4"/>
    <w:rsid w:val="004845AC"/>
    <w:rsid w:val="00484C31"/>
    <w:rsid w:val="00485E3C"/>
    <w:rsid w:val="00486F09"/>
    <w:rsid w:val="004877FB"/>
    <w:rsid w:val="004906DB"/>
    <w:rsid w:val="00490C0F"/>
    <w:rsid w:val="00491FF2"/>
    <w:rsid w:val="004925EE"/>
    <w:rsid w:val="00492735"/>
    <w:rsid w:val="004945E8"/>
    <w:rsid w:val="004946D8"/>
    <w:rsid w:val="00494FC9"/>
    <w:rsid w:val="00495228"/>
    <w:rsid w:val="004963B6"/>
    <w:rsid w:val="00497252"/>
    <w:rsid w:val="0049795E"/>
    <w:rsid w:val="004A1808"/>
    <w:rsid w:val="004A2013"/>
    <w:rsid w:val="004A201B"/>
    <w:rsid w:val="004A2B7A"/>
    <w:rsid w:val="004A3EB3"/>
    <w:rsid w:val="004A4377"/>
    <w:rsid w:val="004A4A51"/>
    <w:rsid w:val="004A57EB"/>
    <w:rsid w:val="004A5824"/>
    <w:rsid w:val="004A59D3"/>
    <w:rsid w:val="004A6D7C"/>
    <w:rsid w:val="004A6F11"/>
    <w:rsid w:val="004A74DD"/>
    <w:rsid w:val="004A7855"/>
    <w:rsid w:val="004B00D1"/>
    <w:rsid w:val="004B0B57"/>
    <w:rsid w:val="004B1278"/>
    <w:rsid w:val="004B1CAB"/>
    <w:rsid w:val="004B2FF9"/>
    <w:rsid w:val="004B3506"/>
    <w:rsid w:val="004B36ED"/>
    <w:rsid w:val="004B3D73"/>
    <w:rsid w:val="004B40DB"/>
    <w:rsid w:val="004B4EF6"/>
    <w:rsid w:val="004B612E"/>
    <w:rsid w:val="004B623B"/>
    <w:rsid w:val="004B6554"/>
    <w:rsid w:val="004B6B22"/>
    <w:rsid w:val="004B6C50"/>
    <w:rsid w:val="004B77CB"/>
    <w:rsid w:val="004C0DA0"/>
    <w:rsid w:val="004C38BA"/>
    <w:rsid w:val="004C3E02"/>
    <w:rsid w:val="004C422D"/>
    <w:rsid w:val="004C4CEB"/>
    <w:rsid w:val="004C5CBA"/>
    <w:rsid w:val="004C60AC"/>
    <w:rsid w:val="004C6C09"/>
    <w:rsid w:val="004C6EA3"/>
    <w:rsid w:val="004C7C1E"/>
    <w:rsid w:val="004D000F"/>
    <w:rsid w:val="004D055D"/>
    <w:rsid w:val="004D1240"/>
    <w:rsid w:val="004D133B"/>
    <w:rsid w:val="004D49EE"/>
    <w:rsid w:val="004D4AE0"/>
    <w:rsid w:val="004D4C0B"/>
    <w:rsid w:val="004D512D"/>
    <w:rsid w:val="004D6042"/>
    <w:rsid w:val="004D62C0"/>
    <w:rsid w:val="004D69FC"/>
    <w:rsid w:val="004D77BD"/>
    <w:rsid w:val="004D77DE"/>
    <w:rsid w:val="004D7BF4"/>
    <w:rsid w:val="004D7C92"/>
    <w:rsid w:val="004E0D46"/>
    <w:rsid w:val="004E295C"/>
    <w:rsid w:val="004E38B2"/>
    <w:rsid w:val="004E3936"/>
    <w:rsid w:val="004E4277"/>
    <w:rsid w:val="004E490B"/>
    <w:rsid w:val="004E57F7"/>
    <w:rsid w:val="004E5D9C"/>
    <w:rsid w:val="004E6707"/>
    <w:rsid w:val="004E6985"/>
    <w:rsid w:val="004E6B8E"/>
    <w:rsid w:val="004F0543"/>
    <w:rsid w:val="004F126D"/>
    <w:rsid w:val="004F2385"/>
    <w:rsid w:val="004F3A97"/>
    <w:rsid w:val="004F486D"/>
    <w:rsid w:val="004F5591"/>
    <w:rsid w:val="004F5D14"/>
    <w:rsid w:val="004F68DC"/>
    <w:rsid w:val="004F7FAD"/>
    <w:rsid w:val="00500F7A"/>
    <w:rsid w:val="005012AD"/>
    <w:rsid w:val="005016E5"/>
    <w:rsid w:val="00501A56"/>
    <w:rsid w:val="00501ACA"/>
    <w:rsid w:val="00502317"/>
    <w:rsid w:val="005027BB"/>
    <w:rsid w:val="00503415"/>
    <w:rsid w:val="005037E1"/>
    <w:rsid w:val="00503B5C"/>
    <w:rsid w:val="0050456A"/>
    <w:rsid w:val="005068E1"/>
    <w:rsid w:val="00506A30"/>
    <w:rsid w:val="005077C5"/>
    <w:rsid w:val="00507F3A"/>
    <w:rsid w:val="0051168A"/>
    <w:rsid w:val="005117D2"/>
    <w:rsid w:val="005118A6"/>
    <w:rsid w:val="005122F4"/>
    <w:rsid w:val="0051292D"/>
    <w:rsid w:val="005131DC"/>
    <w:rsid w:val="0051405F"/>
    <w:rsid w:val="0051444F"/>
    <w:rsid w:val="005156A6"/>
    <w:rsid w:val="00516393"/>
    <w:rsid w:val="005179A5"/>
    <w:rsid w:val="00520B4F"/>
    <w:rsid w:val="005238D6"/>
    <w:rsid w:val="00524AD7"/>
    <w:rsid w:val="005254FD"/>
    <w:rsid w:val="005268A9"/>
    <w:rsid w:val="0052720F"/>
    <w:rsid w:val="00527421"/>
    <w:rsid w:val="005275C4"/>
    <w:rsid w:val="00527D36"/>
    <w:rsid w:val="00531076"/>
    <w:rsid w:val="00531393"/>
    <w:rsid w:val="00531D28"/>
    <w:rsid w:val="005328A8"/>
    <w:rsid w:val="0053385A"/>
    <w:rsid w:val="00533920"/>
    <w:rsid w:val="00534F16"/>
    <w:rsid w:val="00535141"/>
    <w:rsid w:val="00535324"/>
    <w:rsid w:val="005363B4"/>
    <w:rsid w:val="00536917"/>
    <w:rsid w:val="0053712D"/>
    <w:rsid w:val="00537DA5"/>
    <w:rsid w:val="005403F4"/>
    <w:rsid w:val="00541136"/>
    <w:rsid w:val="00541C39"/>
    <w:rsid w:val="0054216F"/>
    <w:rsid w:val="00542F18"/>
    <w:rsid w:val="00544853"/>
    <w:rsid w:val="00544CA5"/>
    <w:rsid w:val="005450E2"/>
    <w:rsid w:val="00545B19"/>
    <w:rsid w:val="005470DD"/>
    <w:rsid w:val="005476CE"/>
    <w:rsid w:val="0055035F"/>
    <w:rsid w:val="005507FD"/>
    <w:rsid w:val="005511C0"/>
    <w:rsid w:val="0055232C"/>
    <w:rsid w:val="0055278E"/>
    <w:rsid w:val="005533E8"/>
    <w:rsid w:val="00553C8A"/>
    <w:rsid w:val="00555488"/>
    <w:rsid w:val="0055549A"/>
    <w:rsid w:val="00555B18"/>
    <w:rsid w:val="00555C9C"/>
    <w:rsid w:val="0055641F"/>
    <w:rsid w:val="00556A4D"/>
    <w:rsid w:val="00556B00"/>
    <w:rsid w:val="00556E87"/>
    <w:rsid w:val="00557319"/>
    <w:rsid w:val="0055764E"/>
    <w:rsid w:val="00560528"/>
    <w:rsid w:val="00561923"/>
    <w:rsid w:val="005622F8"/>
    <w:rsid w:val="0056310A"/>
    <w:rsid w:val="00563236"/>
    <w:rsid w:val="0056336F"/>
    <w:rsid w:val="005636C6"/>
    <w:rsid w:val="00565366"/>
    <w:rsid w:val="00565AF7"/>
    <w:rsid w:val="00570C34"/>
    <w:rsid w:val="00571020"/>
    <w:rsid w:val="0057189C"/>
    <w:rsid w:val="00571BD2"/>
    <w:rsid w:val="00571CD7"/>
    <w:rsid w:val="00571D59"/>
    <w:rsid w:val="00572CCE"/>
    <w:rsid w:val="00572E3E"/>
    <w:rsid w:val="005732E0"/>
    <w:rsid w:val="005738F7"/>
    <w:rsid w:val="0057420B"/>
    <w:rsid w:val="005756C1"/>
    <w:rsid w:val="0057593B"/>
    <w:rsid w:val="0057799B"/>
    <w:rsid w:val="00580280"/>
    <w:rsid w:val="00580B9E"/>
    <w:rsid w:val="0058135A"/>
    <w:rsid w:val="00583358"/>
    <w:rsid w:val="005839BF"/>
    <w:rsid w:val="00584058"/>
    <w:rsid w:val="005844A5"/>
    <w:rsid w:val="005846B4"/>
    <w:rsid w:val="005850E5"/>
    <w:rsid w:val="005851E0"/>
    <w:rsid w:val="00585571"/>
    <w:rsid w:val="005856F9"/>
    <w:rsid w:val="00585B91"/>
    <w:rsid w:val="00586BF1"/>
    <w:rsid w:val="00587DC4"/>
    <w:rsid w:val="005903E4"/>
    <w:rsid w:val="005907D5"/>
    <w:rsid w:val="005913EE"/>
    <w:rsid w:val="00592461"/>
    <w:rsid w:val="00592F2B"/>
    <w:rsid w:val="005950D6"/>
    <w:rsid w:val="0059519C"/>
    <w:rsid w:val="00595524"/>
    <w:rsid w:val="00597221"/>
    <w:rsid w:val="005974F3"/>
    <w:rsid w:val="0059751C"/>
    <w:rsid w:val="00597919"/>
    <w:rsid w:val="005A034E"/>
    <w:rsid w:val="005A0A5B"/>
    <w:rsid w:val="005A0B9F"/>
    <w:rsid w:val="005A0EFC"/>
    <w:rsid w:val="005A1692"/>
    <w:rsid w:val="005A286E"/>
    <w:rsid w:val="005A28BD"/>
    <w:rsid w:val="005A3DC0"/>
    <w:rsid w:val="005A44E7"/>
    <w:rsid w:val="005A5337"/>
    <w:rsid w:val="005A5D8E"/>
    <w:rsid w:val="005A63D8"/>
    <w:rsid w:val="005A6CC1"/>
    <w:rsid w:val="005A7C14"/>
    <w:rsid w:val="005A7C48"/>
    <w:rsid w:val="005A7DBE"/>
    <w:rsid w:val="005A7E1A"/>
    <w:rsid w:val="005B0476"/>
    <w:rsid w:val="005B1482"/>
    <w:rsid w:val="005B152C"/>
    <w:rsid w:val="005B1C64"/>
    <w:rsid w:val="005B1DE8"/>
    <w:rsid w:val="005B2590"/>
    <w:rsid w:val="005B25BC"/>
    <w:rsid w:val="005B2807"/>
    <w:rsid w:val="005B3606"/>
    <w:rsid w:val="005B3BFF"/>
    <w:rsid w:val="005B3E08"/>
    <w:rsid w:val="005B49B6"/>
    <w:rsid w:val="005B56EE"/>
    <w:rsid w:val="005B672C"/>
    <w:rsid w:val="005B747D"/>
    <w:rsid w:val="005B7733"/>
    <w:rsid w:val="005B7A22"/>
    <w:rsid w:val="005C0602"/>
    <w:rsid w:val="005C0D5D"/>
    <w:rsid w:val="005C0D70"/>
    <w:rsid w:val="005C191A"/>
    <w:rsid w:val="005C2AA9"/>
    <w:rsid w:val="005C330D"/>
    <w:rsid w:val="005C40C7"/>
    <w:rsid w:val="005C4114"/>
    <w:rsid w:val="005C4B98"/>
    <w:rsid w:val="005C4EFF"/>
    <w:rsid w:val="005C4F43"/>
    <w:rsid w:val="005D0B55"/>
    <w:rsid w:val="005D160D"/>
    <w:rsid w:val="005D356C"/>
    <w:rsid w:val="005D4A04"/>
    <w:rsid w:val="005D4CF7"/>
    <w:rsid w:val="005D5347"/>
    <w:rsid w:val="005D5CC5"/>
    <w:rsid w:val="005D5FE6"/>
    <w:rsid w:val="005D61EA"/>
    <w:rsid w:val="005D787B"/>
    <w:rsid w:val="005E031D"/>
    <w:rsid w:val="005E03AC"/>
    <w:rsid w:val="005E04B5"/>
    <w:rsid w:val="005E0D5C"/>
    <w:rsid w:val="005E12BE"/>
    <w:rsid w:val="005E191A"/>
    <w:rsid w:val="005E2C81"/>
    <w:rsid w:val="005E384C"/>
    <w:rsid w:val="005E4D3C"/>
    <w:rsid w:val="005E7158"/>
    <w:rsid w:val="005E7ECB"/>
    <w:rsid w:val="005E7F63"/>
    <w:rsid w:val="005F0C00"/>
    <w:rsid w:val="005F1037"/>
    <w:rsid w:val="005F2BF8"/>
    <w:rsid w:val="005F2EA8"/>
    <w:rsid w:val="005F5573"/>
    <w:rsid w:val="005F5D1D"/>
    <w:rsid w:val="005F60C9"/>
    <w:rsid w:val="005F64C6"/>
    <w:rsid w:val="005F6F05"/>
    <w:rsid w:val="006008F1"/>
    <w:rsid w:val="00601714"/>
    <w:rsid w:val="00601735"/>
    <w:rsid w:val="00602BD2"/>
    <w:rsid w:val="00604980"/>
    <w:rsid w:val="00605BDB"/>
    <w:rsid w:val="0060614D"/>
    <w:rsid w:val="0061005A"/>
    <w:rsid w:val="006101C5"/>
    <w:rsid w:val="00610871"/>
    <w:rsid w:val="00610E48"/>
    <w:rsid w:val="0061160D"/>
    <w:rsid w:val="0061286C"/>
    <w:rsid w:val="00612E83"/>
    <w:rsid w:val="00613C47"/>
    <w:rsid w:val="00615086"/>
    <w:rsid w:val="00615B0A"/>
    <w:rsid w:val="00616201"/>
    <w:rsid w:val="00616225"/>
    <w:rsid w:val="00616917"/>
    <w:rsid w:val="0061705E"/>
    <w:rsid w:val="00617A8B"/>
    <w:rsid w:val="00621904"/>
    <w:rsid w:val="00622248"/>
    <w:rsid w:val="00622FEA"/>
    <w:rsid w:val="00623CDF"/>
    <w:rsid w:val="00623DB1"/>
    <w:rsid w:val="006245F3"/>
    <w:rsid w:val="00624DBE"/>
    <w:rsid w:val="00625450"/>
    <w:rsid w:val="0062624F"/>
    <w:rsid w:val="006319C1"/>
    <w:rsid w:val="006319CA"/>
    <w:rsid w:val="00632D91"/>
    <w:rsid w:val="00633B3E"/>
    <w:rsid w:val="00634B64"/>
    <w:rsid w:val="00634EC0"/>
    <w:rsid w:val="006351C3"/>
    <w:rsid w:val="0063627F"/>
    <w:rsid w:val="0063642A"/>
    <w:rsid w:val="006376C4"/>
    <w:rsid w:val="006403E7"/>
    <w:rsid w:val="00642D72"/>
    <w:rsid w:val="006443CB"/>
    <w:rsid w:val="006448B8"/>
    <w:rsid w:val="00644F80"/>
    <w:rsid w:val="00645874"/>
    <w:rsid w:val="006458E5"/>
    <w:rsid w:val="00650F81"/>
    <w:rsid w:val="00650FC7"/>
    <w:rsid w:val="006531B0"/>
    <w:rsid w:val="00653C24"/>
    <w:rsid w:val="00653D68"/>
    <w:rsid w:val="00654275"/>
    <w:rsid w:val="0065446D"/>
    <w:rsid w:val="00654894"/>
    <w:rsid w:val="00656067"/>
    <w:rsid w:val="00657381"/>
    <w:rsid w:val="0065746B"/>
    <w:rsid w:val="00660693"/>
    <w:rsid w:val="00660D86"/>
    <w:rsid w:val="006611D6"/>
    <w:rsid w:val="00661918"/>
    <w:rsid w:val="00662A5A"/>
    <w:rsid w:val="0066335C"/>
    <w:rsid w:val="006636D0"/>
    <w:rsid w:val="00663834"/>
    <w:rsid w:val="006647D7"/>
    <w:rsid w:val="00664F1B"/>
    <w:rsid w:val="006653D7"/>
    <w:rsid w:val="00665BFF"/>
    <w:rsid w:val="006665BA"/>
    <w:rsid w:val="00666A4F"/>
    <w:rsid w:val="00666B7F"/>
    <w:rsid w:val="00666DEC"/>
    <w:rsid w:val="00667477"/>
    <w:rsid w:val="006703D9"/>
    <w:rsid w:val="00670ADE"/>
    <w:rsid w:val="00672DFC"/>
    <w:rsid w:val="00672F5B"/>
    <w:rsid w:val="00673BD7"/>
    <w:rsid w:val="00673DEE"/>
    <w:rsid w:val="00674E69"/>
    <w:rsid w:val="00675A33"/>
    <w:rsid w:val="0067602A"/>
    <w:rsid w:val="006763ED"/>
    <w:rsid w:val="00676433"/>
    <w:rsid w:val="006767FD"/>
    <w:rsid w:val="0067720F"/>
    <w:rsid w:val="0067738E"/>
    <w:rsid w:val="00677F23"/>
    <w:rsid w:val="00680936"/>
    <w:rsid w:val="00680BBE"/>
    <w:rsid w:val="00680D8C"/>
    <w:rsid w:val="00680D99"/>
    <w:rsid w:val="006821B2"/>
    <w:rsid w:val="00682725"/>
    <w:rsid w:val="00682A1B"/>
    <w:rsid w:val="00682D73"/>
    <w:rsid w:val="00682ED3"/>
    <w:rsid w:val="006846E8"/>
    <w:rsid w:val="0068541E"/>
    <w:rsid w:val="00685E9D"/>
    <w:rsid w:val="00685EBD"/>
    <w:rsid w:val="0068605C"/>
    <w:rsid w:val="006861C3"/>
    <w:rsid w:val="00686AF3"/>
    <w:rsid w:val="00690F1F"/>
    <w:rsid w:val="006915BD"/>
    <w:rsid w:val="00691A6B"/>
    <w:rsid w:val="00692582"/>
    <w:rsid w:val="00692592"/>
    <w:rsid w:val="00692A2F"/>
    <w:rsid w:val="0069322C"/>
    <w:rsid w:val="00693652"/>
    <w:rsid w:val="006939E7"/>
    <w:rsid w:val="00693D3E"/>
    <w:rsid w:val="006942F7"/>
    <w:rsid w:val="006956FB"/>
    <w:rsid w:val="00695BC7"/>
    <w:rsid w:val="006969AD"/>
    <w:rsid w:val="00696F7B"/>
    <w:rsid w:val="006A01FB"/>
    <w:rsid w:val="006A07DF"/>
    <w:rsid w:val="006A1093"/>
    <w:rsid w:val="006A1D3D"/>
    <w:rsid w:val="006A2150"/>
    <w:rsid w:val="006A2216"/>
    <w:rsid w:val="006A241D"/>
    <w:rsid w:val="006A3288"/>
    <w:rsid w:val="006A3294"/>
    <w:rsid w:val="006A43E6"/>
    <w:rsid w:val="006A4AEE"/>
    <w:rsid w:val="006A526F"/>
    <w:rsid w:val="006A70BE"/>
    <w:rsid w:val="006A7934"/>
    <w:rsid w:val="006B0001"/>
    <w:rsid w:val="006B04AF"/>
    <w:rsid w:val="006B059F"/>
    <w:rsid w:val="006B0A56"/>
    <w:rsid w:val="006B2048"/>
    <w:rsid w:val="006B20A6"/>
    <w:rsid w:val="006B32D5"/>
    <w:rsid w:val="006B342E"/>
    <w:rsid w:val="006B3812"/>
    <w:rsid w:val="006B3B80"/>
    <w:rsid w:val="006B4611"/>
    <w:rsid w:val="006B6870"/>
    <w:rsid w:val="006B6F32"/>
    <w:rsid w:val="006B7130"/>
    <w:rsid w:val="006B73CC"/>
    <w:rsid w:val="006B7695"/>
    <w:rsid w:val="006C0176"/>
    <w:rsid w:val="006C2994"/>
    <w:rsid w:val="006C35EC"/>
    <w:rsid w:val="006C4150"/>
    <w:rsid w:val="006C4382"/>
    <w:rsid w:val="006C5683"/>
    <w:rsid w:val="006C5E33"/>
    <w:rsid w:val="006C5E48"/>
    <w:rsid w:val="006C6434"/>
    <w:rsid w:val="006C6984"/>
    <w:rsid w:val="006C6CD8"/>
    <w:rsid w:val="006C70BB"/>
    <w:rsid w:val="006C7528"/>
    <w:rsid w:val="006C7EB1"/>
    <w:rsid w:val="006D013F"/>
    <w:rsid w:val="006D017F"/>
    <w:rsid w:val="006D08BD"/>
    <w:rsid w:val="006D0F8E"/>
    <w:rsid w:val="006D1416"/>
    <w:rsid w:val="006D1D3F"/>
    <w:rsid w:val="006D253B"/>
    <w:rsid w:val="006D325A"/>
    <w:rsid w:val="006D407B"/>
    <w:rsid w:val="006D4242"/>
    <w:rsid w:val="006D44E6"/>
    <w:rsid w:val="006D45F0"/>
    <w:rsid w:val="006D4C8F"/>
    <w:rsid w:val="006D52A0"/>
    <w:rsid w:val="006D57CB"/>
    <w:rsid w:val="006D5819"/>
    <w:rsid w:val="006D5E6F"/>
    <w:rsid w:val="006D693F"/>
    <w:rsid w:val="006D6CDD"/>
    <w:rsid w:val="006D7604"/>
    <w:rsid w:val="006D765E"/>
    <w:rsid w:val="006E03D1"/>
    <w:rsid w:val="006E0455"/>
    <w:rsid w:val="006E150D"/>
    <w:rsid w:val="006E3289"/>
    <w:rsid w:val="006E33E4"/>
    <w:rsid w:val="006E4238"/>
    <w:rsid w:val="006E5F01"/>
    <w:rsid w:val="006E5F88"/>
    <w:rsid w:val="006E7404"/>
    <w:rsid w:val="006E7B97"/>
    <w:rsid w:val="006F1DE7"/>
    <w:rsid w:val="006F1EA3"/>
    <w:rsid w:val="006F2627"/>
    <w:rsid w:val="006F2BF8"/>
    <w:rsid w:val="006F3568"/>
    <w:rsid w:val="006F40AD"/>
    <w:rsid w:val="006F4A5F"/>
    <w:rsid w:val="006F4D7B"/>
    <w:rsid w:val="006F6360"/>
    <w:rsid w:val="006F6436"/>
    <w:rsid w:val="006F65C5"/>
    <w:rsid w:val="006F687A"/>
    <w:rsid w:val="006F68EF"/>
    <w:rsid w:val="006F6D38"/>
    <w:rsid w:val="006F6D4C"/>
    <w:rsid w:val="006F6E67"/>
    <w:rsid w:val="006F7157"/>
    <w:rsid w:val="006F78E0"/>
    <w:rsid w:val="00702B1B"/>
    <w:rsid w:val="00702ED6"/>
    <w:rsid w:val="007032B3"/>
    <w:rsid w:val="00703E86"/>
    <w:rsid w:val="00704164"/>
    <w:rsid w:val="007044BF"/>
    <w:rsid w:val="00706A58"/>
    <w:rsid w:val="00707517"/>
    <w:rsid w:val="007078ED"/>
    <w:rsid w:val="00710187"/>
    <w:rsid w:val="007110E1"/>
    <w:rsid w:val="00711B18"/>
    <w:rsid w:val="00714394"/>
    <w:rsid w:val="00714ED6"/>
    <w:rsid w:val="007151B7"/>
    <w:rsid w:val="00715E8D"/>
    <w:rsid w:val="00716D8A"/>
    <w:rsid w:val="00717854"/>
    <w:rsid w:val="00721C26"/>
    <w:rsid w:val="00721F7E"/>
    <w:rsid w:val="00722C0F"/>
    <w:rsid w:val="00722E29"/>
    <w:rsid w:val="00723ECB"/>
    <w:rsid w:val="00724606"/>
    <w:rsid w:val="00724A36"/>
    <w:rsid w:val="00724A60"/>
    <w:rsid w:val="00724E85"/>
    <w:rsid w:val="00725113"/>
    <w:rsid w:val="0072525D"/>
    <w:rsid w:val="00725A26"/>
    <w:rsid w:val="00726E8A"/>
    <w:rsid w:val="00727047"/>
    <w:rsid w:val="007312BF"/>
    <w:rsid w:val="00734510"/>
    <w:rsid w:val="00734887"/>
    <w:rsid w:val="007365B6"/>
    <w:rsid w:val="007373C8"/>
    <w:rsid w:val="007401E2"/>
    <w:rsid w:val="00740205"/>
    <w:rsid w:val="00740D67"/>
    <w:rsid w:val="007411E5"/>
    <w:rsid w:val="00741605"/>
    <w:rsid w:val="00742AD3"/>
    <w:rsid w:val="00742F72"/>
    <w:rsid w:val="007436F2"/>
    <w:rsid w:val="0074436D"/>
    <w:rsid w:val="007446DA"/>
    <w:rsid w:val="007462C2"/>
    <w:rsid w:val="00746772"/>
    <w:rsid w:val="00746951"/>
    <w:rsid w:val="00746F65"/>
    <w:rsid w:val="007472C3"/>
    <w:rsid w:val="0074791E"/>
    <w:rsid w:val="0075028E"/>
    <w:rsid w:val="00750948"/>
    <w:rsid w:val="0075115D"/>
    <w:rsid w:val="00751A33"/>
    <w:rsid w:val="00751F77"/>
    <w:rsid w:val="00753890"/>
    <w:rsid w:val="007555DF"/>
    <w:rsid w:val="007569DC"/>
    <w:rsid w:val="0075711E"/>
    <w:rsid w:val="007579F2"/>
    <w:rsid w:val="007602CB"/>
    <w:rsid w:val="00761434"/>
    <w:rsid w:val="00761FD5"/>
    <w:rsid w:val="007620C9"/>
    <w:rsid w:val="00762BB6"/>
    <w:rsid w:val="007632A0"/>
    <w:rsid w:val="0076341D"/>
    <w:rsid w:val="0076446D"/>
    <w:rsid w:val="007647EF"/>
    <w:rsid w:val="0076542B"/>
    <w:rsid w:val="00765DD8"/>
    <w:rsid w:val="00766B33"/>
    <w:rsid w:val="00766D36"/>
    <w:rsid w:val="007671DC"/>
    <w:rsid w:val="00767607"/>
    <w:rsid w:val="00767ACD"/>
    <w:rsid w:val="00767C0D"/>
    <w:rsid w:val="00767E70"/>
    <w:rsid w:val="007705B5"/>
    <w:rsid w:val="00770B08"/>
    <w:rsid w:val="007720B8"/>
    <w:rsid w:val="0077270D"/>
    <w:rsid w:val="00773874"/>
    <w:rsid w:val="00774B47"/>
    <w:rsid w:val="00775D3B"/>
    <w:rsid w:val="0077615A"/>
    <w:rsid w:val="00777483"/>
    <w:rsid w:val="007806A0"/>
    <w:rsid w:val="00782346"/>
    <w:rsid w:val="007828DB"/>
    <w:rsid w:val="007838CD"/>
    <w:rsid w:val="007840F3"/>
    <w:rsid w:val="00784EC7"/>
    <w:rsid w:val="00785491"/>
    <w:rsid w:val="007858C0"/>
    <w:rsid w:val="00785C4E"/>
    <w:rsid w:val="0078679A"/>
    <w:rsid w:val="007871FE"/>
    <w:rsid w:val="007902AD"/>
    <w:rsid w:val="00790606"/>
    <w:rsid w:val="007908ED"/>
    <w:rsid w:val="00790F74"/>
    <w:rsid w:val="007912E8"/>
    <w:rsid w:val="00792288"/>
    <w:rsid w:val="00792447"/>
    <w:rsid w:val="007928C6"/>
    <w:rsid w:val="007929C0"/>
    <w:rsid w:val="00794F7C"/>
    <w:rsid w:val="007951F4"/>
    <w:rsid w:val="0079694C"/>
    <w:rsid w:val="00797AF9"/>
    <w:rsid w:val="00797FBD"/>
    <w:rsid w:val="007A0187"/>
    <w:rsid w:val="007A04E8"/>
    <w:rsid w:val="007A19AC"/>
    <w:rsid w:val="007A2640"/>
    <w:rsid w:val="007A268F"/>
    <w:rsid w:val="007A4A53"/>
    <w:rsid w:val="007A4C72"/>
    <w:rsid w:val="007A4C93"/>
    <w:rsid w:val="007A4E17"/>
    <w:rsid w:val="007A5AC6"/>
    <w:rsid w:val="007A6A01"/>
    <w:rsid w:val="007A7D0A"/>
    <w:rsid w:val="007A7F6D"/>
    <w:rsid w:val="007B0799"/>
    <w:rsid w:val="007B0FBD"/>
    <w:rsid w:val="007B1BAF"/>
    <w:rsid w:val="007B2393"/>
    <w:rsid w:val="007B2FE8"/>
    <w:rsid w:val="007B30DB"/>
    <w:rsid w:val="007B35F7"/>
    <w:rsid w:val="007B4DD5"/>
    <w:rsid w:val="007B4F72"/>
    <w:rsid w:val="007B5148"/>
    <w:rsid w:val="007B5A16"/>
    <w:rsid w:val="007B660D"/>
    <w:rsid w:val="007B7219"/>
    <w:rsid w:val="007C0073"/>
    <w:rsid w:val="007C03FE"/>
    <w:rsid w:val="007C0E04"/>
    <w:rsid w:val="007C17D3"/>
    <w:rsid w:val="007C1E98"/>
    <w:rsid w:val="007C1FA2"/>
    <w:rsid w:val="007C2827"/>
    <w:rsid w:val="007C3A26"/>
    <w:rsid w:val="007C4032"/>
    <w:rsid w:val="007C4CE1"/>
    <w:rsid w:val="007C537A"/>
    <w:rsid w:val="007C57D1"/>
    <w:rsid w:val="007C6B3E"/>
    <w:rsid w:val="007C6F13"/>
    <w:rsid w:val="007C7130"/>
    <w:rsid w:val="007C74E5"/>
    <w:rsid w:val="007C7DAB"/>
    <w:rsid w:val="007C7F57"/>
    <w:rsid w:val="007D0348"/>
    <w:rsid w:val="007D0E43"/>
    <w:rsid w:val="007D13E7"/>
    <w:rsid w:val="007D153B"/>
    <w:rsid w:val="007D1E37"/>
    <w:rsid w:val="007D2256"/>
    <w:rsid w:val="007D358B"/>
    <w:rsid w:val="007D4624"/>
    <w:rsid w:val="007D563E"/>
    <w:rsid w:val="007D5A49"/>
    <w:rsid w:val="007D5FC1"/>
    <w:rsid w:val="007D6E81"/>
    <w:rsid w:val="007D6EB6"/>
    <w:rsid w:val="007D715A"/>
    <w:rsid w:val="007D789C"/>
    <w:rsid w:val="007E0161"/>
    <w:rsid w:val="007E08DB"/>
    <w:rsid w:val="007E0B17"/>
    <w:rsid w:val="007E0D90"/>
    <w:rsid w:val="007E0E9E"/>
    <w:rsid w:val="007E0EBF"/>
    <w:rsid w:val="007E12DC"/>
    <w:rsid w:val="007E1760"/>
    <w:rsid w:val="007E21FB"/>
    <w:rsid w:val="007E3B9D"/>
    <w:rsid w:val="007E420B"/>
    <w:rsid w:val="007E46BC"/>
    <w:rsid w:val="007E4932"/>
    <w:rsid w:val="007E4CAD"/>
    <w:rsid w:val="007E502C"/>
    <w:rsid w:val="007E516A"/>
    <w:rsid w:val="007E5BD7"/>
    <w:rsid w:val="007E6761"/>
    <w:rsid w:val="007E75F0"/>
    <w:rsid w:val="007E7968"/>
    <w:rsid w:val="007E7992"/>
    <w:rsid w:val="007E79C4"/>
    <w:rsid w:val="007F013A"/>
    <w:rsid w:val="007F0730"/>
    <w:rsid w:val="007F1D54"/>
    <w:rsid w:val="007F20A0"/>
    <w:rsid w:val="007F2D90"/>
    <w:rsid w:val="007F3D9B"/>
    <w:rsid w:val="007F3F6F"/>
    <w:rsid w:val="007F48A9"/>
    <w:rsid w:val="007F4A1F"/>
    <w:rsid w:val="007F4E28"/>
    <w:rsid w:val="007F4E6E"/>
    <w:rsid w:val="007F4F82"/>
    <w:rsid w:val="007F6D96"/>
    <w:rsid w:val="007F7CFA"/>
    <w:rsid w:val="00801D7A"/>
    <w:rsid w:val="008020F2"/>
    <w:rsid w:val="00802462"/>
    <w:rsid w:val="008036FC"/>
    <w:rsid w:val="00803F74"/>
    <w:rsid w:val="00804653"/>
    <w:rsid w:val="00804C48"/>
    <w:rsid w:val="0080505A"/>
    <w:rsid w:val="00805478"/>
    <w:rsid w:val="00806639"/>
    <w:rsid w:val="00806A84"/>
    <w:rsid w:val="008073A4"/>
    <w:rsid w:val="00807C6C"/>
    <w:rsid w:val="00807C7A"/>
    <w:rsid w:val="008115ED"/>
    <w:rsid w:val="00811A42"/>
    <w:rsid w:val="0081254B"/>
    <w:rsid w:val="008132BB"/>
    <w:rsid w:val="0081340B"/>
    <w:rsid w:val="00813788"/>
    <w:rsid w:val="00813F40"/>
    <w:rsid w:val="00814FED"/>
    <w:rsid w:val="00815822"/>
    <w:rsid w:val="00815B93"/>
    <w:rsid w:val="00815BA2"/>
    <w:rsid w:val="00816585"/>
    <w:rsid w:val="00817364"/>
    <w:rsid w:val="00817BB4"/>
    <w:rsid w:val="00817E4F"/>
    <w:rsid w:val="00820F5B"/>
    <w:rsid w:val="00821021"/>
    <w:rsid w:val="008214BB"/>
    <w:rsid w:val="00821B58"/>
    <w:rsid w:val="00822136"/>
    <w:rsid w:val="00822D4E"/>
    <w:rsid w:val="00822FBA"/>
    <w:rsid w:val="0082398C"/>
    <w:rsid w:val="00824FAD"/>
    <w:rsid w:val="00824FF1"/>
    <w:rsid w:val="00825196"/>
    <w:rsid w:val="00826F4C"/>
    <w:rsid w:val="00831573"/>
    <w:rsid w:val="00833C51"/>
    <w:rsid w:val="008349A6"/>
    <w:rsid w:val="00835271"/>
    <w:rsid w:val="00835679"/>
    <w:rsid w:val="008360DF"/>
    <w:rsid w:val="0083731C"/>
    <w:rsid w:val="008377DA"/>
    <w:rsid w:val="00837BD7"/>
    <w:rsid w:val="00840591"/>
    <w:rsid w:val="00841F21"/>
    <w:rsid w:val="00842991"/>
    <w:rsid w:val="008429B0"/>
    <w:rsid w:val="00843900"/>
    <w:rsid w:val="00844C5B"/>
    <w:rsid w:val="0084581F"/>
    <w:rsid w:val="00845898"/>
    <w:rsid w:val="00845A15"/>
    <w:rsid w:val="0084632F"/>
    <w:rsid w:val="00852528"/>
    <w:rsid w:val="008541F1"/>
    <w:rsid w:val="008543F7"/>
    <w:rsid w:val="008545DC"/>
    <w:rsid w:val="00854A7E"/>
    <w:rsid w:val="00854A98"/>
    <w:rsid w:val="00855209"/>
    <w:rsid w:val="00855B06"/>
    <w:rsid w:val="00856B95"/>
    <w:rsid w:val="00856D1A"/>
    <w:rsid w:val="00857D29"/>
    <w:rsid w:val="0086161C"/>
    <w:rsid w:val="0086225C"/>
    <w:rsid w:val="008629A8"/>
    <w:rsid w:val="00863225"/>
    <w:rsid w:val="00863ADA"/>
    <w:rsid w:val="00864BF6"/>
    <w:rsid w:val="00865266"/>
    <w:rsid w:val="00865BAA"/>
    <w:rsid w:val="008677CB"/>
    <w:rsid w:val="0087056E"/>
    <w:rsid w:val="00870CB6"/>
    <w:rsid w:val="00870CC5"/>
    <w:rsid w:val="00870DD7"/>
    <w:rsid w:val="008737AE"/>
    <w:rsid w:val="00873F17"/>
    <w:rsid w:val="00873FEA"/>
    <w:rsid w:val="0087419B"/>
    <w:rsid w:val="00874592"/>
    <w:rsid w:val="008751C1"/>
    <w:rsid w:val="00876C1B"/>
    <w:rsid w:val="00876E70"/>
    <w:rsid w:val="008804E1"/>
    <w:rsid w:val="00880E30"/>
    <w:rsid w:val="008815B6"/>
    <w:rsid w:val="008818F6"/>
    <w:rsid w:val="00881D45"/>
    <w:rsid w:val="008829F8"/>
    <w:rsid w:val="0088398E"/>
    <w:rsid w:val="00885182"/>
    <w:rsid w:val="0088647E"/>
    <w:rsid w:val="00887E02"/>
    <w:rsid w:val="00890382"/>
    <w:rsid w:val="0089046A"/>
    <w:rsid w:val="00891106"/>
    <w:rsid w:val="00892833"/>
    <w:rsid w:val="00893479"/>
    <w:rsid w:val="0089375D"/>
    <w:rsid w:val="008943CB"/>
    <w:rsid w:val="008946B9"/>
    <w:rsid w:val="008960A2"/>
    <w:rsid w:val="008979BC"/>
    <w:rsid w:val="008A056E"/>
    <w:rsid w:val="008A0882"/>
    <w:rsid w:val="008A10C1"/>
    <w:rsid w:val="008A181A"/>
    <w:rsid w:val="008A1C47"/>
    <w:rsid w:val="008A2289"/>
    <w:rsid w:val="008A3766"/>
    <w:rsid w:val="008A4F66"/>
    <w:rsid w:val="008A5290"/>
    <w:rsid w:val="008A593A"/>
    <w:rsid w:val="008A6A60"/>
    <w:rsid w:val="008A6C5A"/>
    <w:rsid w:val="008A6CCA"/>
    <w:rsid w:val="008B1B85"/>
    <w:rsid w:val="008B1B8C"/>
    <w:rsid w:val="008B25B1"/>
    <w:rsid w:val="008B2C59"/>
    <w:rsid w:val="008B2DF3"/>
    <w:rsid w:val="008B353B"/>
    <w:rsid w:val="008B376A"/>
    <w:rsid w:val="008B444E"/>
    <w:rsid w:val="008B569F"/>
    <w:rsid w:val="008B7220"/>
    <w:rsid w:val="008C0669"/>
    <w:rsid w:val="008C08A5"/>
    <w:rsid w:val="008C1DD7"/>
    <w:rsid w:val="008C26FA"/>
    <w:rsid w:val="008C36BB"/>
    <w:rsid w:val="008C4566"/>
    <w:rsid w:val="008C46B6"/>
    <w:rsid w:val="008C46C3"/>
    <w:rsid w:val="008C522A"/>
    <w:rsid w:val="008C5E71"/>
    <w:rsid w:val="008C64E3"/>
    <w:rsid w:val="008C6A8B"/>
    <w:rsid w:val="008C77F7"/>
    <w:rsid w:val="008C799C"/>
    <w:rsid w:val="008D00EA"/>
    <w:rsid w:val="008D0D1E"/>
    <w:rsid w:val="008D1175"/>
    <w:rsid w:val="008D13C7"/>
    <w:rsid w:val="008D1627"/>
    <w:rsid w:val="008D1DA0"/>
    <w:rsid w:val="008D284E"/>
    <w:rsid w:val="008D4D90"/>
    <w:rsid w:val="008D4ED3"/>
    <w:rsid w:val="008D54BF"/>
    <w:rsid w:val="008D5DC6"/>
    <w:rsid w:val="008D6A11"/>
    <w:rsid w:val="008E0D4B"/>
    <w:rsid w:val="008E1A5C"/>
    <w:rsid w:val="008E1C27"/>
    <w:rsid w:val="008E1E54"/>
    <w:rsid w:val="008E2057"/>
    <w:rsid w:val="008E264D"/>
    <w:rsid w:val="008E2DA6"/>
    <w:rsid w:val="008E31EC"/>
    <w:rsid w:val="008E3512"/>
    <w:rsid w:val="008E3C88"/>
    <w:rsid w:val="008E4E17"/>
    <w:rsid w:val="008E5337"/>
    <w:rsid w:val="008E610D"/>
    <w:rsid w:val="008E6F8D"/>
    <w:rsid w:val="008E78F2"/>
    <w:rsid w:val="008E7B12"/>
    <w:rsid w:val="008F022C"/>
    <w:rsid w:val="008F2A60"/>
    <w:rsid w:val="008F310D"/>
    <w:rsid w:val="008F3888"/>
    <w:rsid w:val="008F3A90"/>
    <w:rsid w:val="008F3B22"/>
    <w:rsid w:val="008F43C7"/>
    <w:rsid w:val="008F4823"/>
    <w:rsid w:val="008F551B"/>
    <w:rsid w:val="008F606D"/>
    <w:rsid w:val="008F6597"/>
    <w:rsid w:val="008F7150"/>
    <w:rsid w:val="008F71CC"/>
    <w:rsid w:val="008F721C"/>
    <w:rsid w:val="008F757D"/>
    <w:rsid w:val="00900662"/>
    <w:rsid w:val="00901953"/>
    <w:rsid w:val="00901DF8"/>
    <w:rsid w:val="00902166"/>
    <w:rsid w:val="00902A0C"/>
    <w:rsid w:val="009040A1"/>
    <w:rsid w:val="009043AA"/>
    <w:rsid w:val="0090473B"/>
    <w:rsid w:val="0090487F"/>
    <w:rsid w:val="00905282"/>
    <w:rsid w:val="00905908"/>
    <w:rsid w:val="00906C96"/>
    <w:rsid w:val="009075A4"/>
    <w:rsid w:val="009101AF"/>
    <w:rsid w:val="00910400"/>
    <w:rsid w:val="00911808"/>
    <w:rsid w:val="00912F37"/>
    <w:rsid w:val="009131C8"/>
    <w:rsid w:val="009145FB"/>
    <w:rsid w:val="00914811"/>
    <w:rsid w:val="00915283"/>
    <w:rsid w:val="00915786"/>
    <w:rsid w:val="00917141"/>
    <w:rsid w:val="0091746C"/>
    <w:rsid w:val="00917D06"/>
    <w:rsid w:val="009207DB"/>
    <w:rsid w:val="00921879"/>
    <w:rsid w:val="00922024"/>
    <w:rsid w:val="009233CE"/>
    <w:rsid w:val="00923C3F"/>
    <w:rsid w:val="00924853"/>
    <w:rsid w:val="009252E0"/>
    <w:rsid w:val="00925501"/>
    <w:rsid w:val="00926982"/>
    <w:rsid w:val="00926B5A"/>
    <w:rsid w:val="00926D4C"/>
    <w:rsid w:val="009270C4"/>
    <w:rsid w:val="00931743"/>
    <w:rsid w:val="009325F7"/>
    <w:rsid w:val="00932BCF"/>
    <w:rsid w:val="00933396"/>
    <w:rsid w:val="00933761"/>
    <w:rsid w:val="00934D73"/>
    <w:rsid w:val="00935042"/>
    <w:rsid w:val="00936CC6"/>
    <w:rsid w:val="0093740F"/>
    <w:rsid w:val="00937B4A"/>
    <w:rsid w:val="00937BE9"/>
    <w:rsid w:val="00937C1D"/>
    <w:rsid w:val="00940804"/>
    <w:rsid w:val="00940E9B"/>
    <w:rsid w:val="00940FC3"/>
    <w:rsid w:val="009410B3"/>
    <w:rsid w:val="0094131D"/>
    <w:rsid w:val="0094166C"/>
    <w:rsid w:val="00942120"/>
    <w:rsid w:val="009425F7"/>
    <w:rsid w:val="00943827"/>
    <w:rsid w:val="00943BC0"/>
    <w:rsid w:val="00944BF0"/>
    <w:rsid w:val="00946136"/>
    <w:rsid w:val="00946CD9"/>
    <w:rsid w:val="00947046"/>
    <w:rsid w:val="00947A00"/>
    <w:rsid w:val="009505F4"/>
    <w:rsid w:val="00951216"/>
    <w:rsid w:val="0095279B"/>
    <w:rsid w:val="0095316C"/>
    <w:rsid w:val="00954282"/>
    <w:rsid w:val="00954427"/>
    <w:rsid w:val="009545B9"/>
    <w:rsid w:val="009564ED"/>
    <w:rsid w:val="00956CA2"/>
    <w:rsid w:val="00960385"/>
    <w:rsid w:val="0096079B"/>
    <w:rsid w:val="00960CA9"/>
    <w:rsid w:val="0096218D"/>
    <w:rsid w:val="00964509"/>
    <w:rsid w:val="00964525"/>
    <w:rsid w:val="0096501B"/>
    <w:rsid w:val="0096662B"/>
    <w:rsid w:val="009666AF"/>
    <w:rsid w:val="00967180"/>
    <w:rsid w:val="0096797D"/>
    <w:rsid w:val="00967B7F"/>
    <w:rsid w:val="00970704"/>
    <w:rsid w:val="00970B65"/>
    <w:rsid w:val="00971127"/>
    <w:rsid w:val="0097119E"/>
    <w:rsid w:val="00971EB0"/>
    <w:rsid w:val="0097272C"/>
    <w:rsid w:val="009734B8"/>
    <w:rsid w:val="00973514"/>
    <w:rsid w:val="009741E7"/>
    <w:rsid w:val="00975C75"/>
    <w:rsid w:val="00977506"/>
    <w:rsid w:val="00980CFF"/>
    <w:rsid w:val="0098177A"/>
    <w:rsid w:val="00982633"/>
    <w:rsid w:val="00983583"/>
    <w:rsid w:val="00983EFD"/>
    <w:rsid w:val="009855B0"/>
    <w:rsid w:val="009859A8"/>
    <w:rsid w:val="00985A7D"/>
    <w:rsid w:val="00986257"/>
    <w:rsid w:val="0098658A"/>
    <w:rsid w:val="00986861"/>
    <w:rsid w:val="00987CBC"/>
    <w:rsid w:val="00990E34"/>
    <w:rsid w:val="00991EB0"/>
    <w:rsid w:val="0099212B"/>
    <w:rsid w:val="0099245F"/>
    <w:rsid w:val="009928FA"/>
    <w:rsid w:val="009937B4"/>
    <w:rsid w:val="00994B5F"/>
    <w:rsid w:val="00995768"/>
    <w:rsid w:val="00996326"/>
    <w:rsid w:val="00996B7D"/>
    <w:rsid w:val="00996F95"/>
    <w:rsid w:val="00997745"/>
    <w:rsid w:val="00997EA5"/>
    <w:rsid w:val="009A07D5"/>
    <w:rsid w:val="009A1303"/>
    <w:rsid w:val="009A1BC9"/>
    <w:rsid w:val="009A1FE7"/>
    <w:rsid w:val="009A2967"/>
    <w:rsid w:val="009A36B7"/>
    <w:rsid w:val="009A3720"/>
    <w:rsid w:val="009A42CF"/>
    <w:rsid w:val="009A44E8"/>
    <w:rsid w:val="009A4A49"/>
    <w:rsid w:val="009A581E"/>
    <w:rsid w:val="009A679E"/>
    <w:rsid w:val="009B0460"/>
    <w:rsid w:val="009B13AF"/>
    <w:rsid w:val="009B1DA5"/>
    <w:rsid w:val="009B1E1D"/>
    <w:rsid w:val="009B2602"/>
    <w:rsid w:val="009B28FD"/>
    <w:rsid w:val="009B2AD6"/>
    <w:rsid w:val="009B3172"/>
    <w:rsid w:val="009B4575"/>
    <w:rsid w:val="009B461D"/>
    <w:rsid w:val="009B5594"/>
    <w:rsid w:val="009B59ED"/>
    <w:rsid w:val="009B6EE8"/>
    <w:rsid w:val="009B729E"/>
    <w:rsid w:val="009B7498"/>
    <w:rsid w:val="009C264B"/>
    <w:rsid w:val="009C34F1"/>
    <w:rsid w:val="009C381A"/>
    <w:rsid w:val="009C3B80"/>
    <w:rsid w:val="009C3D84"/>
    <w:rsid w:val="009C48C6"/>
    <w:rsid w:val="009C5D76"/>
    <w:rsid w:val="009C5DFB"/>
    <w:rsid w:val="009C5FDE"/>
    <w:rsid w:val="009C7B1D"/>
    <w:rsid w:val="009C7F10"/>
    <w:rsid w:val="009C7FF8"/>
    <w:rsid w:val="009D03F1"/>
    <w:rsid w:val="009D07CE"/>
    <w:rsid w:val="009D0921"/>
    <w:rsid w:val="009D101B"/>
    <w:rsid w:val="009D118E"/>
    <w:rsid w:val="009D1CF4"/>
    <w:rsid w:val="009D2A26"/>
    <w:rsid w:val="009D2C21"/>
    <w:rsid w:val="009D380F"/>
    <w:rsid w:val="009D57A7"/>
    <w:rsid w:val="009D6546"/>
    <w:rsid w:val="009D65EE"/>
    <w:rsid w:val="009D6FE7"/>
    <w:rsid w:val="009D71C8"/>
    <w:rsid w:val="009D7EFC"/>
    <w:rsid w:val="009E04BB"/>
    <w:rsid w:val="009E0525"/>
    <w:rsid w:val="009E05A9"/>
    <w:rsid w:val="009E1370"/>
    <w:rsid w:val="009E20A6"/>
    <w:rsid w:val="009E233F"/>
    <w:rsid w:val="009E2F30"/>
    <w:rsid w:val="009E323A"/>
    <w:rsid w:val="009E328B"/>
    <w:rsid w:val="009E4130"/>
    <w:rsid w:val="009E6122"/>
    <w:rsid w:val="009E6DD0"/>
    <w:rsid w:val="009E6DEE"/>
    <w:rsid w:val="009E6E87"/>
    <w:rsid w:val="009E700C"/>
    <w:rsid w:val="009E7F79"/>
    <w:rsid w:val="009F082A"/>
    <w:rsid w:val="009F0BD9"/>
    <w:rsid w:val="009F12B4"/>
    <w:rsid w:val="009F33FA"/>
    <w:rsid w:val="009F347C"/>
    <w:rsid w:val="009F4D19"/>
    <w:rsid w:val="009F54D7"/>
    <w:rsid w:val="009F6619"/>
    <w:rsid w:val="009F68FF"/>
    <w:rsid w:val="009F6FEE"/>
    <w:rsid w:val="009F768E"/>
    <w:rsid w:val="009F7F88"/>
    <w:rsid w:val="00A00E77"/>
    <w:rsid w:val="00A01A4C"/>
    <w:rsid w:val="00A01C1F"/>
    <w:rsid w:val="00A01C98"/>
    <w:rsid w:val="00A04B6F"/>
    <w:rsid w:val="00A054CB"/>
    <w:rsid w:val="00A05E8F"/>
    <w:rsid w:val="00A0690B"/>
    <w:rsid w:val="00A06A54"/>
    <w:rsid w:val="00A0787D"/>
    <w:rsid w:val="00A10025"/>
    <w:rsid w:val="00A10423"/>
    <w:rsid w:val="00A10498"/>
    <w:rsid w:val="00A10A6F"/>
    <w:rsid w:val="00A118B4"/>
    <w:rsid w:val="00A129C6"/>
    <w:rsid w:val="00A14BDD"/>
    <w:rsid w:val="00A15A52"/>
    <w:rsid w:val="00A16698"/>
    <w:rsid w:val="00A1706F"/>
    <w:rsid w:val="00A1721D"/>
    <w:rsid w:val="00A17791"/>
    <w:rsid w:val="00A17A42"/>
    <w:rsid w:val="00A17F01"/>
    <w:rsid w:val="00A20EDD"/>
    <w:rsid w:val="00A210DB"/>
    <w:rsid w:val="00A21667"/>
    <w:rsid w:val="00A220FB"/>
    <w:rsid w:val="00A223A5"/>
    <w:rsid w:val="00A22536"/>
    <w:rsid w:val="00A244A1"/>
    <w:rsid w:val="00A24BC5"/>
    <w:rsid w:val="00A2504C"/>
    <w:rsid w:val="00A26E5D"/>
    <w:rsid w:val="00A276A6"/>
    <w:rsid w:val="00A276FF"/>
    <w:rsid w:val="00A30C82"/>
    <w:rsid w:val="00A31A01"/>
    <w:rsid w:val="00A32211"/>
    <w:rsid w:val="00A3287C"/>
    <w:rsid w:val="00A33758"/>
    <w:rsid w:val="00A33FDC"/>
    <w:rsid w:val="00A34114"/>
    <w:rsid w:val="00A34C81"/>
    <w:rsid w:val="00A34E19"/>
    <w:rsid w:val="00A34FF0"/>
    <w:rsid w:val="00A35165"/>
    <w:rsid w:val="00A35BE0"/>
    <w:rsid w:val="00A35C90"/>
    <w:rsid w:val="00A362F9"/>
    <w:rsid w:val="00A36F35"/>
    <w:rsid w:val="00A373CC"/>
    <w:rsid w:val="00A3760C"/>
    <w:rsid w:val="00A37704"/>
    <w:rsid w:val="00A37E59"/>
    <w:rsid w:val="00A40108"/>
    <w:rsid w:val="00A40D0C"/>
    <w:rsid w:val="00A41302"/>
    <w:rsid w:val="00A41C59"/>
    <w:rsid w:val="00A4350C"/>
    <w:rsid w:val="00A43644"/>
    <w:rsid w:val="00A4383B"/>
    <w:rsid w:val="00A44BB6"/>
    <w:rsid w:val="00A45734"/>
    <w:rsid w:val="00A45B90"/>
    <w:rsid w:val="00A462F7"/>
    <w:rsid w:val="00A46659"/>
    <w:rsid w:val="00A46F1A"/>
    <w:rsid w:val="00A47029"/>
    <w:rsid w:val="00A477C3"/>
    <w:rsid w:val="00A50299"/>
    <w:rsid w:val="00A5067A"/>
    <w:rsid w:val="00A533D5"/>
    <w:rsid w:val="00A53A31"/>
    <w:rsid w:val="00A53C68"/>
    <w:rsid w:val="00A5510E"/>
    <w:rsid w:val="00A559F4"/>
    <w:rsid w:val="00A56308"/>
    <w:rsid w:val="00A56547"/>
    <w:rsid w:val="00A57079"/>
    <w:rsid w:val="00A570E0"/>
    <w:rsid w:val="00A606A0"/>
    <w:rsid w:val="00A6077B"/>
    <w:rsid w:val="00A60A60"/>
    <w:rsid w:val="00A61263"/>
    <w:rsid w:val="00A614AD"/>
    <w:rsid w:val="00A61886"/>
    <w:rsid w:val="00A61E92"/>
    <w:rsid w:val="00A62757"/>
    <w:rsid w:val="00A639E0"/>
    <w:rsid w:val="00A63D89"/>
    <w:rsid w:val="00A64393"/>
    <w:rsid w:val="00A6526E"/>
    <w:rsid w:val="00A65DA4"/>
    <w:rsid w:val="00A66E04"/>
    <w:rsid w:val="00A67194"/>
    <w:rsid w:val="00A671B3"/>
    <w:rsid w:val="00A676F1"/>
    <w:rsid w:val="00A67968"/>
    <w:rsid w:val="00A7040E"/>
    <w:rsid w:val="00A70D5A"/>
    <w:rsid w:val="00A734F2"/>
    <w:rsid w:val="00A73DEE"/>
    <w:rsid w:val="00A74678"/>
    <w:rsid w:val="00A75AEA"/>
    <w:rsid w:val="00A75EA3"/>
    <w:rsid w:val="00A76063"/>
    <w:rsid w:val="00A767EB"/>
    <w:rsid w:val="00A771BF"/>
    <w:rsid w:val="00A77299"/>
    <w:rsid w:val="00A803C1"/>
    <w:rsid w:val="00A805F1"/>
    <w:rsid w:val="00A815B6"/>
    <w:rsid w:val="00A81953"/>
    <w:rsid w:val="00A827C9"/>
    <w:rsid w:val="00A83BF3"/>
    <w:rsid w:val="00A85B31"/>
    <w:rsid w:val="00A860FD"/>
    <w:rsid w:val="00A861F3"/>
    <w:rsid w:val="00A86C48"/>
    <w:rsid w:val="00A90DB1"/>
    <w:rsid w:val="00A9147B"/>
    <w:rsid w:val="00A9177F"/>
    <w:rsid w:val="00A91BA8"/>
    <w:rsid w:val="00A91EF1"/>
    <w:rsid w:val="00A91EF2"/>
    <w:rsid w:val="00A9325C"/>
    <w:rsid w:val="00A93680"/>
    <w:rsid w:val="00A9430B"/>
    <w:rsid w:val="00A94483"/>
    <w:rsid w:val="00A94529"/>
    <w:rsid w:val="00A94C42"/>
    <w:rsid w:val="00A959CA"/>
    <w:rsid w:val="00A96FC6"/>
    <w:rsid w:val="00A97A16"/>
    <w:rsid w:val="00A97B61"/>
    <w:rsid w:val="00A97C2E"/>
    <w:rsid w:val="00A97CE3"/>
    <w:rsid w:val="00A97E0C"/>
    <w:rsid w:val="00AA01DA"/>
    <w:rsid w:val="00AA11BA"/>
    <w:rsid w:val="00AA182B"/>
    <w:rsid w:val="00AA2394"/>
    <w:rsid w:val="00AA2D62"/>
    <w:rsid w:val="00AA2E2C"/>
    <w:rsid w:val="00AA2E90"/>
    <w:rsid w:val="00AA3077"/>
    <w:rsid w:val="00AA375B"/>
    <w:rsid w:val="00AA38AF"/>
    <w:rsid w:val="00AA41DE"/>
    <w:rsid w:val="00AA450C"/>
    <w:rsid w:val="00AA4B62"/>
    <w:rsid w:val="00AA571A"/>
    <w:rsid w:val="00AA5EB3"/>
    <w:rsid w:val="00AA5F1A"/>
    <w:rsid w:val="00AA6916"/>
    <w:rsid w:val="00AB022F"/>
    <w:rsid w:val="00AB110E"/>
    <w:rsid w:val="00AB11CF"/>
    <w:rsid w:val="00AB1287"/>
    <w:rsid w:val="00AB1CE8"/>
    <w:rsid w:val="00AB2470"/>
    <w:rsid w:val="00AB3FCD"/>
    <w:rsid w:val="00AB4506"/>
    <w:rsid w:val="00AB5190"/>
    <w:rsid w:val="00AB5513"/>
    <w:rsid w:val="00AB6DFC"/>
    <w:rsid w:val="00AB6E0F"/>
    <w:rsid w:val="00AB7354"/>
    <w:rsid w:val="00AB75DD"/>
    <w:rsid w:val="00AB7C46"/>
    <w:rsid w:val="00AC071C"/>
    <w:rsid w:val="00AC2076"/>
    <w:rsid w:val="00AC3637"/>
    <w:rsid w:val="00AC3D4F"/>
    <w:rsid w:val="00AC3DB7"/>
    <w:rsid w:val="00AC4699"/>
    <w:rsid w:val="00AC57CD"/>
    <w:rsid w:val="00AC59DF"/>
    <w:rsid w:val="00AC72C7"/>
    <w:rsid w:val="00AC7899"/>
    <w:rsid w:val="00AD13D6"/>
    <w:rsid w:val="00AD2C42"/>
    <w:rsid w:val="00AD4087"/>
    <w:rsid w:val="00AD5BEE"/>
    <w:rsid w:val="00AD6466"/>
    <w:rsid w:val="00AD6A21"/>
    <w:rsid w:val="00AD6BE0"/>
    <w:rsid w:val="00AD752F"/>
    <w:rsid w:val="00AE05DD"/>
    <w:rsid w:val="00AE0C8D"/>
    <w:rsid w:val="00AE0E2A"/>
    <w:rsid w:val="00AE1131"/>
    <w:rsid w:val="00AE1411"/>
    <w:rsid w:val="00AE2330"/>
    <w:rsid w:val="00AE27D6"/>
    <w:rsid w:val="00AE55BC"/>
    <w:rsid w:val="00AE5A99"/>
    <w:rsid w:val="00AE62E7"/>
    <w:rsid w:val="00AE686D"/>
    <w:rsid w:val="00AE6B27"/>
    <w:rsid w:val="00AE77AC"/>
    <w:rsid w:val="00AF0DC0"/>
    <w:rsid w:val="00AF0F96"/>
    <w:rsid w:val="00AF17E4"/>
    <w:rsid w:val="00AF21D7"/>
    <w:rsid w:val="00AF282C"/>
    <w:rsid w:val="00AF28EB"/>
    <w:rsid w:val="00AF31BA"/>
    <w:rsid w:val="00AF36B6"/>
    <w:rsid w:val="00AF4803"/>
    <w:rsid w:val="00AF4D10"/>
    <w:rsid w:val="00AF58CB"/>
    <w:rsid w:val="00AF7217"/>
    <w:rsid w:val="00AF726F"/>
    <w:rsid w:val="00AF783F"/>
    <w:rsid w:val="00B00208"/>
    <w:rsid w:val="00B00506"/>
    <w:rsid w:val="00B00673"/>
    <w:rsid w:val="00B00ED5"/>
    <w:rsid w:val="00B02315"/>
    <w:rsid w:val="00B02BF0"/>
    <w:rsid w:val="00B034DD"/>
    <w:rsid w:val="00B03AB4"/>
    <w:rsid w:val="00B04C3C"/>
    <w:rsid w:val="00B05B91"/>
    <w:rsid w:val="00B06ED4"/>
    <w:rsid w:val="00B077CC"/>
    <w:rsid w:val="00B07A28"/>
    <w:rsid w:val="00B1123F"/>
    <w:rsid w:val="00B13397"/>
    <w:rsid w:val="00B1400D"/>
    <w:rsid w:val="00B144AA"/>
    <w:rsid w:val="00B147C9"/>
    <w:rsid w:val="00B15BB2"/>
    <w:rsid w:val="00B1666B"/>
    <w:rsid w:val="00B16EBE"/>
    <w:rsid w:val="00B20655"/>
    <w:rsid w:val="00B21443"/>
    <w:rsid w:val="00B21D0E"/>
    <w:rsid w:val="00B22C57"/>
    <w:rsid w:val="00B23C76"/>
    <w:rsid w:val="00B23EEE"/>
    <w:rsid w:val="00B25E1E"/>
    <w:rsid w:val="00B27298"/>
    <w:rsid w:val="00B27384"/>
    <w:rsid w:val="00B276E4"/>
    <w:rsid w:val="00B27A6D"/>
    <w:rsid w:val="00B309F9"/>
    <w:rsid w:val="00B30DAD"/>
    <w:rsid w:val="00B31593"/>
    <w:rsid w:val="00B31782"/>
    <w:rsid w:val="00B34709"/>
    <w:rsid w:val="00B34F80"/>
    <w:rsid w:val="00B36928"/>
    <w:rsid w:val="00B37293"/>
    <w:rsid w:val="00B4076A"/>
    <w:rsid w:val="00B413EB"/>
    <w:rsid w:val="00B426B6"/>
    <w:rsid w:val="00B42C20"/>
    <w:rsid w:val="00B43AD9"/>
    <w:rsid w:val="00B443D5"/>
    <w:rsid w:val="00B44482"/>
    <w:rsid w:val="00B45012"/>
    <w:rsid w:val="00B450D9"/>
    <w:rsid w:val="00B45D36"/>
    <w:rsid w:val="00B46A93"/>
    <w:rsid w:val="00B46FF2"/>
    <w:rsid w:val="00B539EB"/>
    <w:rsid w:val="00B54B76"/>
    <w:rsid w:val="00B55AE3"/>
    <w:rsid w:val="00B560E5"/>
    <w:rsid w:val="00B576E1"/>
    <w:rsid w:val="00B6088D"/>
    <w:rsid w:val="00B608F1"/>
    <w:rsid w:val="00B60A96"/>
    <w:rsid w:val="00B60F79"/>
    <w:rsid w:val="00B617E2"/>
    <w:rsid w:val="00B6252C"/>
    <w:rsid w:val="00B62653"/>
    <w:rsid w:val="00B62CBE"/>
    <w:rsid w:val="00B62EFD"/>
    <w:rsid w:val="00B63999"/>
    <w:rsid w:val="00B63B4A"/>
    <w:rsid w:val="00B63DA0"/>
    <w:rsid w:val="00B64173"/>
    <w:rsid w:val="00B64F8D"/>
    <w:rsid w:val="00B6533C"/>
    <w:rsid w:val="00B6731A"/>
    <w:rsid w:val="00B673CA"/>
    <w:rsid w:val="00B678A4"/>
    <w:rsid w:val="00B70316"/>
    <w:rsid w:val="00B70903"/>
    <w:rsid w:val="00B70930"/>
    <w:rsid w:val="00B7108D"/>
    <w:rsid w:val="00B7117A"/>
    <w:rsid w:val="00B7128A"/>
    <w:rsid w:val="00B713F0"/>
    <w:rsid w:val="00B71BD7"/>
    <w:rsid w:val="00B72053"/>
    <w:rsid w:val="00B73D1E"/>
    <w:rsid w:val="00B74530"/>
    <w:rsid w:val="00B74E4D"/>
    <w:rsid w:val="00B75D3F"/>
    <w:rsid w:val="00B75D4C"/>
    <w:rsid w:val="00B76F2C"/>
    <w:rsid w:val="00B774EE"/>
    <w:rsid w:val="00B77723"/>
    <w:rsid w:val="00B77863"/>
    <w:rsid w:val="00B80008"/>
    <w:rsid w:val="00B801AC"/>
    <w:rsid w:val="00B809E2"/>
    <w:rsid w:val="00B815D3"/>
    <w:rsid w:val="00B8270D"/>
    <w:rsid w:val="00B82B33"/>
    <w:rsid w:val="00B8384C"/>
    <w:rsid w:val="00B84030"/>
    <w:rsid w:val="00B843A1"/>
    <w:rsid w:val="00B854BE"/>
    <w:rsid w:val="00B85704"/>
    <w:rsid w:val="00B868D6"/>
    <w:rsid w:val="00B86965"/>
    <w:rsid w:val="00B86D0A"/>
    <w:rsid w:val="00B8748B"/>
    <w:rsid w:val="00B87B3F"/>
    <w:rsid w:val="00B91818"/>
    <w:rsid w:val="00B922D6"/>
    <w:rsid w:val="00B93E18"/>
    <w:rsid w:val="00B93E2C"/>
    <w:rsid w:val="00B94BE5"/>
    <w:rsid w:val="00B9556B"/>
    <w:rsid w:val="00B96069"/>
    <w:rsid w:val="00B968F3"/>
    <w:rsid w:val="00BA0A76"/>
    <w:rsid w:val="00BA11A9"/>
    <w:rsid w:val="00BA30C2"/>
    <w:rsid w:val="00BA31C6"/>
    <w:rsid w:val="00BA4B0A"/>
    <w:rsid w:val="00BA4BBB"/>
    <w:rsid w:val="00BA699B"/>
    <w:rsid w:val="00BA76AB"/>
    <w:rsid w:val="00BB0225"/>
    <w:rsid w:val="00BB0423"/>
    <w:rsid w:val="00BB0F8B"/>
    <w:rsid w:val="00BB1D73"/>
    <w:rsid w:val="00BB2CE4"/>
    <w:rsid w:val="00BB3C27"/>
    <w:rsid w:val="00BB4008"/>
    <w:rsid w:val="00BB42D2"/>
    <w:rsid w:val="00BB5449"/>
    <w:rsid w:val="00BB5C00"/>
    <w:rsid w:val="00BB6ECF"/>
    <w:rsid w:val="00BB74B3"/>
    <w:rsid w:val="00BB777A"/>
    <w:rsid w:val="00BB7E0B"/>
    <w:rsid w:val="00BC06FE"/>
    <w:rsid w:val="00BC1221"/>
    <w:rsid w:val="00BC1765"/>
    <w:rsid w:val="00BC1FD6"/>
    <w:rsid w:val="00BC25D7"/>
    <w:rsid w:val="00BC320C"/>
    <w:rsid w:val="00BC43C2"/>
    <w:rsid w:val="00BC464D"/>
    <w:rsid w:val="00BC4883"/>
    <w:rsid w:val="00BC5454"/>
    <w:rsid w:val="00BC5F7F"/>
    <w:rsid w:val="00BC72BA"/>
    <w:rsid w:val="00BC74EE"/>
    <w:rsid w:val="00BC777E"/>
    <w:rsid w:val="00BC7E23"/>
    <w:rsid w:val="00BD219A"/>
    <w:rsid w:val="00BD2C42"/>
    <w:rsid w:val="00BD2EF9"/>
    <w:rsid w:val="00BD2F1D"/>
    <w:rsid w:val="00BD3997"/>
    <w:rsid w:val="00BD5D7E"/>
    <w:rsid w:val="00BD62E5"/>
    <w:rsid w:val="00BD68BB"/>
    <w:rsid w:val="00BD6EF9"/>
    <w:rsid w:val="00BD754C"/>
    <w:rsid w:val="00BD78C6"/>
    <w:rsid w:val="00BD7F54"/>
    <w:rsid w:val="00BE01E1"/>
    <w:rsid w:val="00BE0849"/>
    <w:rsid w:val="00BE15DA"/>
    <w:rsid w:val="00BE19AD"/>
    <w:rsid w:val="00BE1B2F"/>
    <w:rsid w:val="00BE2A00"/>
    <w:rsid w:val="00BE369C"/>
    <w:rsid w:val="00BE4FBC"/>
    <w:rsid w:val="00BE5338"/>
    <w:rsid w:val="00BE5A5B"/>
    <w:rsid w:val="00BE5B7C"/>
    <w:rsid w:val="00BE61C4"/>
    <w:rsid w:val="00BE72FD"/>
    <w:rsid w:val="00BE733C"/>
    <w:rsid w:val="00BE73D4"/>
    <w:rsid w:val="00BE791F"/>
    <w:rsid w:val="00BE7AF2"/>
    <w:rsid w:val="00BF1EF8"/>
    <w:rsid w:val="00BF25A9"/>
    <w:rsid w:val="00BF2DE5"/>
    <w:rsid w:val="00BF39B7"/>
    <w:rsid w:val="00BF486D"/>
    <w:rsid w:val="00BF4C49"/>
    <w:rsid w:val="00BF4D1A"/>
    <w:rsid w:val="00BF5168"/>
    <w:rsid w:val="00BF5A5B"/>
    <w:rsid w:val="00BF6338"/>
    <w:rsid w:val="00BF6D56"/>
    <w:rsid w:val="00BF7CE1"/>
    <w:rsid w:val="00C00D03"/>
    <w:rsid w:val="00C00D9C"/>
    <w:rsid w:val="00C01DFC"/>
    <w:rsid w:val="00C02513"/>
    <w:rsid w:val="00C0270E"/>
    <w:rsid w:val="00C0282B"/>
    <w:rsid w:val="00C044E4"/>
    <w:rsid w:val="00C047A4"/>
    <w:rsid w:val="00C05013"/>
    <w:rsid w:val="00C053B5"/>
    <w:rsid w:val="00C067E0"/>
    <w:rsid w:val="00C071C7"/>
    <w:rsid w:val="00C0773D"/>
    <w:rsid w:val="00C1025D"/>
    <w:rsid w:val="00C110C7"/>
    <w:rsid w:val="00C11733"/>
    <w:rsid w:val="00C12CC1"/>
    <w:rsid w:val="00C12D93"/>
    <w:rsid w:val="00C12EE2"/>
    <w:rsid w:val="00C13103"/>
    <w:rsid w:val="00C139DE"/>
    <w:rsid w:val="00C13B55"/>
    <w:rsid w:val="00C13CB8"/>
    <w:rsid w:val="00C14CD4"/>
    <w:rsid w:val="00C151CE"/>
    <w:rsid w:val="00C15BBB"/>
    <w:rsid w:val="00C16439"/>
    <w:rsid w:val="00C2092E"/>
    <w:rsid w:val="00C20F37"/>
    <w:rsid w:val="00C211AE"/>
    <w:rsid w:val="00C213FD"/>
    <w:rsid w:val="00C21C42"/>
    <w:rsid w:val="00C23520"/>
    <w:rsid w:val="00C23FE1"/>
    <w:rsid w:val="00C24AE3"/>
    <w:rsid w:val="00C25082"/>
    <w:rsid w:val="00C2570A"/>
    <w:rsid w:val="00C25B91"/>
    <w:rsid w:val="00C265D4"/>
    <w:rsid w:val="00C26DC6"/>
    <w:rsid w:val="00C27447"/>
    <w:rsid w:val="00C275FC"/>
    <w:rsid w:val="00C2772B"/>
    <w:rsid w:val="00C30615"/>
    <w:rsid w:val="00C30715"/>
    <w:rsid w:val="00C30D84"/>
    <w:rsid w:val="00C3131B"/>
    <w:rsid w:val="00C317A7"/>
    <w:rsid w:val="00C33383"/>
    <w:rsid w:val="00C33614"/>
    <w:rsid w:val="00C33AEC"/>
    <w:rsid w:val="00C35493"/>
    <w:rsid w:val="00C35C8E"/>
    <w:rsid w:val="00C361E9"/>
    <w:rsid w:val="00C3671E"/>
    <w:rsid w:val="00C36B1D"/>
    <w:rsid w:val="00C3742C"/>
    <w:rsid w:val="00C410D2"/>
    <w:rsid w:val="00C41363"/>
    <w:rsid w:val="00C42209"/>
    <w:rsid w:val="00C429D5"/>
    <w:rsid w:val="00C42A78"/>
    <w:rsid w:val="00C42DC9"/>
    <w:rsid w:val="00C437D6"/>
    <w:rsid w:val="00C45897"/>
    <w:rsid w:val="00C4601D"/>
    <w:rsid w:val="00C470F6"/>
    <w:rsid w:val="00C47B1C"/>
    <w:rsid w:val="00C504EF"/>
    <w:rsid w:val="00C509D2"/>
    <w:rsid w:val="00C51CCA"/>
    <w:rsid w:val="00C53131"/>
    <w:rsid w:val="00C54473"/>
    <w:rsid w:val="00C55945"/>
    <w:rsid w:val="00C55D94"/>
    <w:rsid w:val="00C55DCB"/>
    <w:rsid w:val="00C55FBB"/>
    <w:rsid w:val="00C57582"/>
    <w:rsid w:val="00C608EF"/>
    <w:rsid w:val="00C60E9C"/>
    <w:rsid w:val="00C612BB"/>
    <w:rsid w:val="00C612BF"/>
    <w:rsid w:val="00C61338"/>
    <w:rsid w:val="00C6207E"/>
    <w:rsid w:val="00C6324D"/>
    <w:rsid w:val="00C64773"/>
    <w:rsid w:val="00C64FAE"/>
    <w:rsid w:val="00C653CC"/>
    <w:rsid w:val="00C66344"/>
    <w:rsid w:val="00C66EDC"/>
    <w:rsid w:val="00C674F7"/>
    <w:rsid w:val="00C67D05"/>
    <w:rsid w:val="00C714EE"/>
    <w:rsid w:val="00C731E1"/>
    <w:rsid w:val="00C7335A"/>
    <w:rsid w:val="00C741A7"/>
    <w:rsid w:val="00C745D7"/>
    <w:rsid w:val="00C74F7C"/>
    <w:rsid w:val="00C75F87"/>
    <w:rsid w:val="00C7702A"/>
    <w:rsid w:val="00C773C8"/>
    <w:rsid w:val="00C806B8"/>
    <w:rsid w:val="00C80A25"/>
    <w:rsid w:val="00C80E5E"/>
    <w:rsid w:val="00C82930"/>
    <w:rsid w:val="00C82C9E"/>
    <w:rsid w:val="00C83945"/>
    <w:rsid w:val="00C841BF"/>
    <w:rsid w:val="00C84BF3"/>
    <w:rsid w:val="00C8531E"/>
    <w:rsid w:val="00C85560"/>
    <w:rsid w:val="00C85A50"/>
    <w:rsid w:val="00C85B6C"/>
    <w:rsid w:val="00C85ECE"/>
    <w:rsid w:val="00C85F1C"/>
    <w:rsid w:val="00C86BFE"/>
    <w:rsid w:val="00C86D8A"/>
    <w:rsid w:val="00C86FF3"/>
    <w:rsid w:val="00C87E2F"/>
    <w:rsid w:val="00C900B0"/>
    <w:rsid w:val="00C9080B"/>
    <w:rsid w:val="00C90EA7"/>
    <w:rsid w:val="00C90EF9"/>
    <w:rsid w:val="00C9146C"/>
    <w:rsid w:val="00C9164E"/>
    <w:rsid w:val="00C92931"/>
    <w:rsid w:val="00C92949"/>
    <w:rsid w:val="00C9312F"/>
    <w:rsid w:val="00C93A97"/>
    <w:rsid w:val="00C94499"/>
    <w:rsid w:val="00C9491A"/>
    <w:rsid w:val="00C94BE9"/>
    <w:rsid w:val="00C95DD7"/>
    <w:rsid w:val="00C95ED6"/>
    <w:rsid w:val="00C965B2"/>
    <w:rsid w:val="00C96BBB"/>
    <w:rsid w:val="00CA04D5"/>
    <w:rsid w:val="00CA1AC8"/>
    <w:rsid w:val="00CA1FB0"/>
    <w:rsid w:val="00CA24D1"/>
    <w:rsid w:val="00CA381C"/>
    <w:rsid w:val="00CA39CC"/>
    <w:rsid w:val="00CA403D"/>
    <w:rsid w:val="00CA4743"/>
    <w:rsid w:val="00CA4818"/>
    <w:rsid w:val="00CA57FE"/>
    <w:rsid w:val="00CA5FF6"/>
    <w:rsid w:val="00CA6F32"/>
    <w:rsid w:val="00CA735E"/>
    <w:rsid w:val="00CA7BEE"/>
    <w:rsid w:val="00CB01B1"/>
    <w:rsid w:val="00CB0B34"/>
    <w:rsid w:val="00CB0EE0"/>
    <w:rsid w:val="00CB138F"/>
    <w:rsid w:val="00CB13CF"/>
    <w:rsid w:val="00CB13E0"/>
    <w:rsid w:val="00CB2343"/>
    <w:rsid w:val="00CB2F02"/>
    <w:rsid w:val="00CB387F"/>
    <w:rsid w:val="00CB44CC"/>
    <w:rsid w:val="00CB4506"/>
    <w:rsid w:val="00CB4522"/>
    <w:rsid w:val="00CB4741"/>
    <w:rsid w:val="00CB7145"/>
    <w:rsid w:val="00CB76B8"/>
    <w:rsid w:val="00CB7703"/>
    <w:rsid w:val="00CB77EE"/>
    <w:rsid w:val="00CB783B"/>
    <w:rsid w:val="00CB7AE2"/>
    <w:rsid w:val="00CC1C1E"/>
    <w:rsid w:val="00CC2611"/>
    <w:rsid w:val="00CC2803"/>
    <w:rsid w:val="00CC2813"/>
    <w:rsid w:val="00CC295E"/>
    <w:rsid w:val="00CC48D6"/>
    <w:rsid w:val="00CC544C"/>
    <w:rsid w:val="00CC559E"/>
    <w:rsid w:val="00CC707F"/>
    <w:rsid w:val="00CC708A"/>
    <w:rsid w:val="00CC79CD"/>
    <w:rsid w:val="00CD0E5B"/>
    <w:rsid w:val="00CD1841"/>
    <w:rsid w:val="00CD1BF1"/>
    <w:rsid w:val="00CD27CD"/>
    <w:rsid w:val="00CD34A5"/>
    <w:rsid w:val="00CD42CF"/>
    <w:rsid w:val="00CD4BF8"/>
    <w:rsid w:val="00CD52CD"/>
    <w:rsid w:val="00CD58F5"/>
    <w:rsid w:val="00CD644F"/>
    <w:rsid w:val="00CD6525"/>
    <w:rsid w:val="00CD652E"/>
    <w:rsid w:val="00CD68DD"/>
    <w:rsid w:val="00CD6A0A"/>
    <w:rsid w:val="00CD6EF2"/>
    <w:rsid w:val="00CD786B"/>
    <w:rsid w:val="00CD7B8B"/>
    <w:rsid w:val="00CE01F8"/>
    <w:rsid w:val="00CE08BB"/>
    <w:rsid w:val="00CE24B9"/>
    <w:rsid w:val="00CE2ADD"/>
    <w:rsid w:val="00CE2B04"/>
    <w:rsid w:val="00CE2C27"/>
    <w:rsid w:val="00CE3E8B"/>
    <w:rsid w:val="00CE47DC"/>
    <w:rsid w:val="00CE5298"/>
    <w:rsid w:val="00CE5322"/>
    <w:rsid w:val="00CE58EB"/>
    <w:rsid w:val="00CE69E4"/>
    <w:rsid w:val="00CF0041"/>
    <w:rsid w:val="00CF02F9"/>
    <w:rsid w:val="00CF0D4B"/>
    <w:rsid w:val="00CF2605"/>
    <w:rsid w:val="00CF2804"/>
    <w:rsid w:val="00CF35B2"/>
    <w:rsid w:val="00CF38D4"/>
    <w:rsid w:val="00CF3D4C"/>
    <w:rsid w:val="00CF5C07"/>
    <w:rsid w:val="00CF5CFC"/>
    <w:rsid w:val="00D00655"/>
    <w:rsid w:val="00D00AF5"/>
    <w:rsid w:val="00D00E75"/>
    <w:rsid w:val="00D01917"/>
    <w:rsid w:val="00D01EBC"/>
    <w:rsid w:val="00D03DE1"/>
    <w:rsid w:val="00D03EDD"/>
    <w:rsid w:val="00D03EEF"/>
    <w:rsid w:val="00D03F69"/>
    <w:rsid w:val="00D04F08"/>
    <w:rsid w:val="00D050BB"/>
    <w:rsid w:val="00D07087"/>
    <w:rsid w:val="00D07A1B"/>
    <w:rsid w:val="00D07ACD"/>
    <w:rsid w:val="00D07E2A"/>
    <w:rsid w:val="00D07EA6"/>
    <w:rsid w:val="00D11582"/>
    <w:rsid w:val="00D11666"/>
    <w:rsid w:val="00D11D07"/>
    <w:rsid w:val="00D124D3"/>
    <w:rsid w:val="00D138F2"/>
    <w:rsid w:val="00D1489F"/>
    <w:rsid w:val="00D1491B"/>
    <w:rsid w:val="00D159F8"/>
    <w:rsid w:val="00D15DD2"/>
    <w:rsid w:val="00D16E55"/>
    <w:rsid w:val="00D16ECF"/>
    <w:rsid w:val="00D17C04"/>
    <w:rsid w:val="00D17CFB"/>
    <w:rsid w:val="00D17E3E"/>
    <w:rsid w:val="00D2046D"/>
    <w:rsid w:val="00D21820"/>
    <w:rsid w:val="00D2255E"/>
    <w:rsid w:val="00D226B9"/>
    <w:rsid w:val="00D23437"/>
    <w:rsid w:val="00D2372E"/>
    <w:rsid w:val="00D2373E"/>
    <w:rsid w:val="00D239F4"/>
    <w:rsid w:val="00D2459A"/>
    <w:rsid w:val="00D248D9"/>
    <w:rsid w:val="00D24CD7"/>
    <w:rsid w:val="00D259E0"/>
    <w:rsid w:val="00D27131"/>
    <w:rsid w:val="00D31AD0"/>
    <w:rsid w:val="00D31B9E"/>
    <w:rsid w:val="00D31BBD"/>
    <w:rsid w:val="00D32658"/>
    <w:rsid w:val="00D34E83"/>
    <w:rsid w:val="00D35189"/>
    <w:rsid w:val="00D352D0"/>
    <w:rsid w:val="00D3701D"/>
    <w:rsid w:val="00D37354"/>
    <w:rsid w:val="00D404B1"/>
    <w:rsid w:val="00D40C33"/>
    <w:rsid w:val="00D4104F"/>
    <w:rsid w:val="00D4313E"/>
    <w:rsid w:val="00D43988"/>
    <w:rsid w:val="00D4707E"/>
    <w:rsid w:val="00D47238"/>
    <w:rsid w:val="00D4762C"/>
    <w:rsid w:val="00D47867"/>
    <w:rsid w:val="00D47EAF"/>
    <w:rsid w:val="00D50B2A"/>
    <w:rsid w:val="00D5132A"/>
    <w:rsid w:val="00D51517"/>
    <w:rsid w:val="00D52D7F"/>
    <w:rsid w:val="00D53034"/>
    <w:rsid w:val="00D53103"/>
    <w:rsid w:val="00D541A8"/>
    <w:rsid w:val="00D54E13"/>
    <w:rsid w:val="00D54F79"/>
    <w:rsid w:val="00D55A05"/>
    <w:rsid w:val="00D562A8"/>
    <w:rsid w:val="00D56D22"/>
    <w:rsid w:val="00D5724E"/>
    <w:rsid w:val="00D60210"/>
    <w:rsid w:val="00D61A9F"/>
    <w:rsid w:val="00D61EDD"/>
    <w:rsid w:val="00D628AF"/>
    <w:rsid w:val="00D6294B"/>
    <w:rsid w:val="00D62A4A"/>
    <w:rsid w:val="00D64AE1"/>
    <w:rsid w:val="00D654F8"/>
    <w:rsid w:val="00D66697"/>
    <w:rsid w:val="00D676B3"/>
    <w:rsid w:val="00D6787A"/>
    <w:rsid w:val="00D67ACA"/>
    <w:rsid w:val="00D67F69"/>
    <w:rsid w:val="00D71103"/>
    <w:rsid w:val="00D71213"/>
    <w:rsid w:val="00D713E4"/>
    <w:rsid w:val="00D72FAD"/>
    <w:rsid w:val="00D7314F"/>
    <w:rsid w:val="00D73259"/>
    <w:rsid w:val="00D73AF1"/>
    <w:rsid w:val="00D73E64"/>
    <w:rsid w:val="00D74504"/>
    <w:rsid w:val="00D74639"/>
    <w:rsid w:val="00D74926"/>
    <w:rsid w:val="00D74E38"/>
    <w:rsid w:val="00D75449"/>
    <w:rsid w:val="00D770D5"/>
    <w:rsid w:val="00D809B7"/>
    <w:rsid w:val="00D812A9"/>
    <w:rsid w:val="00D813B0"/>
    <w:rsid w:val="00D8141C"/>
    <w:rsid w:val="00D81A57"/>
    <w:rsid w:val="00D82664"/>
    <w:rsid w:val="00D8269A"/>
    <w:rsid w:val="00D82962"/>
    <w:rsid w:val="00D82A4C"/>
    <w:rsid w:val="00D83A65"/>
    <w:rsid w:val="00D846CF"/>
    <w:rsid w:val="00D85683"/>
    <w:rsid w:val="00D86320"/>
    <w:rsid w:val="00D86D21"/>
    <w:rsid w:val="00D86D72"/>
    <w:rsid w:val="00D8772B"/>
    <w:rsid w:val="00D90114"/>
    <w:rsid w:val="00D90679"/>
    <w:rsid w:val="00D90F8A"/>
    <w:rsid w:val="00D91621"/>
    <w:rsid w:val="00D9180B"/>
    <w:rsid w:val="00D925BC"/>
    <w:rsid w:val="00D929B7"/>
    <w:rsid w:val="00D9330D"/>
    <w:rsid w:val="00D94EB6"/>
    <w:rsid w:val="00D95111"/>
    <w:rsid w:val="00D954B6"/>
    <w:rsid w:val="00D9553A"/>
    <w:rsid w:val="00D958D2"/>
    <w:rsid w:val="00D95A4C"/>
    <w:rsid w:val="00D95C5C"/>
    <w:rsid w:val="00D9623F"/>
    <w:rsid w:val="00D964B0"/>
    <w:rsid w:val="00D96B91"/>
    <w:rsid w:val="00D9740F"/>
    <w:rsid w:val="00D97545"/>
    <w:rsid w:val="00D9770C"/>
    <w:rsid w:val="00D9787B"/>
    <w:rsid w:val="00D97BA1"/>
    <w:rsid w:val="00D97F28"/>
    <w:rsid w:val="00DA09FC"/>
    <w:rsid w:val="00DA28A7"/>
    <w:rsid w:val="00DA2BB0"/>
    <w:rsid w:val="00DA2BCC"/>
    <w:rsid w:val="00DA2FCA"/>
    <w:rsid w:val="00DA348E"/>
    <w:rsid w:val="00DA373A"/>
    <w:rsid w:val="00DA5162"/>
    <w:rsid w:val="00DA59D2"/>
    <w:rsid w:val="00DA5A9C"/>
    <w:rsid w:val="00DA5F60"/>
    <w:rsid w:val="00DA6E9D"/>
    <w:rsid w:val="00DA6FF3"/>
    <w:rsid w:val="00DB1595"/>
    <w:rsid w:val="00DB297D"/>
    <w:rsid w:val="00DB2B7E"/>
    <w:rsid w:val="00DB2BA7"/>
    <w:rsid w:val="00DB2F6C"/>
    <w:rsid w:val="00DB345D"/>
    <w:rsid w:val="00DB53A2"/>
    <w:rsid w:val="00DB5719"/>
    <w:rsid w:val="00DB624E"/>
    <w:rsid w:val="00DB7C6B"/>
    <w:rsid w:val="00DC02EA"/>
    <w:rsid w:val="00DC0860"/>
    <w:rsid w:val="00DC1309"/>
    <w:rsid w:val="00DC16F9"/>
    <w:rsid w:val="00DC1CA6"/>
    <w:rsid w:val="00DC20CF"/>
    <w:rsid w:val="00DC27E3"/>
    <w:rsid w:val="00DC3472"/>
    <w:rsid w:val="00DC4B44"/>
    <w:rsid w:val="00DC5C38"/>
    <w:rsid w:val="00DC5C39"/>
    <w:rsid w:val="00DC61A3"/>
    <w:rsid w:val="00DC6EB6"/>
    <w:rsid w:val="00DC7E69"/>
    <w:rsid w:val="00DD0467"/>
    <w:rsid w:val="00DD15EF"/>
    <w:rsid w:val="00DD1738"/>
    <w:rsid w:val="00DD190E"/>
    <w:rsid w:val="00DD2547"/>
    <w:rsid w:val="00DD3316"/>
    <w:rsid w:val="00DD3E02"/>
    <w:rsid w:val="00DD5654"/>
    <w:rsid w:val="00DD594C"/>
    <w:rsid w:val="00DD5E57"/>
    <w:rsid w:val="00DD5F57"/>
    <w:rsid w:val="00DD60E3"/>
    <w:rsid w:val="00DD7F9B"/>
    <w:rsid w:val="00DE3385"/>
    <w:rsid w:val="00DE3503"/>
    <w:rsid w:val="00DE3CA1"/>
    <w:rsid w:val="00DE4007"/>
    <w:rsid w:val="00DE4638"/>
    <w:rsid w:val="00DE4651"/>
    <w:rsid w:val="00DE534A"/>
    <w:rsid w:val="00DE55FD"/>
    <w:rsid w:val="00DE7265"/>
    <w:rsid w:val="00DE7525"/>
    <w:rsid w:val="00DF2247"/>
    <w:rsid w:val="00DF2353"/>
    <w:rsid w:val="00DF2531"/>
    <w:rsid w:val="00DF3AB2"/>
    <w:rsid w:val="00DF5784"/>
    <w:rsid w:val="00DF58B8"/>
    <w:rsid w:val="00DF5FF8"/>
    <w:rsid w:val="00DF6EE5"/>
    <w:rsid w:val="00E0077B"/>
    <w:rsid w:val="00E00898"/>
    <w:rsid w:val="00E029E1"/>
    <w:rsid w:val="00E03634"/>
    <w:rsid w:val="00E050B6"/>
    <w:rsid w:val="00E0557E"/>
    <w:rsid w:val="00E05D14"/>
    <w:rsid w:val="00E0628E"/>
    <w:rsid w:val="00E06460"/>
    <w:rsid w:val="00E073CF"/>
    <w:rsid w:val="00E074A3"/>
    <w:rsid w:val="00E07997"/>
    <w:rsid w:val="00E07A6A"/>
    <w:rsid w:val="00E07EB8"/>
    <w:rsid w:val="00E10388"/>
    <w:rsid w:val="00E107B2"/>
    <w:rsid w:val="00E10EB1"/>
    <w:rsid w:val="00E114CF"/>
    <w:rsid w:val="00E115E0"/>
    <w:rsid w:val="00E1200C"/>
    <w:rsid w:val="00E120E4"/>
    <w:rsid w:val="00E12928"/>
    <w:rsid w:val="00E13636"/>
    <w:rsid w:val="00E13D02"/>
    <w:rsid w:val="00E149F4"/>
    <w:rsid w:val="00E17ECD"/>
    <w:rsid w:val="00E17F53"/>
    <w:rsid w:val="00E20354"/>
    <w:rsid w:val="00E207DB"/>
    <w:rsid w:val="00E21F5A"/>
    <w:rsid w:val="00E234C7"/>
    <w:rsid w:val="00E24EC1"/>
    <w:rsid w:val="00E25124"/>
    <w:rsid w:val="00E25A4F"/>
    <w:rsid w:val="00E261F8"/>
    <w:rsid w:val="00E26B25"/>
    <w:rsid w:val="00E26BD5"/>
    <w:rsid w:val="00E26E25"/>
    <w:rsid w:val="00E27DF3"/>
    <w:rsid w:val="00E3110A"/>
    <w:rsid w:val="00E319CB"/>
    <w:rsid w:val="00E319DC"/>
    <w:rsid w:val="00E324AD"/>
    <w:rsid w:val="00E3342D"/>
    <w:rsid w:val="00E33683"/>
    <w:rsid w:val="00E33734"/>
    <w:rsid w:val="00E34AA9"/>
    <w:rsid w:val="00E368F3"/>
    <w:rsid w:val="00E36A4F"/>
    <w:rsid w:val="00E37D5F"/>
    <w:rsid w:val="00E40942"/>
    <w:rsid w:val="00E4125E"/>
    <w:rsid w:val="00E41E22"/>
    <w:rsid w:val="00E4239D"/>
    <w:rsid w:val="00E429A0"/>
    <w:rsid w:val="00E42D39"/>
    <w:rsid w:val="00E4337B"/>
    <w:rsid w:val="00E44CD4"/>
    <w:rsid w:val="00E45B91"/>
    <w:rsid w:val="00E46804"/>
    <w:rsid w:val="00E46C57"/>
    <w:rsid w:val="00E470BF"/>
    <w:rsid w:val="00E47A7B"/>
    <w:rsid w:val="00E513EE"/>
    <w:rsid w:val="00E5176B"/>
    <w:rsid w:val="00E51813"/>
    <w:rsid w:val="00E527C9"/>
    <w:rsid w:val="00E528BA"/>
    <w:rsid w:val="00E53497"/>
    <w:rsid w:val="00E534DF"/>
    <w:rsid w:val="00E537A9"/>
    <w:rsid w:val="00E55A50"/>
    <w:rsid w:val="00E565C2"/>
    <w:rsid w:val="00E56D70"/>
    <w:rsid w:val="00E56E1E"/>
    <w:rsid w:val="00E60269"/>
    <w:rsid w:val="00E60887"/>
    <w:rsid w:val="00E60C32"/>
    <w:rsid w:val="00E61582"/>
    <w:rsid w:val="00E61619"/>
    <w:rsid w:val="00E61E25"/>
    <w:rsid w:val="00E6272B"/>
    <w:rsid w:val="00E627F6"/>
    <w:rsid w:val="00E62CEF"/>
    <w:rsid w:val="00E62CF0"/>
    <w:rsid w:val="00E62F1A"/>
    <w:rsid w:val="00E63F1D"/>
    <w:rsid w:val="00E63FA5"/>
    <w:rsid w:val="00E646D5"/>
    <w:rsid w:val="00E64964"/>
    <w:rsid w:val="00E64EEE"/>
    <w:rsid w:val="00E66F49"/>
    <w:rsid w:val="00E67F4F"/>
    <w:rsid w:val="00E721A9"/>
    <w:rsid w:val="00E72ABF"/>
    <w:rsid w:val="00E73549"/>
    <w:rsid w:val="00E74861"/>
    <w:rsid w:val="00E748DD"/>
    <w:rsid w:val="00E74EC9"/>
    <w:rsid w:val="00E750A5"/>
    <w:rsid w:val="00E75733"/>
    <w:rsid w:val="00E75A9D"/>
    <w:rsid w:val="00E76B19"/>
    <w:rsid w:val="00E80CF7"/>
    <w:rsid w:val="00E81B8E"/>
    <w:rsid w:val="00E81ED7"/>
    <w:rsid w:val="00E82FC0"/>
    <w:rsid w:val="00E8369B"/>
    <w:rsid w:val="00E8377F"/>
    <w:rsid w:val="00E83850"/>
    <w:rsid w:val="00E85244"/>
    <w:rsid w:val="00E86159"/>
    <w:rsid w:val="00E86741"/>
    <w:rsid w:val="00E87AE4"/>
    <w:rsid w:val="00E90C1F"/>
    <w:rsid w:val="00E9124A"/>
    <w:rsid w:val="00E91A8F"/>
    <w:rsid w:val="00E9222C"/>
    <w:rsid w:val="00E92AA5"/>
    <w:rsid w:val="00E9314A"/>
    <w:rsid w:val="00E9558B"/>
    <w:rsid w:val="00E95D1B"/>
    <w:rsid w:val="00E9735C"/>
    <w:rsid w:val="00EA234B"/>
    <w:rsid w:val="00EA274B"/>
    <w:rsid w:val="00EA2EFA"/>
    <w:rsid w:val="00EA3184"/>
    <w:rsid w:val="00EA3732"/>
    <w:rsid w:val="00EA3CDD"/>
    <w:rsid w:val="00EA415C"/>
    <w:rsid w:val="00EA5028"/>
    <w:rsid w:val="00EA50D6"/>
    <w:rsid w:val="00EA5714"/>
    <w:rsid w:val="00EA60EF"/>
    <w:rsid w:val="00EA6A30"/>
    <w:rsid w:val="00EA6A41"/>
    <w:rsid w:val="00EA7662"/>
    <w:rsid w:val="00EA7CC3"/>
    <w:rsid w:val="00EB016F"/>
    <w:rsid w:val="00EB04F4"/>
    <w:rsid w:val="00EB1EAC"/>
    <w:rsid w:val="00EB2216"/>
    <w:rsid w:val="00EB27D1"/>
    <w:rsid w:val="00EB33F4"/>
    <w:rsid w:val="00EB3B9C"/>
    <w:rsid w:val="00EB3CFC"/>
    <w:rsid w:val="00EB4C04"/>
    <w:rsid w:val="00EB55AF"/>
    <w:rsid w:val="00EB57BD"/>
    <w:rsid w:val="00EB623E"/>
    <w:rsid w:val="00EB6502"/>
    <w:rsid w:val="00EB7D9C"/>
    <w:rsid w:val="00EC1076"/>
    <w:rsid w:val="00EC1406"/>
    <w:rsid w:val="00EC1526"/>
    <w:rsid w:val="00EC16C0"/>
    <w:rsid w:val="00EC23F3"/>
    <w:rsid w:val="00EC2677"/>
    <w:rsid w:val="00EC2AB5"/>
    <w:rsid w:val="00EC36F2"/>
    <w:rsid w:val="00EC46CC"/>
    <w:rsid w:val="00EC4856"/>
    <w:rsid w:val="00EC4B79"/>
    <w:rsid w:val="00EC4F33"/>
    <w:rsid w:val="00EC5115"/>
    <w:rsid w:val="00EC7E82"/>
    <w:rsid w:val="00EC7E91"/>
    <w:rsid w:val="00ED0B81"/>
    <w:rsid w:val="00ED166B"/>
    <w:rsid w:val="00ED1A64"/>
    <w:rsid w:val="00ED28DD"/>
    <w:rsid w:val="00ED2E31"/>
    <w:rsid w:val="00ED3133"/>
    <w:rsid w:val="00ED35A0"/>
    <w:rsid w:val="00ED43A6"/>
    <w:rsid w:val="00ED69B3"/>
    <w:rsid w:val="00ED6FB9"/>
    <w:rsid w:val="00ED7371"/>
    <w:rsid w:val="00ED7E2F"/>
    <w:rsid w:val="00ED7EA8"/>
    <w:rsid w:val="00EE02A3"/>
    <w:rsid w:val="00EE0650"/>
    <w:rsid w:val="00EE1313"/>
    <w:rsid w:val="00EE1F82"/>
    <w:rsid w:val="00EE2126"/>
    <w:rsid w:val="00EE3363"/>
    <w:rsid w:val="00EE4C7E"/>
    <w:rsid w:val="00EE556D"/>
    <w:rsid w:val="00EE6184"/>
    <w:rsid w:val="00EE641E"/>
    <w:rsid w:val="00EE7A2C"/>
    <w:rsid w:val="00EF09D3"/>
    <w:rsid w:val="00EF108A"/>
    <w:rsid w:val="00EF1240"/>
    <w:rsid w:val="00EF1F75"/>
    <w:rsid w:val="00EF2240"/>
    <w:rsid w:val="00EF3069"/>
    <w:rsid w:val="00EF31A5"/>
    <w:rsid w:val="00EF3700"/>
    <w:rsid w:val="00EF3EB5"/>
    <w:rsid w:val="00EF4939"/>
    <w:rsid w:val="00EF57B9"/>
    <w:rsid w:val="00EF57DF"/>
    <w:rsid w:val="00EF6556"/>
    <w:rsid w:val="00EF71DF"/>
    <w:rsid w:val="00F0252E"/>
    <w:rsid w:val="00F02BAD"/>
    <w:rsid w:val="00F0319D"/>
    <w:rsid w:val="00F07063"/>
    <w:rsid w:val="00F11635"/>
    <w:rsid w:val="00F12D86"/>
    <w:rsid w:val="00F131AA"/>
    <w:rsid w:val="00F131FD"/>
    <w:rsid w:val="00F1350B"/>
    <w:rsid w:val="00F13B05"/>
    <w:rsid w:val="00F13B5A"/>
    <w:rsid w:val="00F13EA5"/>
    <w:rsid w:val="00F13EED"/>
    <w:rsid w:val="00F14263"/>
    <w:rsid w:val="00F15AF2"/>
    <w:rsid w:val="00F1673D"/>
    <w:rsid w:val="00F21290"/>
    <w:rsid w:val="00F220D3"/>
    <w:rsid w:val="00F2299F"/>
    <w:rsid w:val="00F231F0"/>
    <w:rsid w:val="00F24787"/>
    <w:rsid w:val="00F24D39"/>
    <w:rsid w:val="00F251E2"/>
    <w:rsid w:val="00F2586D"/>
    <w:rsid w:val="00F259A5"/>
    <w:rsid w:val="00F25EF1"/>
    <w:rsid w:val="00F263E5"/>
    <w:rsid w:val="00F301E0"/>
    <w:rsid w:val="00F307CC"/>
    <w:rsid w:val="00F30BBA"/>
    <w:rsid w:val="00F31630"/>
    <w:rsid w:val="00F31A8F"/>
    <w:rsid w:val="00F320C0"/>
    <w:rsid w:val="00F32D63"/>
    <w:rsid w:val="00F34012"/>
    <w:rsid w:val="00F343A3"/>
    <w:rsid w:val="00F34C99"/>
    <w:rsid w:val="00F3531A"/>
    <w:rsid w:val="00F35F5C"/>
    <w:rsid w:val="00F36350"/>
    <w:rsid w:val="00F36E97"/>
    <w:rsid w:val="00F4173F"/>
    <w:rsid w:val="00F41DB0"/>
    <w:rsid w:val="00F42D15"/>
    <w:rsid w:val="00F439BB"/>
    <w:rsid w:val="00F43CEB"/>
    <w:rsid w:val="00F449D7"/>
    <w:rsid w:val="00F461AE"/>
    <w:rsid w:val="00F467F9"/>
    <w:rsid w:val="00F4703C"/>
    <w:rsid w:val="00F50A96"/>
    <w:rsid w:val="00F5184D"/>
    <w:rsid w:val="00F51B88"/>
    <w:rsid w:val="00F51CB2"/>
    <w:rsid w:val="00F526F5"/>
    <w:rsid w:val="00F534D3"/>
    <w:rsid w:val="00F5421D"/>
    <w:rsid w:val="00F55022"/>
    <w:rsid w:val="00F55184"/>
    <w:rsid w:val="00F560C9"/>
    <w:rsid w:val="00F56A91"/>
    <w:rsid w:val="00F5704A"/>
    <w:rsid w:val="00F57FA7"/>
    <w:rsid w:val="00F60DF3"/>
    <w:rsid w:val="00F62057"/>
    <w:rsid w:val="00F6264B"/>
    <w:rsid w:val="00F62837"/>
    <w:rsid w:val="00F6290C"/>
    <w:rsid w:val="00F64433"/>
    <w:rsid w:val="00F646C8"/>
    <w:rsid w:val="00F66721"/>
    <w:rsid w:val="00F6773C"/>
    <w:rsid w:val="00F67988"/>
    <w:rsid w:val="00F67C01"/>
    <w:rsid w:val="00F70909"/>
    <w:rsid w:val="00F70D66"/>
    <w:rsid w:val="00F7114B"/>
    <w:rsid w:val="00F714BE"/>
    <w:rsid w:val="00F721EF"/>
    <w:rsid w:val="00F72AAF"/>
    <w:rsid w:val="00F72AC2"/>
    <w:rsid w:val="00F72F17"/>
    <w:rsid w:val="00F73923"/>
    <w:rsid w:val="00F73D91"/>
    <w:rsid w:val="00F74168"/>
    <w:rsid w:val="00F742F1"/>
    <w:rsid w:val="00F7470C"/>
    <w:rsid w:val="00F74942"/>
    <w:rsid w:val="00F76037"/>
    <w:rsid w:val="00F76171"/>
    <w:rsid w:val="00F761E0"/>
    <w:rsid w:val="00F76832"/>
    <w:rsid w:val="00F76B53"/>
    <w:rsid w:val="00F7761D"/>
    <w:rsid w:val="00F77724"/>
    <w:rsid w:val="00F77839"/>
    <w:rsid w:val="00F77AF3"/>
    <w:rsid w:val="00F77CE6"/>
    <w:rsid w:val="00F77DD1"/>
    <w:rsid w:val="00F77E8E"/>
    <w:rsid w:val="00F8023F"/>
    <w:rsid w:val="00F82021"/>
    <w:rsid w:val="00F82080"/>
    <w:rsid w:val="00F82566"/>
    <w:rsid w:val="00F82A7B"/>
    <w:rsid w:val="00F8476C"/>
    <w:rsid w:val="00F850A1"/>
    <w:rsid w:val="00F855B8"/>
    <w:rsid w:val="00F85CBD"/>
    <w:rsid w:val="00F86B84"/>
    <w:rsid w:val="00F905B8"/>
    <w:rsid w:val="00F91164"/>
    <w:rsid w:val="00F91D47"/>
    <w:rsid w:val="00F92B0F"/>
    <w:rsid w:val="00F9354E"/>
    <w:rsid w:val="00F941FC"/>
    <w:rsid w:val="00F96D24"/>
    <w:rsid w:val="00F97093"/>
    <w:rsid w:val="00F97FF3"/>
    <w:rsid w:val="00FA0091"/>
    <w:rsid w:val="00FA0426"/>
    <w:rsid w:val="00FA1AA9"/>
    <w:rsid w:val="00FA2C8B"/>
    <w:rsid w:val="00FA2CE3"/>
    <w:rsid w:val="00FA3E0C"/>
    <w:rsid w:val="00FA4F9B"/>
    <w:rsid w:val="00FA4FBA"/>
    <w:rsid w:val="00FA5580"/>
    <w:rsid w:val="00FA655A"/>
    <w:rsid w:val="00FA69C3"/>
    <w:rsid w:val="00FA6AAC"/>
    <w:rsid w:val="00FA6CBC"/>
    <w:rsid w:val="00FA6D48"/>
    <w:rsid w:val="00FA7027"/>
    <w:rsid w:val="00FA7206"/>
    <w:rsid w:val="00FA7EC0"/>
    <w:rsid w:val="00FB1729"/>
    <w:rsid w:val="00FB2DB8"/>
    <w:rsid w:val="00FB30A2"/>
    <w:rsid w:val="00FB429B"/>
    <w:rsid w:val="00FB6970"/>
    <w:rsid w:val="00FC072E"/>
    <w:rsid w:val="00FC3497"/>
    <w:rsid w:val="00FC4323"/>
    <w:rsid w:val="00FC51AE"/>
    <w:rsid w:val="00FC550A"/>
    <w:rsid w:val="00FC551E"/>
    <w:rsid w:val="00FC5790"/>
    <w:rsid w:val="00FC6275"/>
    <w:rsid w:val="00FD039F"/>
    <w:rsid w:val="00FD053B"/>
    <w:rsid w:val="00FD0AF0"/>
    <w:rsid w:val="00FD1234"/>
    <w:rsid w:val="00FD18F3"/>
    <w:rsid w:val="00FD194F"/>
    <w:rsid w:val="00FD1995"/>
    <w:rsid w:val="00FD2333"/>
    <w:rsid w:val="00FD25E1"/>
    <w:rsid w:val="00FD31B5"/>
    <w:rsid w:val="00FD5688"/>
    <w:rsid w:val="00FD5725"/>
    <w:rsid w:val="00FD5E1C"/>
    <w:rsid w:val="00FD5F36"/>
    <w:rsid w:val="00FD7F6B"/>
    <w:rsid w:val="00FE0948"/>
    <w:rsid w:val="00FE0E33"/>
    <w:rsid w:val="00FE1880"/>
    <w:rsid w:val="00FE2B7B"/>
    <w:rsid w:val="00FE3256"/>
    <w:rsid w:val="00FE3B9B"/>
    <w:rsid w:val="00FE3F8E"/>
    <w:rsid w:val="00FE47ED"/>
    <w:rsid w:val="00FE5101"/>
    <w:rsid w:val="00FE61DC"/>
    <w:rsid w:val="00FE67D0"/>
    <w:rsid w:val="00FE689B"/>
    <w:rsid w:val="00FE79CE"/>
    <w:rsid w:val="00FF02D0"/>
    <w:rsid w:val="00FF081E"/>
    <w:rsid w:val="00FF1406"/>
    <w:rsid w:val="00FF145C"/>
    <w:rsid w:val="00FF26EE"/>
    <w:rsid w:val="00FF28EC"/>
    <w:rsid w:val="00FF47A3"/>
    <w:rsid w:val="00FF4B3F"/>
    <w:rsid w:val="00FF4B43"/>
    <w:rsid w:val="00FF574F"/>
    <w:rsid w:val="00FF6146"/>
    <w:rsid w:val="00FF7956"/>
    <w:rsid w:val="018F4DD0"/>
    <w:rsid w:val="02034A18"/>
    <w:rsid w:val="028A51FE"/>
    <w:rsid w:val="02A37291"/>
    <w:rsid w:val="03055BB7"/>
    <w:rsid w:val="034C4249"/>
    <w:rsid w:val="03613039"/>
    <w:rsid w:val="036202D4"/>
    <w:rsid w:val="038A236C"/>
    <w:rsid w:val="03D07714"/>
    <w:rsid w:val="041E462C"/>
    <w:rsid w:val="043B2C36"/>
    <w:rsid w:val="04650ECE"/>
    <w:rsid w:val="04712667"/>
    <w:rsid w:val="04B94B88"/>
    <w:rsid w:val="0523406D"/>
    <w:rsid w:val="05262D76"/>
    <w:rsid w:val="056F462F"/>
    <w:rsid w:val="056F70B7"/>
    <w:rsid w:val="059004AD"/>
    <w:rsid w:val="06270849"/>
    <w:rsid w:val="06552DE0"/>
    <w:rsid w:val="067D4F9E"/>
    <w:rsid w:val="06D71535"/>
    <w:rsid w:val="07515FD1"/>
    <w:rsid w:val="07660BE9"/>
    <w:rsid w:val="07991A83"/>
    <w:rsid w:val="079943F9"/>
    <w:rsid w:val="087B2F8F"/>
    <w:rsid w:val="08CA370B"/>
    <w:rsid w:val="095C2505"/>
    <w:rsid w:val="09635388"/>
    <w:rsid w:val="09EB4E86"/>
    <w:rsid w:val="09F07824"/>
    <w:rsid w:val="0A0932C7"/>
    <w:rsid w:val="0A506477"/>
    <w:rsid w:val="0A8A4C86"/>
    <w:rsid w:val="0BB973F1"/>
    <w:rsid w:val="0BF43322"/>
    <w:rsid w:val="0C8D726E"/>
    <w:rsid w:val="0CE05750"/>
    <w:rsid w:val="0D1077DD"/>
    <w:rsid w:val="0D761FD8"/>
    <w:rsid w:val="0EA162F1"/>
    <w:rsid w:val="0F1748FB"/>
    <w:rsid w:val="0F3603C0"/>
    <w:rsid w:val="0F4F55B5"/>
    <w:rsid w:val="0F523385"/>
    <w:rsid w:val="0F7C2CF7"/>
    <w:rsid w:val="0F8E238B"/>
    <w:rsid w:val="0FA500EE"/>
    <w:rsid w:val="0FB078F3"/>
    <w:rsid w:val="10907D14"/>
    <w:rsid w:val="110658A6"/>
    <w:rsid w:val="114A387E"/>
    <w:rsid w:val="11A5684D"/>
    <w:rsid w:val="11C84F5A"/>
    <w:rsid w:val="120E7E09"/>
    <w:rsid w:val="12110B1B"/>
    <w:rsid w:val="123D4E07"/>
    <w:rsid w:val="12562AA0"/>
    <w:rsid w:val="128C51F9"/>
    <w:rsid w:val="12921A41"/>
    <w:rsid w:val="13D50C28"/>
    <w:rsid w:val="144A03E7"/>
    <w:rsid w:val="1478143A"/>
    <w:rsid w:val="147B2BAA"/>
    <w:rsid w:val="14996598"/>
    <w:rsid w:val="14A365ED"/>
    <w:rsid w:val="15080C4C"/>
    <w:rsid w:val="15525935"/>
    <w:rsid w:val="156B7273"/>
    <w:rsid w:val="159B504D"/>
    <w:rsid w:val="161E34FC"/>
    <w:rsid w:val="16601997"/>
    <w:rsid w:val="167F40D4"/>
    <w:rsid w:val="169B65A7"/>
    <w:rsid w:val="16CB4F50"/>
    <w:rsid w:val="16FFA61C"/>
    <w:rsid w:val="171802A5"/>
    <w:rsid w:val="17853B61"/>
    <w:rsid w:val="179D539B"/>
    <w:rsid w:val="17A710C7"/>
    <w:rsid w:val="17B13509"/>
    <w:rsid w:val="17CB121D"/>
    <w:rsid w:val="183A1C0C"/>
    <w:rsid w:val="18B310B8"/>
    <w:rsid w:val="199E5A21"/>
    <w:rsid w:val="19D2715C"/>
    <w:rsid w:val="1A332C1D"/>
    <w:rsid w:val="1A505FCC"/>
    <w:rsid w:val="1AF86B5F"/>
    <w:rsid w:val="1B942A09"/>
    <w:rsid w:val="1BB61013"/>
    <w:rsid w:val="1BCE272A"/>
    <w:rsid w:val="1BDF7E16"/>
    <w:rsid w:val="1C4C11C0"/>
    <w:rsid w:val="1CF5584D"/>
    <w:rsid w:val="1D035455"/>
    <w:rsid w:val="1D2B1804"/>
    <w:rsid w:val="1D2D465B"/>
    <w:rsid w:val="1DB775F0"/>
    <w:rsid w:val="1E1D38F7"/>
    <w:rsid w:val="1E3950C5"/>
    <w:rsid w:val="1E4808ED"/>
    <w:rsid w:val="1E8C282B"/>
    <w:rsid w:val="1F203444"/>
    <w:rsid w:val="1FAF019C"/>
    <w:rsid w:val="1FBC369C"/>
    <w:rsid w:val="20913CBA"/>
    <w:rsid w:val="20DB5404"/>
    <w:rsid w:val="20E24984"/>
    <w:rsid w:val="210118AD"/>
    <w:rsid w:val="21296A4B"/>
    <w:rsid w:val="215B41C8"/>
    <w:rsid w:val="218349B6"/>
    <w:rsid w:val="21CB18BC"/>
    <w:rsid w:val="21D40771"/>
    <w:rsid w:val="23276058"/>
    <w:rsid w:val="2470573C"/>
    <w:rsid w:val="25B12A01"/>
    <w:rsid w:val="25C31279"/>
    <w:rsid w:val="26101C34"/>
    <w:rsid w:val="26953A94"/>
    <w:rsid w:val="269CC009"/>
    <w:rsid w:val="269F77F8"/>
    <w:rsid w:val="26BE3BAC"/>
    <w:rsid w:val="27034AD1"/>
    <w:rsid w:val="27AA5F75"/>
    <w:rsid w:val="280C250B"/>
    <w:rsid w:val="289E1A52"/>
    <w:rsid w:val="28BC18CA"/>
    <w:rsid w:val="28C64B8B"/>
    <w:rsid w:val="28CF69C0"/>
    <w:rsid w:val="28DD6E23"/>
    <w:rsid w:val="28E85E68"/>
    <w:rsid w:val="28F95878"/>
    <w:rsid w:val="298A3181"/>
    <w:rsid w:val="2A4F0167"/>
    <w:rsid w:val="2A9A62D0"/>
    <w:rsid w:val="2ADE7026"/>
    <w:rsid w:val="2B1E6838"/>
    <w:rsid w:val="2B4C0D09"/>
    <w:rsid w:val="2C531C1D"/>
    <w:rsid w:val="2CDD21EA"/>
    <w:rsid w:val="2D17A71A"/>
    <w:rsid w:val="2D8206C8"/>
    <w:rsid w:val="2DC85D15"/>
    <w:rsid w:val="2DD44BB7"/>
    <w:rsid w:val="2E83328F"/>
    <w:rsid w:val="2EA63495"/>
    <w:rsid w:val="2EEC40A0"/>
    <w:rsid w:val="2F43624E"/>
    <w:rsid w:val="2FD74BE1"/>
    <w:rsid w:val="307410C2"/>
    <w:rsid w:val="308D0856"/>
    <w:rsid w:val="31121EF5"/>
    <w:rsid w:val="31232B7B"/>
    <w:rsid w:val="31D245A1"/>
    <w:rsid w:val="31EF7704"/>
    <w:rsid w:val="320B38BD"/>
    <w:rsid w:val="325B727C"/>
    <w:rsid w:val="33044FF4"/>
    <w:rsid w:val="33305B83"/>
    <w:rsid w:val="338B6C3E"/>
    <w:rsid w:val="341B192F"/>
    <w:rsid w:val="342C3BEE"/>
    <w:rsid w:val="34973032"/>
    <w:rsid w:val="358B5193"/>
    <w:rsid w:val="35A64E04"/>
    <w:rsid w:val="35AF558A"/>
    <w:rsid w:val="35F811F6"/>
    <w:rsid w:val="361956CA"/>
    <w:rsid w:val="36965B9D"/>
    <w:rsid w:val="370135D7"/>
    <w:rsid w:val="37060F75"/>
    <w:rsid w:val="377619BB"/>
    <w:rsid w:val="37F24928"/>
    <w:rsid w:val="38993AD8"/>
    <w:rsid w:val="38A04AB1"/>
    <w:rsid w:val="38A46212"/>
    <w:rsid w:val="38F96DBE"/>
    <w:rsid w:val="39667278"/>
    <w:rsid w:val="397F274E"/>
    <w:rsid w:val="39995128"/>
    <w:rsid w:val="39C6129C"/>
    <w:rsid w:val="39E14173"/>
    <w:rsid w:val="3A3E0A25"/>
    <w:rsid w:val="3A410AC4"/>
    <w:rsid w:val="3A660185"/>
    <w:rsid w:val="3A967182"/>
    <w:rsid w:val="3BDD4E74"/>
    <w:rsid w:val="3C7E4EDD"/>
    <w:rsid w:val="3C991F43"/>
    <w:rsid w:val="3CB96652"/>
    <w:rsid w:val="3D2E4758"/>
    <w:rsid w:val="3D303E99"/>
    <w:rsid w:val="3D8C5F4C"/>
    <w:rsid w:val="3E824310"/>
    <w:rsid w:val="3EB53DB8"/>
    <w:rsid w:val="3EF6EF2C"/>
    <w:rsid w:val="3F2415CF"/>
    <w:rsid w:val="3F37DAEF"/>
    <w:rsid w:val="4034372C"/>
    <w:rsid w:val="405C2C22"/>
    <w:rsid w:val="4067717E"/>
    <w:rsid w:val="406C2BD8"/>
    <w:rsid w:val="40B97C69"/>
    <w:rsid w:val="41103AB3"/>
    <w:rsid w:val="411A2A57"/>
    <w:rsid w:val="412E7A63"/>
    <w:rsid w:val="414549F8"/>
    <w:rsid w:val="4185067D"/>
    <w:rsid w:val="41A2641C"/>
    <w:rsid w:val="42576B28"/>
    <w:rsid w:val="426353EF"/>
    <w:rsid w:val="426828AB"/>
    <w:rsid w:val="42A11473"/>
    <w:rsid w:val="42D24149"/>
    <w:rsid w:val="42E51F94"/>
    <w:rsid w:val="440F2A06"/>
    <w:rsid w:val="44502E5B"/>
    <w:rsid w:val="44C558EE"/>
    <w:rsid w:val="44F600D9"/>
    <w:rsid w:val="45081BFB"/>
    <w:rsid w:val="453E0749"/>
    <w:rsid w:val="45442382"/>
    <w:rsid w:val="45E17242"/>
    <w:rsid w:val="46285033"/>
    <w:rsid w:val="46CF4FC2"/>
    <w:rsid w:val="46EC288D"/>
    <w:rsid w:val="477F19A8"/>
    <w:rsid w:val="47B6656B"/>
    <w:rsid w:val="47C44FDA"/>
    <w:rsid w:val="485338EE"/>
    <w:rsid w:val="48C170B3"/>
    <w:rsid w:val="49044022"/>
    <w:rsid w:val="49574862"/>
    <w:rsid w:val="4A336902"/>
    <w:rsid w:val="4A474C35"/>
    <w:rsid w:val="4A5406A2"/>
    <w:rsid w:val="4AB42F1C"/>
    <w:rsid w:val="4AC519F6"/>
    <w:rsid w:val="4B110B90"/>
    <w:rsid w:val="4CAF6339"/>
    <w:rsid w:val="4D4B1098"/>
    <w:rsid w:val="4D624570"/>
    <w:rsid w:val="4D8757B4"/>
    <w:rsid w:val="4D942E8A"/>
    <w:rsid w:val="4E2B7F63"/>
    <w:rsid w:val="4E444B87"/>
    <w:rsid w:val="4E710F72"/>
    <w:rsid w:val="4EA135A7"/>
    <w:rsid w:val="4EB6A8EB"/>
    <w:rsid w:val="4F937EAE"/>
    <w:rsid w:val="4FB34218"/>
    <w:rsid w:val="4FDB1BE4"/>
    <w:rsid w:val="515E6BFD"/>
    <w:rsid w:val="51E054FD"/>
    <w:rsid w:val="53083749"/>
    <w:rsid w:val="531B14AC"/>
    <w:rsid w:val="5355411C"/>
    <w:rsid w:val="53590226"/>
    <w:rsid w:val="54803EF9"/>
    <w:rsid w:val="54D41AB2"/>
    <w:rsid w:val="555C7190"/>
    <w:rsid w:val="55891864"/>
    <w:rsid w:val="55AE6607"/>
    <w:rsid w:val="55BA09DD"/>
    <w:rsid w:val="55FD133D"/>
    <w:rsid w:val="561244DD"/>
    <w:rsid w:val="562B3B54"/>
    <w:rsid w:val="563A27AE"/>
    <w:rsid w:val="566C7598"/>
    <w:rsid w:val="56BD644F"/>
    <w:rsid w:val="56F15429"/>
    <w:rsid w:val="571B01D6"/>
    <w:rsid w:val="573F362D"/>
    <w:rsid w:val="57752C31"/>
    <w:rsid w:val="5873651F"/>
    <w:rsid w:val="5879650B"/>
    <w:rsid w:val="58B205DA"/>
    <w:rsid w:val="58ED38EB"/>
    <w:rsid w:val="59562254"/>
    <w:rsid w:val="59E601E2"/>
    <w:rsid w:val="59F36B5D"/>
    <w:rsid w:val="5A42148F"/>
    <w:rsid w:val="5A735AF1"/>
    <w:rsid w:val="5AA23067"/>
    <w:rsid w:val="5AA51AFB"/>
    <w:rsid w:val="5AB92201"/>
    <w:rsid w:val="5B847B74"/>
    <w:rsid w:val="5BB5FC89"/>
    <w:rsid w:val="5BBE19BE"/>
    <w:rsid w:val="5BDF2D3B"/>
    <w:rsid w:val="5C560019"/>
    <w:rsid w:val="5C7D7F79"/>
    <w:rsid w:val="5CCB7A01"/>
    <w:rsid w:val="5CED3FF9"/>
    <w:rsid w:val="5D4476FB"/>
    <w:rsid w:val="5D571A87"/>
    <w:rsid w:val="5DC3ED8F"/>
    <w:rsid w:val="5E391380"/>
    <w:rsid w:val="5E8B3C4B"/>
    <w:rsid w:val="5EC23124"/>
    <w:rsid w:val="5ED8763C"/>
    <w:rsid w:val="5EE80A93"/>
    <w:rsid w:val="5EEE1718"/>
    <w:rsid w:val="5F516665"/>
    <w:rsid w:val="5F771986"/>
    <w:rsid w:val="5F8D1439"/>
    <w:rsid w:val="5FC96642"/>
    <w:rsid w:val="60032513"/>
    <w:rsid w:val="601574AE"/>
    <w:rsid w:val="60257F58"/>
    <w:rsid w:val="605C2CBF"/>
    <w:rsid w:val="61250170"/>
    <w:rsid w:val="614B2DC9"/>
    <w:rsid w:val="62111B39"/>
    <w:rsid w:val="626B3B80"/>
    <w:rsid w:val="62C360BC"/>
    <w:rsid w:val="62D21BFD"/>
    <w:rsid w:val="633D7E27"/>
    <w:rsid w:val="634925E3"/>
    <w:rsid w:val="64C00105"/>
    <w:rsid w:val="64E96300"/>
    <w:rsid w:val="65735661"/>
    <w:rsid w:val="664960F3"/>
    <w:rsid w:val="665E5750"/>
    <w:rsid w:val="666D6BA9"/>
    <w:rsid w:val="668D4017"/>
    <w:rsid w:val="66DC2EB8"/>
    <w:rsid w:val="6712234E"/>
    <w:rsid w:val="67402E40"/>
    <w:rsid w:val="67526AD9"/>
    <w:rsid w:val="678877B3"/>
    <w:rsid w:val="67B36445"/>
    <w:rsid w:val="67C706D3"/>
    <w:rsid w:val="67E1648C"/>
    <w:rsid w:val="67FD95DA"/>
    <w:rsid w:val="68965FEA"/>
    <w:rsid w:val="68DA5D31"/>
    <w:rsid w:val="692E4470"/>
    <w:rsid w:val="69737C6D"/>
    <w:rsid w:val="69A9410F"/>
    <w:rsid w:val="69B144FC"/>
    <w:rsid w:val="69B347E7"/>
    <w:rsid w:val="69C629D5"/>
    <w:rsid w:val="6B100175"/>
    <w:rsid w:val="6B770FD3"/>
    <w:rsid w:val="6D0A63C2"/>
    <w:rsid w:val="6D0E2679"/>
    <w:rsid w:val="6D4621DE"/>
    <w:rsid w:val="6DBC4466"/>
    <w:rsid w:val="6DE55656"/>
    <w:rsid w:val="6E261BA7"/>
    <w:rsid w:val="6E660432"/>
    <w:rsid w:val="6E681C31"/>
    <w:rsid w:val="6E770CFD"/>
    <w:rsid w:val="6E8D3E82"/>
    <w:rsid w:val="6ED7625C"/>
    <w:rsid w:val="6F135292"/>
    <w:rsid w:val="6F72024E"/>
    <w:rsid w:val="6F8215CE"/>
    <w:rsid w:val="701B088F"/>
    <w:rsid w:val="70722A64"/>
    <w:rsid w:val="70F50EBA"/>
    <w:rsid w:val="71266569"/>
    <w:rsid w:val="712C543B"/>
    <w:rsid w:val="715012F7"/>
    <w:rsid w:val="717C6A58"/>
    <w:rsid w:val="71D60130"/>
    <w:rsid w:val="72147937"/>
    <w:rsid w:val="721D0945"/>
    <w:rsid w:val="72665F23"/>
    <w:rsid w:val="737E5A96"/>
    <w:rsid w:val="73FA5E27"/>
    <w:rsid w:val="740A6CA7"/>
    <w:rsid w:val="741E4FC3"/>
    <w:rsid w:val="7447637A"/>
    <w:rsid w:val="74510EFB"/>
    <w:rsid w:val="74BF341C"/>
    <w:rsid w:val="74C667AB"/>
    <w:rsid w:val="74C876B4"/>
    <w:rsid w:val="757440A2"/>
    <w:rsid w:val="758E5037"/>
    <w:rsid w:val="759157D0"/>
    <w:rsid w:val="75F73A2A"/>
    <w:rsid w:val="75FC7405"/>
    <w:rsid w:val="766641C7"/>
    <w:rsid w:val="769958F2"/>
    <w:rsid w:val="76E5602F"/>
    <w:rsid w:val="76E96805"/>
    <w:rsid w:val="770266B0"/>
    <w:rsid w:val="777E3E26"/>
    <w:rsid w:val="77E577FB"/>
    <w:rsid w:val="78174C2D"/>
    <w:rsid w:val="784576F8"/>
    <w:rsid w:val="78767A5E"/>
    <w:rsid w:val="7912711E"/>
    <w:rsid w:val="793D0B51"/>
    <w:rsid w:val="7A5F2A48"/>
    <w:rsid w:val="7B471C92"/>
    <w:rsid w:val="7CFE3D1B"/>
    <w:rsid w:val="7D537911"/>
    <w:rsid w:val="7D5826EE"/>
    <w:rsid w:val="7DEB27D3"/>
    <w:rsid w:val="7DEFF3DA"/>
    <w:rsid w:val="7E6A23E5"/>
    <w:rsid w:val="7E816BC7"/>
    <w:rsid w:val="7EDB41A2"/>
    <w:rsid w:val="7EF402AF"/>
    <w:rsid w:val="7F2E3DC9"/>
    <w:rsid w:val="7FC91442"/>
    <w:rsid w:val="7FDE56A1"/>
    <w:rsid w:val="7FEFD6F8"/>
    <w:rsid w:val="7FF0375A"/>
    <w:rsid w:val="7FFE15B4"/>
    <w:rsid w:val="7FFF8E49"/>
    <w:rsid w:val="85657569"/>
    <w:rsid w:val="8FDE3F44"/>
    <w:rsid w:val="BDEF21ED"/>
    <w:rsid w:val="CF1EEDDF"/>
    <w:rsid w:val="D7EFA841"/>
    <w:rsid w:val="D7F5A948"/>
    <w:rsid w:val="DD3F33AD"/>
    <w:rsid w:val="EEFA36A1"/>
    <w:rsid w:val="EFB9330B"/>
    <w:rsid w:val="F4AE0234"/>
    <w:rsid w:val="F72E1B8C"/>
    <w:rsid w:val="FFEFAB60"/>
    <w:rsid w:val="FFFF381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qFormat="1" w:unhideWhenUsed="0" w:uiPriority="0" w:semiHidden="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5"/>
    <w:next w:val="1"/>
    <w:link w:val="55"/>
    <w:qFormat/>
    <w:uiPriority w:val="0"/>
    <w:pPr>
      <w:spacing w:before="340" w:after="330" w:line="360" w:lineRule="auto"/>
      <w:jc w:val="center"/>
      <w:outlineLvl w:val="0"/>
    </w:pPr>
    <w:rPr>
      <w:rFonts w:eastAsia="黑体"/>
      <w:kern w:val="44"/>
      <w:szCs w:val="44"/>
    </w:rPr>
  </w:style>
  <w:style w:type="paragraph" w:styleId="7">
    <w:name w:val="heading 2"/>
    <w:basedOn w:val="5"/>
    <w:next w:val="6"/>
    <w:link w:val="70"/>
    <w:qFormat/>
    <w:uiPriority w:val="0"/>
    <w:pPr>
      <w:adjustRightInd w:val="0"/>
      <w:jc w:val="center"/>
      <w:textAlignment w:val="baseline"/>
      <w:outlineLvl w:val="1"/>
    </w:pPr>
    <w:rPr>
      <w:kern w:val="0"/>
      <w:sz w:val="24"/>
      <w:szCs w:val="20"/>
    </w:rPr>
  </w:style>
  <w:style w:type="paragraph" w:styleId="5">
    <w:name w:val="heading 3"/>
    <w:basedOn w:val="6"/>
    <w:next w:val="1"/>
    <w:link w:val="54"/>
    <w:qFormat/>
    <w:uiPriority w:val="9"/>
    <w:pPr>
      <w:spacing w:before="260" w:after="260" w:line="240" w:lineRule="auto"/>
      <w:outlineLvl w:val="2"/>
    </w:pPr>
    <w:rPr>
      <w:rFonts w:ascii="宋体" w:hAnsi="宋体" w:eastAsia="宋体"/>
      <w:szCs w:val="32"/>
    </w:rPr>
  </w:style>
  <w:style w:type="paragraph" w:styleId="6">
    <w:name w:val="heading 4"/>
    <w:basedOn w:val="1"/>
    <w:next w:val="1"/>
    <w:link w:val="52"/>
    <w:qFormat/>
    <w:uiPriority w:val="9"/>
    <w:pPr>
      <w:keepNext/>
      <w:keepLines/>
      <w:spacing w:before="280" w:after="290" w:line="376" w:lineRule="auto"/>
      <w:outlineLvl w:val="3"/>
    </w:pPr>
    <w:rPr>
      <w:rFonts w:ascii="Arial" w:hAnsi="Arial" w:eastAsia="黑体"/>
      <w:b/>
      <w:bCs/>
      <w:sz w:val="28"/>
      <w:szCs w:val="28"/>
    </w:rPr>
  </w:style>
  <w:style w:type="paragraph" w:styleId="8">
    <w:name w:val="heading 5"/>
    <w:basedOn w:val="1"/>
    <w:next w:val="9"/>
    <w:link w:val="79"/>
    <w:qFormat/>
    <w:uiPriority w:val="0"/>
    <w:pPr>
      <w:keepNext/>
      <w:keepLines/>
      <w:spacing w:before="280" w:after="290" w:line="376" w:lineRule="auto"/>
      <w:outlineLvl w:val="4"/>
    </w:pPr>
    <w:rPr>
      <w:b/>
      <w:sz w:val="28"/>
      <w:szCs w:val="20"/>
    </w:rPr>
  </w:style>
  <w:style w:type="paragraph" w:styleId="10">
    <w:name w:val="heading 6"/>
    <w:basedOn w:val="1"/>
    <w:next w:val="9"/>
    <w:link w:val="82"/>
    <w:qFormat/>
    <w:uiPriority w:val="0"/>
    <w:pPr>
      <w:keepNext/>
      <w:keepLines/>
      <w:spacing w:before="240" w:after="64" w:line="320" w:lineRule="auto"/>
      <w:outlineLvl w:val="5"/>
    </w:pPr>
    <w:rPr>
      <w:rFonts w:ascii="Arial" w:hAnsi="Arial" w:eastAsia="黑体"/>
      <w:b/>
      <w:sz w:val="24"/>
      <w:szCs w:val="20"/>
    </w:rPr>
  </w:style>
  <w:style w:type="paragraph" w:styleId="11">
    <w:name w:val="heading 7"/>
    <w:basedOn w:val="1"/>
    <w:next w:val="9"/>
    <w:link w:val="83"/>
    <w:qFormat/>
    <w:uiPriority w:val="0"/>
    <w:pPr>
      <w:keepNext/>
      <w:keepLines/>
      <w:spacing w:before="240" w:after="64" w:line="320" w:lineRule="auto"/>
      <w:outlineLvl w:val="6"/>
    </w:pPr>
    <w:rPr>
      <w:b/>
      <w:sz w:val="24"/>
      <w:szCs w:val="20"/>
    </w:rPr>
  </w:style>
  <w:style w:type="paragraph" w:styleId="12">
    <w:name w:val="heading 8"/>
    <w:basedOn w:val="1"/>
    <w:next w:val="9"/>
    <w:link w:val="84"/>
    <w:qFormat/>
    <w:uiPriority w:val="0"/>
    <w:pPr>
      <w:keepNext/>
      <w:keepLines/>
      <w:spacing w:before="240" w:after="64" w:line="320" w:lineRule="auto"/>
      <w:outlineLvl w:val="7"/>
    </w:pPr>
    <w:rPr>
      <w:rFonts w:ascii="Arial" w:hAnsi="Arial" w:eastAsia="黑体"/>
      <w:sz w:val="24"/>
      <w:szCs w:val="20"/>
    </w:rPr>
  </w:style>
  <w:style w:type="paragraph" w:styleId="13">
    <w:name w:val="heading 9"/>
    <w:basedOn w:val="1"/>
    <w:next w:val="9"/>
    <w:link w:val="85"/>
    <w:qFormat/>
    <w:uiPriority w:val="0"/>
    <w:pPr>
      <w:keepNext/>
      <w:keepLines/>
      <w:spacing w:before="240" w:after="64" w:line="320" w:lineRule="auto"/>
      <w:outlineLvl w:val="8"/>
    </w:pPr>
    <w:rPr>
      <w:rFonts w:ascii="Arial" w:hAnsi="Arial" w:eastAsia="黑体"/>
      <w:szCs w:val="20"/>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91"/>
    <w:qFormat/>
    <w:uiPriority w:val="0"/>
    <w:pPr>
      <w:spacing w:line="360" w:lineRule="auto"/>
    </w:pPr>
    <w:rPr>
      <w:b/>
      <w:bCs/>
      <w:sz w:val="24"/>
    </w:rPr>
  </w:style>
  <w:style w:type="paragraph" w:styleId="3">
    <w:name w:val="Body Text 2"/>
    <w:basedOn w:val="1"/>
    <w:link w:val="95"/>
    <w:qFormat/>
    <w:uiPriority w:val="0"/>
    <w:pPr>
      <w:spacing w:line="360" w:lineRule="auto"/>
    </w:pPr>
    <w:rPr>
      <w:sz w:val="24"/>
    </w:rPr>
  </w:style>
  <w:style w:type="paragraph" w:styleId="9">
    <w:name w:val="Normal Indent"/>
    <w:basedOn w:val="1"/>
    <w:link w:val="56"/>
    <w:qFormat/>
    <w:uiPriority w:val="0"/>
    <w:pPr>
      <w:ind w:firstLine="420"/>
    </w:pPr>
    <w:rPr>
      <w:szCs w:val="20"/>
    </w:rPr>
  </w:style>
  <w:style w:type="paragraph" w:styleId="14">
    <w:name w:val="toc 7"/>
    <w:basedOn w:val="1"/>
    <w:next w:val="1"/>
    <w:semiHidden/>
    <w:qFormat/>
    <w:uiPriority w:val="0"/>
    <w:pPr>
      <w:ind w:left="1260"/>
      <w:jc w:val="left"/>
    </w:pPr>
    <w:rPr>
      <w:szCs w:val="21"/>
    </w:rPr>
  </w:style>
  <w:style w:type="paragraph" w:styleId="15">
    <w:name w:val="index 8"/>
    <w:basedOn w:val="1"/>
    <w:next w:val="1"/>
    <w:qFormat/>
    <w:uiPriority w:val="0"/>
    <w:pPr>
      <w:ind w:left="2940"/>
    </w:pPr>
    <w:rPr>
      <w:rFonts w:ascii="Times New Roman" w:hAnsi="Times New Roman" w:eastAsia="宋体"/>
    </w:rPr>
  </w:style>
  <w:style w:type="paragraph" w:styleId="16">
    <w:name w:val="caption"/>
    <w:basedOn w:val="1"/>
    <w:next w:val="1"/>
    <w:qFormat/>
    <w:uiPriority w:val="0"/>
    <w:pPr>
      <w:widowControl/>
      <w:spacing w:line="360" w:lineRule="auto"/>
      <w:ind w:firstLine="1940" w:firstLineChars="920"/>
      <w:jc w:val="left"/>
    </w:pPr>
    <w:rPr>
      <w:rFonts w:ascii="宋体" w:hAnsi="宋体"/>
      <w:b/>
      <w:bCs/>
      <w:kern w:val="0"/>
      <w:sz w:val="20"/>
      <w:szCs w:val="20"/>
    </w:rPr>
  </w:style>
  <w:style w:type="paragraph" w:styleId="17">
    <w:name w:val="List Bullet"/>
    <w:basedOn w:val="1"/>
    <w:qFormat/>
    <w:uiPriority w:val="0"/>
    <w:pPr>
      <w:numPr>
        <w:ilvl w:val="0"/>
        <w:numId w:val="1"/>
      </w:numPr>
    </w:pPr>
    <w:rPr>
      <w:szCs w:val="20"/>
    </w:rPr>
  </w:style>
  <w:style w:type="paragraph" w:styleId="18">
    <w:name w:val="Document Map"/>
    <w:basedOn w:val="1"/>
    <w:semiHidden/>
    <w:qFormat/>
    <w:uiPriority w:val="0"/>
    <w:pPr>
      <w:shd w:val="clear" w:color="auto" w:fill="000080"/>
    </w:pPr>
  </w:style>
  <w:style w:type="paragraph" w:styleId="19">
    <w:name w:val="annotation text"/>
    <w:basedOn w:val="1"/>
    <w:link w:val="183"/>
    <w:qFormat/>
    <w:uiPriority w:val="99"/>
    <w:pPr>
      <w:autoSpaceDE w:val="0"/>
      <w:autoSpaceDN w:val="0"/>
      <w:adjustRightInd w:val="0"/>
      <w:jc w:val="left"/>
      <w:textAlignment w:val="baseline"/>
    </w:pPr>
    <w:rPr>
      <w:rFonts w:ascii="宋体"/>
      <w:kern w:val="0"/>
      <w:sz w:val="34"/>
      <w:szCs w:val="20"/>
    </w:rPr>
  </w:style>
  <w:style w:type="paragraph" w:styleId="20">
    <w:name w:val="Body Text 3"/>
    <w:basedOn w:val="1"/>
    <w:link w:val="97"/>
    <w:qFormat/>
    <w:uiPriority w:val="0"/>
    <w:pPr>
      <w:spacing w:after="120"/>
    </w:pPr>
    <w:rPr>
      <w:sz w:val="16"/>
      <w:szCs w:val="16"/>
    </w:rPr>
  </w:style>
  <w:style w:type="paragraph" w:styleId="21">
    <w:name w:val="Body Text Indent"/>
    <w:basedOn w:val="1"/>
    <w:link w:val="78"/>
    <w:qFormat/>
    <w:uiPriority w:val="0"/>
    <w:pPr>
      <w:spacing w:line="360" w:lineRule="auto"/>
      <w:ind w:firstLine="420" w:firstLineChars="200"/>
    </w:pPr>
  </w:style>
  <w:style w:type="paragraph" w:styleId="22">
    <w:name w:val="toc 5"/>
    <w:basedOn w:val="1"/>
    <w:next w:val="1"/>
    <w:semiHidden/>
    <w:qFormat/>
    <w:uiPriority w:val="0"/>
    <w:pPr>
      <w:ind w:left="840"/>
      <w:jc w:val="left"/>
    </w:pPr>
    <w:rPr>
      <w:szCs w:val="21"/>
    </w:rPr>
  </w:style>
  <w:style w:type="paragraph" w:styleId="23">
    <w:name w:val="toc 3"/>
    <w:basedOn w:val="1"/>
    <w:next w:val="1"/>
    <w:semiHidden/>
    <w:qFormat/>
    <w:uiPriority w:val="0"/>
    <w:pPr>
      <w:ind w:left="420"/>
      <w:jc w:val="left"/>
    </w:pPr>
    <w:rPr>
      <w:i/>
      <w:iCs/>
    </w:rPr>
  </w:style>
  <w:style w:type="paragraph" w:styleId="24">
    <w:name w:val="Plain Text"/>
    <w:basedOn w:val="1"/>
    <w:next w:val="15"/>
    <w:link w:val="89"/>
    <w:qFormat/>
    <w:uiPriority w:val="0"/>
    <w:rPr>
      <w:rFonts w:ascii="宋体" w:hAnsi="Courier New"/>
      <w:szCs w:val="20"/>
    </w:rPr>
  </w:style>
  <w:style w:type="paragraph" w:styleId="25">
    <w:name w:val="toc 8"/>
    <w:basedOn w:val="1"/>
    <w:next w:val="1"/>
    <w:semiHidden/>
    <w:qFormat/>
    <w:uiPriority w:val="0"/>
    <w:pPr>
      <w:ind w:left="1470"/>
      <w:jc w:val="left"/>
    </w:pPr>
    <w:rPr>
      <w:szCs w:val="21"/>
    </w:rPr>
  </w:style>
  <w:style w:type="paragraph" w:styleId="26">
    <w:name w:val="Date"/>
    <w:basedOn w:val="1"/>
    <w:next w:val="1"/>
    <w:link w:val="87"/>
    <w:qFormat/>
    <w:uiPriority w:val="0"/>
    <w:rPr>
      <w:rFonts w:ascii="宋体" w:hAnsi="Courier New"/>
      <w:sz w:val="32"/>
      <w:szCs w:val="20"/>
    </w:rPr>
  </w:style>
  <w:style w:type="paragraph" w:styleId="27">
    <w:name w:val="Body Text Indent 2"/>
    <w:basedOn w:val="1"/>
    <w:link w:val="92"/>
    <w:qFormat/>
    <w:uiPriority w:val="0"/>
    <w:pPr>
      <w:spacing w:beforeLines="50" w:afterLines="50" w:line="120" w:lineRule="auto"/>
      <w:ind w:firstLine="840" w:firstLineChars="400"/>
      <w:jc w:val="left"/>
    </w:pPr>
    <w:rPr>
      <w:rFonts w:ascii="宋体" w:hAnsi="宋体"/>
    </w:rPr>
  </w:style>
  <w:style w:type="paragraph" w:styleId="28">
    <w:name w:val="Balloon Text"/>
    <w:basedOn w:val="1"/>
    <w:link w:val="98"/>
    <w:semiHidden/>
    <w:qFormat/>
    <w:uiPriority w:val="99"/>
    <w:rPr>
      <w:sz w:val="18"/>
      <w:szCs w:val="18"/>
    </w:rPr>
  </w:style>
  <w:style w:type="paragraph" w:styleId="29">
    <w:name w:val="footer"/>
    <w:basedOn w:val="1"/>
    <w:link w:val="96"/>
    <w:qFormat/>
    <w:uiPriority w:val="0"/>
    <w:pPr>
      <w:tabs>
        <w:tab w:val="center" w:pos="4153"/>
        <w:tab w:val="right" w:pos="8306"/>
      </w:tabs>
      <w:snapToGrid w:val="0"/>
      <w:jc w:val="left"/>
    </w:pPr>
    <w:rPr>
      <w:sz w:val="18"/>
      <w:szCs w:val="18"/>
    </w:rPr>
  </w:style>
  <w:style w:type="paragraph" w:styleId="30">
    <w:name w:val="header"/>
    <w:basedOn w:val="1"/>
    <w:link w:val="93"/>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semiHidden/>
    <w:qFormat/>
    <w:uiPriority w:val="0"/>
    <w:pPr>
      <w:spacing w:before="120" w:after="120"/>
      <w:jc w:val="left"/>
    </w:pPr>
    <w:rPr>
      <w:b/>
      <w:bCs/>
      <w:caps/>
    </w:rPr>
  </w:style>
  <w:style w:type="paragraph" w:styleId="32">
    <w:name w:val="toc 4"/>
    <w:basedOn w:val="1"/>
    <w:next w:val="1"/>
    <w:semiHidden/>
    <w:qFormat/>
    <w:uiPriority w:val="0"/>
    <w:pPr>
      <w:ind w:left="630"/>
      <w:jc w:val="left"/>
    </w:pPr>
    <w:rPr>
      <w:szCs w:val="21"/>
    </w:rPr>
  </w:style>
  <w:style w:type="paragraph" w:styleId="33">
    <w:name w:val="toc 6"/>
    <w:basedOn w:val="1"/>
    <w:next w:val="1"/>
    <w:semiHidden/>
    <w:qFormat/>
    <w:uiPriority w:val="0"/>
    <w:pPr>
      <w:ind w:left="1050"/>
      <w:jc w:val="left"/>
    </w:pPr>
    <w:rPr>
      <w:szCs w:val="21"/>
    </w:rPr>
  </w:style>
  <w:style w:type="paragraph" w:styleId="34">
    <w:name w:val="Body Text Indent 3"/>
    <w:basedOn w:val="1"/>
    <w:link w:val="94"/>
    <w:qFormat/>
    <w:uiPriority w:val="0"/>
    <w:pPr>
      <w:spacing w:line="360" w:lineRule="auto"/>
      <w:ind w:firstLine="482" w:firstLineChars="200"/>
    </w:pPr>
    <w:rPr>
      <w:rFonts w:ascii="宋体"/>
      <w:b/>
      <w:bCs/>
      <w:sz w:val="24"/>
    </w:rPr>
  </w:style>
  <w:style w:type="paragraph" w:styleId="35">
    <w:name w:val="toc 2"/>
    <w:basedOn w:val="1"/>
    <w:next w:val="1"/>
    <w:semiHidden/>
    <w:qFormat/>
    <w:uiPriority w:val="0"/>
    <w:pPr>
      <w:tabs>
        <w:tab w:val="right" w:leader="dot" w:pos="8296"/>
      </w:tabs>
      <w:ind w:left="210"/>
      <w:jc w:val="left"/>
    </w:pPr>
    <w:rPr>
      <w:smallCaps/>
    </w:rPr>
  </w:style>
  <w:style w:type="paragraph" w:styleId="36">
    <w:name w:val="toc 9"/>
    <w:basedOn w:val="1"/>
    <w:next w:val="1"/>
    <w:semiHidden/>
    <w:qFormat/>
    <w:uiPriority w:val="0"/>
    <w:pPr>
      <w:ind w:left="1680"/>
      <w:jc w:val="left"/>
    </w:pPr>
    <w:rPr>
      <w:szCs w:val="21"/>
    </w:rPr>
  </w:style>
  <w:style w:type="paragraph" w:styleId="37">
    <w:name w:val="HTML Preformatted"/>
    <w:basedOn w:val="1"/>
    <w:link w:val="8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38">
    <w:name w:val="Normal (Web)"/>
    <w:basedOn w:val="1"/>
    <w:link w:val="189"/>
    <w:qFormat/>
    <w:uiPriority w:val="99"/>
    <w:rPr>
      <w:sz w:val="24"/>
    </w:rPr>
  </w:style>
  <w:style w:type="paragraph" w:styleId="39">
    <w:name w:val="index 1"/>
    <w:basedOn w:val="1"/>
    <w:next w:val="1"/>
    <w:semiHidden/>
    <w:qFormat/>
    <w:uiPriority w:val="0"/>
    <w:pPr>
      <w:tabs>
        <w:tab w:val="left" w:pos="3360"/>
      </w:tabs>
      <w:spacing w:line="520" w:lineRule="exact"/>
      <w:ind w:left="419" w:leftChars="50" w:hanging="314" w:hangingChars="131"/>
      <w:jc w:val="center"/>
      <w:outlineLvl w:val="3"/>
    </w:pPr>
    <w:rPr>
      <w:rFonts w:ascii="宋体" w:hAnsi="宋体"/>
      <w:sz w:val="24"/>
    </w:rPr>
  </w:style>
  <w:style w:type="paragraph" w:styleId="40">
    <w:name w:val="Title"/>
    <w:basedOn w:val="1"/>
    <w:link w:val="86"/>
    <w:qFormat/>
    <w:uiPriority w:val="0"/>
    <w:pPr>
      <w:spacing w:before="240" w:after="60"/>
      <w:jc w:val="center"/>
      <w:outlineLvl w:val="0"/>
    </w:pPr>
    <w:rPr>
      <w:rFonts w:ascii="Arial" w:hAnsi="Arial" w:eastAsia="隶书" w:cs="Arial"/>
      <w:b/>
      <w:bCs/>
      <w:sz w:val="32"/>
      <w:szCs w:val="32"/>
    </w:rPr>
  </w:style>
  <w:style w:type="paragraph" w:styleId="41">
    <w:name w:val="annotation subject"/>
    <w:basedOn w:val="19"/>
    <w:next w:val="19"/>
    <w:link w:val="184"/>
    <w:qFormat/>
    <w:uiPriority w:val="99"/>
    <w:pPr>
      <w:autoSpaceDE/>
      <w:autoSpaceDN/>
      <w:adjustRightInd/>
      <w:textAlignment w:val="auto"/>
    </w:pPr>
    <w:rPr>
      <w:rFonts w:ascii="Times New Roman"/>
      <w:b/>
      <w:bCs/>
      <w:kern w:val="2"/>
      <w:sz w:val="21"/>
      <w:szCs w:val="24"/>
    </w:rPr>
  </w:style>
  <w:style w:type="paragraph" w:styleId="42">
    <w:name w:val="Body Text First Indent"/>
    <w:basedOn w:val="2"/>
    <w:link w:val="129"/>
    <w:qFormat/>
    <w:uiPriority w:val="0"/>
    <w:pPr>
      <w:spacing w:after="120" w:line="240" w:lineRule="auto"/>
      <w:ind w:firstLine="420" w:firstLineChars="100"/>
    </w:pPr>
    <w:rPr>
      <w:sz w:val="21"/>
    </w:rPr>
  </w:style>
  <w:style w:type="paragraph" w:styleId="43">
    <w:name w:val="Body Text First Indent 2"/>
    <w:basedOn w:val="21"/>
    <w:qFormat/>
    <w:uiPriority w:val="99"/>
    <w:pPr>
      <w:spacing w:after="120" w:line="240" w:lineRule="auto"/>
      <w:ind w:left="420" w:leftChars="200"/>
    </w:pPr>
  </w:style>
  <w:style w:type="table" w:styleId="45">
    <w:name w:val="Table Grid"/>
    <w:basedOn w:val="4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Hyperlink"/>
    <w:qFormat/>
    <w:uiPriority w:val="0"/>
    <w:rPr>
      <w:color w:val="0000FF"/>
      <w:u w:val="single"/>
    </w:rPr>
  </w:style>
  <w:style w:type="character" w:styleId="51">
    <w:name w:val="annotation reference"/>
    <w:basedOn w:val="46"/>
    <w:qFormat/>
    <w:uiPriority w:val="99"/>
    <w:rPr>
      <w:sz w:val="21"/>
      <w:szCs w:val="21"/>
    </w:rPr>
  </w:style>
  <w:style w:type="character" w:customStyle="1" w:styleId="52">
    <w:name w:val="标题 4 字符"/>
    <w:link w:val="6"/>
    <w:qFormat/>
    <w:uiPriority w:val="9"/>
    <w:rPr>
      <w:rFonts w:ascii="Arial" w:hAnsi="Arial" w:eastAsia="黑体"/>
      <w:b/>
      <w:bCs/>
      <w:kern w:val="2"/>
      <w:sz w:val="28"/>
      <w:szCs w:val="28"/>
      <w:lang w:val="en-US" w:eastAsia="zh-CN" w:bidi="ar-SA"/>
    </w:rPr>
  </w:style>
  <w:style w:type="paragraph" w:customStyle="1" w:styleId="53">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54">
    <w:name w:val="标题 3 字符"/>
    <w:link w:val="5"/>
    <w:qFormat/>
    <w:uiPriority w:val="9"/>
    <w:rPr>
      <w:rFonts w:ascii="宋体" w:hAnsi="宋体" w:eastAsia="宋体"/>
      <w:b/>
      <w:bCs/>
      <w:kern w:val="2"/>
      <w:sz w:val="28"/>
      <w:szCs w:val="32"/>
      <w:lang w:val="en-US" w:eastAsia="zh-CN" w:bidi="ar-SA"/>
    </w:rPr>
  </w:style>
  <w:style w:type="character" w:customStyle="1" w:styleId="55">
    <w:name w:val="标题 1 字符"/>
    <w:link w:val="4"/>
    <w:qFormat/>
    <w:uiPriority w:val="0"/>
    <w:rPr>
      <w:rFonts w:ascii="宋体" w:hAnsi="宋体" w:eastAsia="黑体"/>
      <w:b/>
      <w:bCs/>
      <w:kern w:val="44"/>
      <w:sz w:val="28"/>
      <w:szCs w:val="44"/>
      <w:lang w:val="en-US" w:eastAsia="zh-CN" w:bidi="ar-SA"/>
    </w:rPr>
  </w:style>
  <w:style w:type="character" w:customStyle="1" w:styleId="56">
    <w:name w:val="正文缩进 字符"/>
    <w:link w:val="9"/>
    <w:qFormat/>
    <w:uiPriority w:val="0"/>
    <w:rPr>
      <w:rFonts w:eastAsia="宋体"/>
      <w:kern w:val="2"/>
      <w:sz w:val="21"/>
      <w:lang w:val="en-US" w:eastAsia="zh-CN" w:bidi="ar-SA"/>
    </w:rPr>
  </w:style>
  <w:style w:type="character" w:customStyle="1" w:styleId="57">
    <w:name w:val="标题 3 Char"/>
    <w:qFormat/>
    <w:uiPriority w:val="0"/>
    <w:rPr>
      <w:rFonts w:ascii="黑体" w:eastAsia="黑体"/>
      <w:bCs/>
      <w:sz w:val="30"/>
    </w:rPr>
  </w:style>
  <w:style w:type="paragraph" w:customStyle="1" w:styleId="58">
    <w:name w:val="样式41"/>
    <w:basedOn w:val="1"/>
    <w:qFormat/>
    <w:uiPriority w:val="0"/>
    <w:pPr>
      <w:numPr>
        <w:ilvl w:val="0"/>
        <w:numId w:val="2"/>
      </w:numPr>
      <w:tabs>
        <w:tab w:val="left" w:pos="945"/>
      </w:tabs>
      <w:spacing w:line="360" w:lineRule="auto"/>
    </w:pPr>
    <w:rPr>
      <w:b/>
      <w:color w:val="000000"/>
      <w:sz w:val="24"/>
      <w:szCs w:val="20"/>
    </w:rPr>
  </w:style>
  <w:style w:type="paragraph" w:customStyle="1" w:styleId="59">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0">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1">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2">
    <w:name w:val="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3">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4">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5">
    <w:name w:val="自定义正文"/>
    <w:basedOn w:val="1"/>
    <w:qFormat/>
    <w:uiPriority w:val="0"/>
    <w:pPr>
      <w:spacing w:afterLines="50"/>
      <w:ind w:left="600" w:leftChars="600"/>
    </w:pPr>
  </w:style>
  <w:style w:type="paragraph" w:customStyle="1" w:styleId="66">
    <w:name w:val="Char Char Char Char Char"/>
    <w:basedOn w:val="1"/>
    <w:qFormat/>
    <w:uiPriority w:val="0"/>
    <w:rPr>
      <w:rFonts w:ascii="Tahoma" w:hAnsi="Tahoma"/>
      <w:sz w:val="24"/>
      <w:szCs w:val="20"/>
    </w:rPr>
  </w:style>
  <w:style w:type="paragraph" w:customStyle="1" w:styleId="6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68">
    <w:name w:val="Char Char"/>
    <w:basedOn w:val="1"/>
    <w:qFormat/>
    <w:uiPriority w:val="0"/>
    <w:rPr>
      <w:rFonts w:ascii="Tahoma" w:hAnsi="Tahoma"/>
      <w:sz w:val="24"/>
      <w:szCs w:val="20"/>
    </w:rPr>
  </w:style>
  <w:style w:type="paragraph" w:customStyle="1" w:styleId="69">
    <w:name w:val="È±Ê¡ÎÄ±¾"/>
    <w:basedOn w:val="1"/>
    <w:qFormat/>
    <w:uiPriority w:val="0"/>
    <w:pPr>
      <w:widowControl/>
      <w:overflowPunct w:val="0"/>
      <w:autoSpaceDE w:val="0"/>
      <w:autoSpaceDN w:val="0"/>
      <w:adjustRightInd w:val="0"/>
      <w:jc w:val="left"/>
      <w:textAlignment w:val="baseline"/>
    </w:pPr>
    <w:rPr>
      <w:kern w:val="0"/>
      <w:sz w:val="24"/>
      <w:szCs w:val="20"/>
    </w:rPr>
  </w:style>
  <w:style w:type="character" w:customStyle="1" w:styleId="70">
    <w:name w:val="标题 2 字符"/>
    <w:link w:val="7"/>
    <w:qFormat/>
    <w:uiPriority w:val="0"/>
    <w:rPr>
      <w:rFonts w:ascii="宋体" w:hAnsi="宋体" w:eastAsia="宋体"/>
      <w:b/>
      <w:bCs/>
      <w:sz w:val="24"/>
      <w:lang w:val="en-US" w:eastAsia="zh-CN" w:bidi="ar-SA"/>
    </w:rPr>
  </w:style>
  <w:style w:type="paragraph" w:customStyle="1" w:styleId="71">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styleId="72">
    <w:name w:val="List Paragraph"/>
    <w:basedOn w:val="1"/>
    <w:qFormat/>
    <w:uiPriority w:val="34"/>
    <w:pPr>
      <w:ind w:firstLine="420" w:firstLineChars="200"/>
    </w:pPr>
    <w:rPr>
      <w:rFonts w:ascii="Calibri" w:hAnsi="Calibri"/>
      <w:szCs w:val="22"/>
    </w:rPr>
  </w:style>
  <w:style w:type="paragraph" w:customStyle="1" w:styleId="73">
    <w:name w:val="USE 1"/>
    <w:basedOn w:val="1"/>
    <w:qFormat/>
    <w:uiPriority w:val="0"/>
    <w:pPr>
      <w:spacing w:line="200" w:lineRule="atLeast"/>
      <w:jc w:val="left"/>
    </w:pPr>
    <w:rPr>
      <w:rFonts w:ascii="宋体" w:hAnsi="宋体"/>
      <w:b/>
      <w:sz w:val="24"/>
      <w:szCs w:val="28"/>
    </w:rPr>
  </w:style>
  <w:style w:type="paragraph" w:customStyle="1" w:styleId="74">
    <w:name w:val="RFI text from 3rd Level"/>
    <w:basedOn w:val="1"/>
    <w:qFormat/>
    <w:uiPriority w:val="0"/>
    <w:pPr>
      <w:widowControl/>
      <w:numPr>
        <w:ilvl w:val="0"/>
        <w:numId w:val="3"/>
      </w:numPr>
      <w:tabs>
        <w:tab w:val="left" w:pos="1080"/>
        <w:tab w:val="clear" w:pos="840"/>
      </w:tabs>
      <w:spacing w:beforeLines="50" w:line="360" w:lineRule="auto"/>
      <w:ind w:left="0" w:firstLine="0"/>
    </w:pPr>
    <w:rPr>
      <w:rFonts w:ascii="Arial (W1)" w:hAnsi="Arial (W1)"/>
      <w:bCs/>
      <w:kern w:val="0"/>
      <w:sz w:val="24"/>
      <w:lang w:val="en-GB"/>
    </w:rPr>
  </w:style>
  <w:style w:type="paragraph" w:customStyle="1" w:styleId="75">
    <w:name w:val="正文文字缩进项目"/>
    <w:basedOn w:val="21"/>
    <w:qFormat/>
    <w:uiPriority w:val="0"/>
    <w:pPr>
      <w:numPr>
        <w:ilvl w:val="1"/>
        <w:numId w:val="3"/>
      </w:numPr>
      <w:tabs>
        <w:tab w:val="left" w:pos="840"/>
        <w:tab w:val="clear" w:pos="1260"/>
      </w:tabs>
      <w:spacing w:after="120" w:line="240" w:lineRule="auto"/>
      <w:ind w:left="840" w:firstLine="0" w:firstLineChars="0"/>
    </w:pPr>
    <w:rPr>
      <w:rFonts w:ascii="Tahoma" w:hAnsi="Tahoma"/>
      <w:sz w:val="22"/>
      <w:szCs w:val="20"/>
    </w:rPr>
  </w:style>
  <w:style w:type="paragraph" w:customStyle="1" w:styleId="76">
    <w:name w:val="样式 标题 2 + 段前: 13 磅 段后: 13 磅 行距: 单倍行距"/>
    <w:basedOn w:val="7"/>
    <w:qFormat/>
    <w:uiPriority w:val="0"/>
    <w:pPr>
      <w:adjustRightInd/>
      <w:spacing w:before="0" w:after="0"/>
      <w:jc w:val="both"/>
      <w:textAlignment w:val="auto"/>
    </w:pPr>
    <w:rPr>
      <w:rFonts w:ascii="Cambria" w:hAnsi="Cambria" w:cs="宋体"/>
      <w:kern w:val="2"/>
      <w:sz w:val="32"/>
    </w:rPr>
  </w:style>
  <w:style w:type="character" w:customStyle="1" w:styleId="77">
    <w:name w:val="H4 Char2"/>
    <w:qFormat/>
    <w:uiPriority w:val="0"/>
    <w:rPr>
      <w:rFonts w:ascii="Arial" w:hAnsi="Arial" w:eastAsia="黑体"/>
      <w:b/>
      <w:bCs/>
      <w:kern w:val="2"/>
      <w:sz w:val="28"/>
      <w:szCs w:val="28"/>
      <w:lang w:val="en-US" w:eastAsia="zh-CN" w:bidi="ar-SA"/>
    </w:rPr>
  </w:style>
  <w:style w:type="character" w:customStyle="1" w:styleId="78">
    <w:name w:val="正文文本缩进 字符"/>
    <w:link w:val="21"/>
    <w:qFormat/>
    <w:uiPriority w:val="0"/>
    <w:rPr>
      <w:rFonts w:eastAsia="宋体"/>
      <w:kern w:val="2"/>
      <w:sz w:val="21"/>
      <w:szCs w:val="24"/>
      <w:lang w:val="en-US" w:eastAsia="zh-CN" w:bidi="ar-SA"/>
    </w:rPr>
  </w:style>
  <w:style w:type="character" w:customStyle="1" w:styleId="79">
    <w:name w:val="标题 5 字符"/>
    <w:link w:val="8"/>
    <w:qFormat/>
    <w:uiPriority w:val="0"/>
    <w:rPr>
      <w:rFonts w:eastAsia="宋体"/>
      <w:b/>
      <w:kern w:val="2"/>
      <w:sz w:val="28"/>
      <w:lang w:val="en-US" w:eastAsia="zh-CN" w:bidi="ar-SA"/>
    </w:rPr>
  </w:style>
  <w:style w:type="character" w:customStyle="1" w:styleId="80">
    <w:name w:val="第*章 Char"/>
    <w:qFormat/>
    <w:uiPriority w:val="0"/>
    <w:rPr>
      <w:rFonts w:ascii="Arial" w:hAnsi="Arial" w:eastAsia="黑体"/>
      <w:b/>
      <w:bCs/>
      <w:kern w:val="2"/>
      <w:sz w:val="32"/>
      <w:szCs w:val="32"/>
    </w:rPr>
  </w:style>
  <w:style w:type="character" w:customStyle="1" w:styleId="81">
    <w:name w:val="章标题1 Char"/>
    <w:qFormat/>
    <w:uiPriority w:val="0"/>
    <w:rPr>
      <w:rFonts w:eastAsia="宋体"/>
      <w:b/>
      <w:bCs/>
      <w:kern w:val="2"/>
      <w:sz w:val="32"/>
      <w:szCs w:val="32"/>
      <w:lang w:val="en-US" w:eastAsia="zh-CN" w:bidi="ar-SA"/>
    </w:rPr>
  </w:style>
  <w:style w:type="character" w:customStyle="1" w:styleId="82">
    <w:name w:val="标题 6 字符"/>
    <w:link w:val="10"/>
    <w:qFormat/>
    <w:uiPriority w:val="0"/>
    <w:rPr>
      <w:rFonts w:ascii="Arial" w:hAnsi="Arial" w:eastAsia="黑体"/>
      <w:b/>
      <w:kern w:val="2"/>
      <w:sz w:val="24"/>
      <w:lang w:val="en-US" w:eastAsia="zh-CN" w:bidi="ar-SA"/>
    </w:rPr>
  </w:style>
  <w:style w:type="character" w:customStyle="1" w:styleId="83">
    <w:name w:val="标题 7 字符"/>
    <w:link w:val="11"/>
    <w:qFormat/>
    <w:uiPriority w:val="0"/>
    <w:rPr>
      <w:rFonts w:eastAsia="宋体"/>
      <w:b/>
      <w:kern w:val="2"/>
      <w:sz w:val="24"/>
      <w:lang w:val="en-US" w:eastAsia="zh-CN" w:bidi="ar-SA"/>
    </w:rPr>
  </w:style>
  <w:style w:type="character" w:customStyle="1" w:styleId="84">
    <w:name w:val="标题 8 字符"/>
    <w:link w:val="12"/>
    <w:qFormat/>
    <w:uiPriority w:val="0"/>
    <w:rPr>
      <w:rFonts w:ascii="Arial" w:hAnsi="Arial" w:eastAsia="黑体"/>
      <w:kern w:val="2"/>
      <w:sz w:val="24"/>
      <w:lang w:val="en-US" w:eastAsia="zh-CN" w:bidi="ar-SA"/>
    </w:rPr>
  </w:style>
  <w:style w:type="character" w:customStyle="1" w:styleId="85">
    <w:name w:val="标题 9 字符"/>
    <w:link w:val="13"/>
    <w:qFormat/>
    <w:uiPriority w:val="0"/>
    <w:rPr>
      <w:rFonts w:ascii="Arial" w:hAnsi="Arial" w:eastAsia="黑体"/>
      <w:kern w:val="2"/>
      <w:sz w:val="21"/>
      <w:lang w:val="en-US" w:eastAsia="zh-CN" w:bidi="ar-SA"/>
    </w:rPr>
  </w:style>
  <w:style w:type="character" w:customStyle="1" w:styleId="86">
    <w:name w:val="标题 字符"/>
    <w:link w:val="40"/>
    <w:qFormat/>
    <w:uiPriority w:val="0"/>
    <w:rPr>
      <w:rFonts w:ascii="Arial" w:hAnsi="Arial" w:eastAsia="隶书" w:cs="Arial"/>
      <w:b/>
      <w:bCs/>
      <w:kern w:val="2"/>
      <w:sz w:val="32"/>
      <w:szCs w:val="32"/>
      <w:lang w:val="en-US" w:eastAsia="zh-CN" w:bidi="ar-SA"/>
    </w:rPr>
  </w:style>
  <w:style w:type="character" w:customStyle="1" w:styleId="87">
    <w:name w:val="日期 字符"/>
    <w:link w:val="26"/>
    <w:qFormat/>
    <w:uiPriority w:val="0"/>
    <w:rPr>
      <w:rFonts w:ascii="宋体" w:hAnsi="Courier New" w:eastAsia="宋体"/>
      <w:kern w:val="2"/>
      <w:sz w:val="32"/>
      <w:lang w:val="en-US" w:eastAsia="zh-CN" w:bidi="ar-SA"/>
    </w:rPr>
  </w:style>
  <w:style w:type="character" w:customStyle="1" w:styleId="88">
    <w:name w:val="HTML 预设格式 字符"/>
    <w:link w:val="37"/>
    <w:qFormat/>
    <w:uiPriority w:val="0"/>
    <w:rPr>
      <w:rFonts w:ascii="Arial Unicode MS" w:hAnsi="Arial Unicode MS" w:eastAsia="Arial Unicode MS"/>
      <w:color w:val="000000"/>
      <w:lang w:val="en-US" w:eastAsia="zh-CN" w:bidi="ar-SA"/>
    </w:rPr>
  </w:style>
  <w:style w:type="character" w:customStyle="1" w:styleId="89">
    <w:name w:val="纯文本 字符"/>
    <w:link w:val="24"/>
    <w:qFormat/>
    <w:uiPriority w:val="0"/>
    <w:rPr>
      <w:rFonts w:ascii="宋体" w:hAnsi="Courier New" w:eastAsia="宋体"/>
      <w:kern w:val="2"/>
      <w:sz w:val="21"/>
      <w:lang w:val="en-US" w:eastAsia="zh-CN" w:bidi="ar-SA"/>
    </w:rPr>
  </w:style>
  <w:style w:type="character" w:customStyle="1" w:styleId="90">
    <w:name w:val="正文文字首行缩进 Char"/>
    <w:qFormat/>
    <w:uiPriority w:val="0"/>
    <w:rPr>
      <w:kern w:val="2"/>
      <w:sz w:val="21"/>
      <w:szCs w:val="24"/>
    </w:rPr>
  </w:style>
  <w:style w:type="character" w:customStyle="1" w:styleId="91">
    <w:name w:val="正文文本 字符"/>
    <w:link w:val="2"/>
    <w:qFormat/>
    <w:uiPriority w:val="0"/>
    <w:rPr>
      <w:rFonts w:eastAsia="宋体"/>
      <w:b/>
      <w:bCs/>
      <w:kern w:val="2"/>
      <w:sz w:val="24"/>
      <w:szCs w:val="24"/>
      <w:lang w:val="en-US" w:eastAsia="zh-CN" w:bidi="ar-SA"/>
    </w:rPr>
  </w:style>
  <w:style w:type="character" w:customStyle="1" w:styleId="92">
    <w:name w:val="正文文本缩进 2 字符"/>
    <w:link w:val="27"/>
    <w:qFormat/>
    <w:uiPriority w:val="0"/>
    <w:rPr>
      <w:rFonts w:ascii="宋体" w:hAnsi="宋体" w:eastAsia="宋体"/>
      <w:kern w:val="2"/>
      <w:sz w:val="21"/>
      <w:szCs w:val="24"/>
      <w:lang w:val="en-US" w:eastAsia="zh-CN" w:bidi="ar-SA"/>
    </w:rPr>
  </w:style>
  <w:style w:type="character" w:customStyle="1" w:styleId="93">
    <w:name w:val="页眉 字符"/>
    <w:link w:val="30"/>
    <w:qFormat/>
    <w:uiPriority w:val="99"/>
    <w:rPr>
      <w:rFonts w:eastAsia="宋体"/>
      <w:kern w:val="2"/>
      <w:sz w:val="18"/>
      <w:szCs w:val="18"/>
      <w:lang w:val="en-US" w:eastAsia="zh-CN" w:bidi="ar-SA"/>
    </w:rPr>
  </w:style>
  <w:style w:type="character" w:customStyle="1" w:styleId="94">
    <w:name w:val="正文文本缩进 3 字符"/>
    <w:link w:val="34"/>
    <w:qFormat/>
    <w:uiPriority w:val="0"/>
    <w:rPr>
      <w:rFonts w:ascii="宋体" w:eastAsia="宋体"/>
      <w:b/>
      <w:bCs/>
      <w:kern w:val="2"/>
      <w:sz w:val="24"/>
      <w:szCs w:val="24"/>
      <w:lang w:val="en-US" w:eastAsia="zh-CN" w:bidi="ar-SA"/>
    </w:rPr>
  </w:style>
  <w:style w:type="character" w:customStyle="1" w:styleId="95">
    <w:name w:val="正文文本 2 字符"/>
    <w:link w:val="3"/>
    <w:qFormat/>
    <w:uiPriority w:val="0"/>
    <w:rPr>
      <w:rFonts w:eastAsia="宋体"/>
      <w:kern w:val="2"/>
      <w:sz w:val="24"/>
      <w:szCs w:val="24"/>
      <w:lang w:val="en-US" w:eastAsia="zh-CN" w:bidi="ar-SA"/>
    </w:rPr>
  </w:style>
  <w:style w:type="character" w:customStyle="1" w:styleId="96">
    <w:name w:val="页脚 字符"/>
    <w:link w:val="29"/>
    <w:qFormat/>
    <w:uiPriority w:val="0"/>
    <w:rPr>
      <w:rFonts w:eastAsia="宋体"/>
      <w:kern w:val="2"/>
      <w:sz w:val="18"/>
      <w:szCs w:val="18"/>
      <w:lang w:val="en-US" w:eastAsia="zh-CN" w:bidi="ar-SA"/>
    </w:rPr>
  </w:style>
  <w:style w:type="character" w:customStyle="1" w:styleId="97">
    <w:name w:val="正文文本 3 字符"/>
    <w:link w:val="20"/>
    <w:qFormat/>
    <w:uiPriority w:val="0"/>
    <w:rPr>
      <w:rFonts w:eastAsia="宋体"/>
      <w:kern w:val="2"/>
      <w:sz w:val="16"/>
      <w:szCs w:val="16"/>
      <w:lang w:val="en-US" w:eastAsia="zh-CN" w:bidi="ar-SA"/>
    </w:rPr>
  </w:style>
  <w:style w:type="character" w:customStyle="1" w:styleId="98">
    <w:name w:val="批注框文本 字符"/>
    <w:link w:val="28"/>
    <w:semiHidden/>
    <w:qFormat/>
    <w:uiPriority w:val="99"/>
    <w:rPr>
      <w:rFonts w:eastAsia="宋体"/>
      <w:kern w:val="2"/>
      <w:sz w:val="18"/>
      <w:szCs w:val="18"/>
      <w:lang w:val="en-US" w:eastAsia="zh-CN" w:bidi="ar-SA"/>
    </w:rPr>
  </w:style>
  <w:style w:type="paragraph" w:customStyle="1" w:styleId="99">
    <w:name w:val="样式1"/>
    <w:basedOn w:val="40"/>
    <w:qFormat/>
    <w:uiPriority w:val="0"/>
    <w:pPr>
      <w:spacing w:before="120" w:after="120"/>
    </w:pPr>
    <w:rPr>
      <w:rFonts w:eastAsia="黑体"/>
      <w:b w:val="0"/>
      <w:sz w:val="30"/>
      <w:szCs w:val="21"/>
    </w:rPr>
  </w:style>
  <w:style w:type="paragraph" w:customStyle="1" w:styleId="100">
    <w:name w:val="样式2"/>
    <w:basedOn w:val="40"/>
    <w:next w:val="99"/>
    <w:qFormat/>
    <w:uiPriority w:val="0"/>
    <w:pPr>
      <w:spacing w:before="120" w:after="120"/>
    </w:pPr>
    <w:rPr>
      <w:rFonts w:eastAsia="黑体"/>
      <w:b w:val="0"/>
      <w:sz w:val="30"/>
      <w:szCs w:val="30"/>
    </w:rPr>
  </w:style>
  <w:style w:type="character" w:customStyle="1" w:styleId="101">
    <w:name w:val="标题 3 Char Char"/>
    <w:qFormat/>
    <w:uiPriority w:val="0"/>
    <w:rPr>
      <w:rFonts w:eastAsia="宋体"/>
      <w:b/>
      <w:bCs/>
      <w:kern w:val="2"/>
      <w:sz w:val="32"/>
      <w:szCs w:val="32"/>
      <w:lang w:val="en-US" w:eastAsia="zh-CN" w:bidi="ar-SA"/>
    </w:rPr>
  </w:style>
  <w:style w:type="paragraph" w:customStyle="1" w:styleId="102">
    <w:name w:val="Char Char Char Char Char Char1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03">
    <w:name w:val="cont"/>
    <w:basedOn w:val="1"/>
    <w:qFormat/>
    <w:uiPriority w:val="0"/>
    <w:pPr>
      <w:adjustRightInd w:val="0"/>
      <w:spacing w:before="100" w:after="100" w:line="360" w:lineRule="auto"/>
      <w:ind w:firstLine="200" w:firstLineChars="200"/>
      <w:jc w:val="left"/>
      <w:textAlignment w:val="baseline"/>
    </w:pPr>
    <w:rPr>
      <w:rFonts w:ascii="Arial" w:hAnsi="Arial"/>
      <w:kern w:val="0"/>
      <w:sz w:val="24"/>
      <w:szCs w:val="20"/>
    </w:rPr>
  </w:style>
  <w:style w:type="paragraph" w:customStyle="1" w:styleId="104">
    <w:name w:val="--规划正文"/>
    <w:basedOn w:val="1"/>
    <w:qFormat/>
    <w:uiPriority w:val="0"/>
    <w:pPr>
      <w:spacing w:line="360" w:lineRule="auto"/>
      <w:ind w:firstLine="200" w:firstLineChars="200"/>
    </w:pPr>
    <w:rPr>
      <w:szCs w:val="20"/>
    </w:rPr>
  </w:style>
  <w:style w:type="paragraph" w:customStyle="1" w:styleId="105">
    <w:name w:val="设计依据"/>
    <w:basedOn w:val="2"/>
    <w:qFormat/>
    <w:uiPriority w:val="0"/>
    <w:pPr>
      <w:numPr>
        <w:ilvl w:val="1"/>
        <w:numId w:val="4"/>
      </w:numPr>
      <w:tabs>
        <w:tab w:val="left" w:pos="1440"/>
        <w:tab w:val="clear" w:pos="840"/>
      </w:tabs>
      <w:adjustRightInd w:val="0"/>
      <w:ind w:left="1440"/>
      <w:textAlignment w:val="baseline"/>
    </w:pPr>
    <w:rPr>
      <w:rFonts w:ascii="宋体" w:hAnsi="宋体"/>
      <w:b w:val="0"/>
      <w:kern w:val="0"/>
      <w:sz w:val="28"/>
      <w:szCs w:val="18"/>
    </w:rPr>
  </w:style>
  <w:style w:type="paragraph" w:customStyle="1" w:styleId="106">
    <w:name w:val="方案要点"/>
    <w:basedOn w:val="1"/>
    <w:qFormat/>
    <w:uiPriority w:val="0"/>
    <w:pPr>
      <w:numPr>
        <w:ilvl w:val="0"/>
        <w:numId w:val="4"/>
      </w:numPr>
      <w:spacing w:line="360" w:lineRule="auto"/>
    </w:pPr>
    <w:rPr>
      <w:rFonts w:ascii="仿宋_GB2312" w:hAnsi="宋体" w:eastAsia="仿宋_GB2312"/>
      <w:color w:val="000000"/>
      <w:sz w:val="28"/>
      <w:szCs w:val="28"/>
    </w:rPr>
  </w:style>
  <w:style w:type="paragraph" w:customStyle="1" w:styleId="107">
    <w:name w:val="样式4"/>
    <w:basedOn w:val="1"/>
    <w:qFormat/>
    <w:uiPriority w:val="0"/>
    <w:pPr>
      <w:tabs>
        <w:tab w:val="left" w:pos="842"/>
      </w:tabs>
      <w:spacing w:line="360" w:lineRule="auto"/>
      <w:ind w:left="842" w:hanging="420"/>
    </w:pPr>
    <w:rPr>
      <w:sz w:val="24"/>
    </w:rPr>
  </w:style>
  <w:style w:type="paragraph" w:customStyle="1" w:styleId="108">
    <w:name w:val="文字"/>
    <w:basedOn w:val="1"/>
    <w:qFormat/>
    <w:uiPriority w:val="0"/>
    <w:pPr>
      <w:tabs>
        <w:tab w:val="left" w:pos="8520"/>
      </w:tabs>
      <w:spacing w:line="312" w:lineRule="auto"/>
      <w:ind w:right="-210" w:firstLine="556"/>
    </w:pPr>
    <w:rPr>
      <w:rFonts w:ascii="宋体"/>
      <w:sz w:val="28"/>
      <w:szCs w:val="20"/>
    </w:rPr>
  </w:style>
  <w:style w:type="paragraph" w:customStyle="1" w:styleId="109">
    <w:name w:val="--规划-表格-居左"/>
    <w:basedOn w:val="104"/>
    <w:qFormat/>
    <w:uiPriority w:val="0"/>
    <w:pPr>
      <w:spacing w:line="240" w:lineRule="auto"/>
      <w:ind w:firstLine="0" w:firstLineChars="0"/>
    </w:pPr>
    <w:rPr>
      <w:sz w:val="20"/>
    </w:rPr>
  </w:style>
  <w:style w:type="paragraph" w:customStyle="1" w:styleId="110">
    <w:name w:val="--规划-表格-居中"/>
    <w:basedOn w:val="104"/>
    <w:qFormat/>
    <w:uiPriority w:val="0"/>
    <w:pPr>
      <w:spacing w:line="240" w:lineRule="auto"/>
      <w:ind w:firstLine="0" w:firstLineChars="0"/>
      <w:jc w:val="center"/>
    </w:pPr>
    <w:rPr>
      <w:sz w:val="20"/>
    </w:rPr>
  </w:style>
  <w:style w:type="paragraph" w:customStyle="1" w:styleId="111">
    <w:name w:val="--编号内缩进"/>
    <w:basedOn w:val="1"/>
    <w:qFormat/>
    <w:uiPriority w:val="0"/>
    <w:pPr>
      <w:spacing w:line="360" w:lineRule="auto"/>
      <w:ind w:left="420" w:firstLine="200" w:firstLineChars="200"/>
    </w:pPr>
    <w:rPr>
      <w:szCs w:val="21"/>
    </w:rPr>
  </w:style>
  <w:style w:type="paragraph" w:customStyle="1" w:styleId="112">
    <w:name w:val="--规划-题注"/>
    <w:basedOn w:val="1"/>
    <w:next w:val="104"/>
    <w:qFormat/>
    <w:uiPriority w:val="0"/>
    <w:pPr>
      <w:spacing w:line="360" w:lineRule="auto"/>
      <w:jc w:val="center"/>
    </w:pPr>
    <w:rPr>
      <w:rFonts w:eastAsia="黑体"/>
    </w:rPr>
  </w:style>
  <w:style w:type="paragraph" w:customStyle="1" w:styleId="113">
    <w:name w:val="--规划-图和表"/>
    <w:next w:val="104"/>
    <w:qFormat/>
    <w:uiPriority w:val="0"/>
    <w:pPr>
      <w:jc w:val="center"/>
    </w:pPr>
    <w:rPr>
      <w:rFonts w:ascii="Times New Roman" w:hAnsi="Times New Roman" w:eastAsia="宋体" w:cs="Times New Roman"/>
      <w:kern w:val="2"/>
      <w:sz w:val="21"/>
      <w:lang w:val="en-US" w:eastAsia="zh-CN" w:bidi="ar-SA"/>
    </w:rPr>
  </w:style>
  <w:style w:type="paragraph" w:customStyle="1" w:styleId="114">
    <w:name w:val="--规划-小标题"/>
    <w:basedOn w:val="1"/>
    <w:next w:val="104"/>
    <w:qFormat/>
    <w:uiPriority w:val="0"/>
    <w:pPr>
      <w:keepNext/>
      <w:keepLines/>
      <w:spacing w:line="360" w:lineRule="auto"/>
      <w:outlineLvl w:val="4"/>
    </w:pPr>
    <w:rPr>
      <w:rFonts w:eastAsia="黑体"/>
    </w:rPr>
  </w:style>
  <w:style w:type="paragraph" w:customStyle="1" w:styleId="115">
    <w:name w:val="--规划正文 Char"/>
    <w:basedOn w:val="1"/>
    <w:qFormat/>
    <w:uiPriority w:val="0"/>
    <w:pPr>
      <w:spacing w:line="360" w:lineRule="auto"/>
      <w:ind w:firstLine="200" w:firstLineChars="200"/>
    </w:pPr>
    <w:rPr>
      <w:sz w:val="24"/>
    </w:rPr>
  </w:style>
  <w:style w:type="paragraph" w:customStyle="1" w:styleId="116">
    <w:name w:val="缺省文本"/>
    <w:basedOn w:val="1"/>
    <w:qFormat/>
    <w:uiPriority w:val="0"/>
    <w:pPr>
      <w:autoSpaceDE w:val="0"/>
      <w:autoSpaceDN w:val="0"/>
      <w:adjustRightInd w:val="0"/>
      <w:jc w:val="left"/>
    </w:pPr>
    <w:rPr>
      <w:kern w:val="0"/>
    </w:rPr>
  </w:style>
  <w:style w:type="paragraph" w:customStyle="1" w:styleId="117">
    <w:name w:val="封面文档标题"/>
    <w:basedOn w:val="1"/>
    <w:qFormat/>
    <w:uiPriority w:val="0"/>
    <w:pPr>
      <w:autoSpaceDE w:val="0"/>
      <w:autoSpaceDN w:val="0"/>
      <w:adjustRightInd w:val="0"/>
      <w:spacing w:line="360" w:lineRule="auto"/>
      <w:jc w:val="center"/>
    </w:pPr>
    <w:rPr>
      <w:rFonts w:ascii="Arial" w:hAnsi="Arial"/>
      <w:b/>
      <w:kern w:val="0"/>
      <w:sz w:val="56"/>
    </w:rPr>
  </w:style>
  <w:style w:type="character" w:customStyle="1" w:styleId="118">
    <w:name w:val="--规划正文 Char Char"/>
    <w:qFormat/>
    <w:uiPriority w:val="0"/>
    <w:rPr>
      <w:rFonts w:eastAsia="宋体"/>
      <w:kern w:val="2"/>
      <w:sz w:val="24"/>
      <w:szCs w:val="24"/>
      <w:lang w:val="en-US" w:eastAsia="zh-CN" w:bidi="ar-SA"/>
    </w:rPr>
  </w:style>
  <w:style w:type="paragraph" w:customStyle="1" w:styleId="119">
    <w:name w:val="样式3"/>
    <w:basedOn w:val="4"/>
    <w:qFormat/>
    <w:uiPriority w:val="0"/>
    <w:pPr>
      <w:numPr>
        <w:ilvl w:val="0"/>
        <w:numId w:val="5"/>
      </w:numPr>
      <w:spacing w:before="240" w:after="240" w:line="480" w:lineRule="auto"/>
      <w:ind w:right="210" w:rightChars="100"/>
      <w:jc w:val="left"/>
    </w:pPr>
    <w:rPr>
      <w:rFonts w:ascii="Times New Roman" w:hAnsi="Times New Roman"/>
      <w:sz w:val="32"/>
    </w:rPr>
  </w:style>
  <w:style w:type="character" w:customStyle="1" w:styleId="120">
    <w:name w:val="--规划正文 Char1"/>
    <w:qFormat/>
    <w:uiPriority w:val="0"/>
    <w:rPr>
      <w:rFonts w:eastAsia="宋体"/>
      <w:kern w:val="2"/>
      <w:sz w:val="21"/>
      <w:lang w:val="en-US" w:eastAsia="zh-CN" w:bidi="ar-SA"/>
    </w:rPr>
  </w:style>
  <w:style w:type="paragraph" w:customStyle="1" w:styleId="121">
    <w:name w:val="word"/>
    <w:basedOn w:val="1"/>
    <w:qFormat/>
    <w:uiPriority w:val="0"/>
    <w:pPr>
      <w:widowControl/>
      <w:spacing w:before="100" w:beforeAutospacing="1" w:after="100" w:afterAutospacing="1" w:line="301" w:lineRule="atLeast"/>
      <w:jc w:val="left"/>
    </w:pPr>
    <w:rPr>
      <w:rFonts w:ascii="ˎ̥" w:hAnsi="ˎ̥"/>
      <w:color w:val="000000"/>
      <w:kern w:val="0"/>
      <w:sz w:val="20"/>
      <w:szCs w:val="20"/>
    </w:rPr>
  </w:style>
  <w:style w:type="paragraph" w:customStyle="1" w:styleId="122">
    <w:name w:val="列表项目"/>
    <w:basedOn w:val="1"/>
    <w:qFormat/>
    <w:uiPriority w:val="0"/>
    <w:pPr>
      <w:tabs>
        <w:tab w:val="left" w:pos="420"/>
        <w:tab w:val="left" w:pos="1080"/>
      </w:tabs>
      <w:spacing w:line="288" w:lineRule="auto"/>
      <w:ind w:left="1080" w:hanging="360"/>
    </w:pPr>
    <w:rPr>
      <w:sz w:val="24"/>
      <w:szCs w:val="20"/>
    </w:rPr>
  </w:style>
  <w:style w:type="character" w:customStyle="1" w:styleId="123">
    <w:name w:val="content1"/>
    <w:qFormat/>
    <w:uiPriority w:val="0"/>
    <w:rPr>
      <w:rFonts w:hint="default" w:ascii="??" w:hAnsi="??"/>
      <w:sz w:val="16"/>
      <w:szCs w:val="16"/>
      <w:u w:val="none"/>
    </w:rPr>
  </w:style>
  <w:style w:type="character" w:customStyle="1" w:styleId="124">
    <w:name w:val="unnamed4"/>
    <w:basedOn w:val="46"/>
    <w:qFormat/>
    <w:uiPriority w:val="0"/>
  </w:style>
  <w:style w:type="character" w:customStyle="1" w:styleId="125">
    <w:name w:val="font2"/>
    <w:basedOn w:val="46"/>
    <w:qFormat/>
    <w:uiPriority w:val="0"/>
  </w:style>
  <w:style w:type="character" w:customStyle="1" w:styleId="126">
    <w:name w:val="font41"/>
    <w:qFormat/>
    <w:uiPriority w:val="0"/>
    <w:rPr>
      <w:color w:val="000000"/>
      <w:spacing w:val="260"/>
      <w:sz w:val="18"/>
      <w:szCs w:val="18"/>
      <w:u w:val="none"/>
    </w:rPr>
  </w:style>
  <w:style w:type="paragraph" w:customStyle="1" w:styleId="127">
    <w:name w:val="正文(首行缩进)"/>
    <w:qFormat/>
    <w:uiPriority w:val="0"/>
    <w:pPr>
      <w:spacing w:line="360" w:lineRule="auto"/>
      <w:ind w:firstLine="488" w:firstLineChars="200"/>
      <w:jc w:val="both"/>
    </w:pPr>
    <w:rPr>
      <w:rFonts w:ascii="Times New Roman" w:hAnsi="Times New Roman" w:eastAsia="仿宋_GB2312" w:cs="Times New Roman"/>
      <w:spacing w:val="2"/>
      <w:sz w:val="24"/>
      <w:szCs w:val="24"/>
      <w:lang w:val="en-US" w:eastAsia="zh-CN" w:bidi="ar-SA"/>
    </w:rPr>
  </w:style>
  <w:style w:type="paragraph" w:customStyle="1" w:styleId="128">
    <w:name w:val="xl72"/>
    <w:basedOn w:val="1"/>
    <w:qFormat/>
    <w:uiPriority w:val="0"/>
    <w:pPr>
      <w:widowControl/>
      <w:spacing w:before="100" w:beforeAutospacing="1" w:after="100" w:afterAutospacing="1"/>
      <w:jc w:val="left"/>
    </w:pPr>
    <w:rPr>
      <w:rFonts w:ascii="宋体" w:hAnsi="宋体"/>
      <w:b/>
      <w:bCs/>
      <w:kern w:val="0"/>
      <w:sz w:val="28"/>
      <w:szCs w:val="28"/>
    </w:rPr>
  </w:style>
  <w:style w:type="character" w:customStyle="1" w:styleId="129">
    <w:name w:val="正文文本首行缩进 字符"/>
    <w:link w:val="42"/>
    <w:qFormat/>
    <w:uiPriority w:val="0"/>
    <w:rPr>
      <w:rFonts w:eastAsia="宋体"/>
      <w:b/>
      <w:bCs/>
      <w:kern w:val="2"/>
      <w:sz w:val="21"/>
      <w:szCs w:val="24"/>
      <w:lang w:val="en-US" w:eastAsia="zh-CN" w:bidi="ar-SA"/>
    </w:rPr>
  </w:style>
  <w:style w:type="paragraph" w:customStyle="1" w:styleId="130">
    <w:name w:val="正文(首行缩进) Char"/>
    <w:qFormat/>
    <w:uiPriority w:val="0"/>
    <w:pPr>
      <w:spacing w:before="120" w:after="60" w:line="360" w:lineRule="auto"/>
      <w:ind w:firstLine="200" w:firstLineChars="200"/>
    </w:pPr>
    <w:rPr>
      <w:rFonts w:ascii="Times New Roman" w:hAnsi="Times New Roman" w:eastAsia="仿宋_GB2312" w:cs="Times New Roman"/>
      <w:spacing w:val="2"/>
      <w:kern w:val="24"/>
      <w:sz w:val="24"/>
      <w:szCs w:val="24"/>
      <w:lang w:val="en-US" w:eastAsia="zh-CN" w:bidi="ar-SA"/>
    </w:rPr>
  </w:style>
  <w:style w:type="paragraph" w:customStyle="1" w:styleId="131">
    <w:name w:val="汉议细等线简8"/>
    <w:qFormat/>
    <w:uiPriority w:val="0"/>
    <w:pPr>
      <w:widowControl w:val="0"/>
      <w:autoSpaceDE w:val="0"/>
      <w:autoSpaceDN w:val="0"/>
      <w:adjustRightInd w:val="0"/>
      <w:spacing w:line="260" w:lineRule="atLeast"/>
      <w:jc w:val="both"/>
    </w:pPr>
    <w:rPr>
      <w:rFonts w:ascii="汉仪细等线简" w:hAnsi="Times New Roman" w:eastAsia="汉仪细等线简" w:cs="Times New Roman"/>
      <w:color w:val="000000"/>
      <w:sz w:val="16"/>
      <w:szCs w:val="16"/>
      <w:lang w:val="en-US" w:eastAsia="zh-CN" w:bidi="ar-SA"/>
    </w:rPr>
  </w:style>
  <w:style w:type="paragraph" w:customStyle="1" w:styleId="132">
    <w:name w:val="汉仪细等线简9BOLD"/>
    <w:basedOn w:val="1"/>
    <w:qFormat/>
    <w:uiPriority w:val="0"/>
    <w:pPr>
      <w:autoSpaceDE w:val="0"/>
      <w:autoSpaceDN w:val="0"/>
      <w:adjustRightInd w:val="0"/>
      <w:spacing w:line="240" w:lineRule="atLeast"/>
    </w:pPr>
    <w:rPr>
      <w:rFonts w:ascii="汉仪细等线简" w:eastAsia="汉仪细等线简"/>
      <w:b/>
      <w:bCs/>
      <w:kern w:val="0"/>
      <w:sz w:val="18"/>
      <w:szCs w:val="18"/>
    </w:rPr>
  </w:style>
  <w:style w:type="character" w:customStyle="1" w:styleId="133">
    <w:name w:val="mode"/>
    <w:basedOn w:val="46"/>
    <w:qFormat/>
    <w:uiPriority w:val="0"/>
  </w:style>
  <w:style w:type="paragraph" w:customStyle="1" w:styleId="134">
    <w:name w:val="9"/>
    <w:basedOn w:val="1"/>
    <w:next w:val="9"/>
    <w:qFormat/>
    <w:uiPriority w:val="0"/>
    <w:pPr>
      <w:autoSpaceDE w:val="0"/>
      <w:autoSpaceDN w:val="0"/>
      <w:adjustRightInd w:val="0"/>
      <w:ind w:firstLine="420"/>
      <w:jc w:val="left"/>
      <w:textAlignment w:val="baseline"/>
    </w:pPr>
    <w:rPr>
      <w:rFonts w:ascii="宋体"/>
      <w:kern w:val="0"/>
      <w:sz w:val="34"/>
      <w:szCs w:val="20"/>
    </w:rPr>
  </w:style>
  <w:style w:type="character" w:customStyle="1" w:styleId="135">
    <w:name w:val="unnamed3"/>
    <w:basedOn w:val="46"/>
    <w:qFormat/>
    <w:uiPriority w:val="0"/>
  </w:style>
  <w:style w:type="paragraph" w:customStyle="1" w:styleId="136">
    <w:name w:val="8"/>
    <w:basedOn w:val="1"/>
    <w:next w:val="21"/>
    <w:qFormat/>
    <w:uiPriority w:val="0"/>
    <w:pPr>
      <w:spacing w:after="120"/>
      <w:ind w:left="420" w:leftChars="200"/>
    </w:pPr>
  </w:style>
  <w:style w:type="paragraph" w:customStyle="1" w:styleId="137">
    <w:name w:val="7"/>
    <w:basedOn w:val="1"/>
    <w:qFormat/>
    <w:uiPriority w:val="0"/>
    <w:pPr>
      <w:autoSpaceDE w:val="0"/>
      <w:autoSpaceDN w:val="0"/>
      <w:adjustRightInd w:val="0"/>
      <w:spacing w:line="270" w:lineRule="atLeast"/>
      <w:jc w:val="left"/>
    </w:pPr>
    <w:rPr>
      <w:rFonts w:ascii="宋体"/>
      <w:kern w:val="0"/>
      <w:sz w:val="18"/>
      <w:szCs w:val="18"/>
    </w:rPr>
  </w:style>
  <w:style w:type="paragraph" w:customStyle="1" w:styleId="138">
    <w:name w:val="00"/>
    <w:basedOn w:val="1"/>
    <w:qFormat/>
    <w:uiPriority w:val="0"/>
    <w:pPr>
      <w:autoSpaceDE w:val="0"/>
      <w:autoSpaceDN w:val="0"/>
      <w:adjustRightInd w:val="0"/>
      <w:jc w:val="left"/>
    </w:pPr>
    <w:rPr>
      <w:rFonts w:ascii="黑体" w:eastAsia="黑体"/>
      <w:b/>
      <w:bCs/>
      <w:kern w:val="0"/>
      <w:sz w:val="20"/>
      <w:szCs w:val="20"/>
    </w:rPr>
  </w:style>
  <w:style w:type="paragraph" w:customStyle="1" w:styleId="139">
    <w:name w:val="5"/>
    <w:basedOn w:val="1"/>
    <w:qFormat/>
    <w:uiPriority w:val="0"/>
    <w:pPr>
      <w:autoSpaceDE w:val="0"/>
      <w:autoSpaceDN w:val="0"/>
      <w:adjustRightInd w:val="0"/>
      <w:jc w:val="left"/>
    </w:pPr>
    <w:rPr>
      <w:rFonts w:ascii="宋体"/>
      <w:b/>
      <w:bCs/>
      <w:kern w:val="0"/>
      <w:sz w:val="18"/>
      <w:szCs w:val="18"/>
    </w:rPr>
  </w:style>
  <w:style w:type="paragraph" w:customStyle="1" w:styleId="140">
    <w:name w:val="6"/>
    <w:basedOn w:val="139"/>
    <w:qFormat/>
    <w:uiPriority w:val="0"/>
    <w:pPr>
      <w:spacing w:line="270" w:lineRule="atLeast"/>
      <w:jc w:val="both"/>
    </w:pPr>
    <w:rPr>
      <w:b w:val="0"/>
      <w:bCs w:val="0"/>
    </w:rPr>
  </w:style>
  <w:style w:type="paragraph" w:customStyle="1" w:styleId="141">
    <w:name w:val="产品描述"/>
    <w:qFormat/>
    <w:uiPriority w:val="0"/>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142">
    <w:name w:val="姜文清定义的正文"/>
    <w:basedOn w:val="1"/>
    <w:qFormat/>
    <w:uiPriority w:val="0"/>
    <w:pPr>
      <w:spacing w:line="240" w:lineRule="atLeast"/>
      <w:ind w:firstLine="567"/>
    </w:pPr>
    <w:rPr>
      <w:szCs w:val="20"/>
    </w:rPr>
  </w:style>
  <w:style w:type="paragraph" w:customStyle="1" w:styleId="143">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44">
    <w:name w:val="CM2"/>
    <w:basedOn w:val="143"/>
    <w:next w:val="143"/>
    <w:qFormat/>
    <w:uiPriority w:val="0"/>
    <w:pPr>
      <w:spacing w:line="200" w:lineRule="atLeast"/>
    </w:pPr>
    <w:rPr>
      <w:rFonts w:ascii="Arial" w:hAnsi="Arial" w:eastAsia="宋体" w:cs="Times New Roman"/>
      <w:color w:val="auto"/>
    </w:rPr>
  </w:style>
  <w:style w:type="paragraph" w:customStyle="1" w:styleId="145">
    <w:name w:val="Normal Paragraph"/>
    <w:basedOn w:val="1"/>
    <w:qFormat/>
    <w:uiPriority w:val="0"/>
    <w:pPr>
      <w:widowControl/>
      <w:spacing w:before="120" w:line="360" w:lineRule="auto"/>
      <w:ind w:firstLine="425"/>
    </w:pPr>
    <w:rPr>
      <w:kern w:val="0"/>
      <w:sz w:val="24"/>
    </w:rPr>
  </w:style>
  <w:style w:type="character" w:customStyle="1" w:styleId="146">
    <w:name w:val="blue"/>
    <w:basedOn w:val="46"/>
    <w:qFormat/>
    <w:uiPriority w:val="0"/>
  </w:style>
  <w:style w:type="paragraph" w:customStyle="1" w:styleId="147">
    <w:name w:val="blue1"/>
    <w:basedOn w:val="1"/>
    <w:qFormat/>
    <w:uiPriority w:val="0"/>
    <w:pPr>
      <w:widowControl/>
      <w:spacing w:before="100" w:beforeAutospacing="1" w:after="100" w:afterAutospacing="1"/>
      <w:jc w:val="left"/>
    </w:pPr>
    <w:rPr>
      <w:rFonts w:ascii="宋体" w:hAnsi="宋体" w:cs="宋体"/>
      <w:kern w:val="0"/>
      <w:sz w:val="24"/>
    </w:rPr>
  </w:style>
  <w:style w:type="character" w:customStyle="1" w:styleId="148">
    <w:name w:val="font"/>
    <w:basedOn w:val="46"/>
    <w:qFormat/>
    <w:uiPriority w:val="0"/>
  </w:style>
  <w:style w:type="character" w:customStyle="1" w:styleId="149">
    <w:name w:val="font11"/>
    <w:qFormat/>
    <w:uiPriority w:val="0"/>
    <w:rPr>
      <w:rFonts w:hint="default" w:ascii="ˎ̥" w:hAnsi="ˎ̥"/>
    </w:rPr>
  </w:style>
  <w:style w:type="paragraph" w:customStyle="1" w:styleId="150">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151">
    <w:name w:val="proddescription"/>
    <w:basedOn w:val="46"/>
    <w:qFormat/>
    <w:uiPriority w:val="0"/>
  </w:style>
  <w:style w:type="character" w:customStyle="1" w:styleId="152">
    <w:name w:val="prodheadlines"/>
    <w:basedOn w:val="46"/>
    <w:qFormat/>
    <w:uiPriority w:val="0"/>
  </w:style>
  <w:style w:type="character" w:customStyle="1" w:styleId="153">
    <w:name w:val="text"/>
    <w:basedOn w:val="46"/>
    <w:qFormat/>
    <w:uiPriority w:val="0"/>
  </w:style>
  <w:style w:type="paragraph" w:customStyle="1" w:styleId="154">
    <w:name w:val="tex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55">
    <w:name w:val="z-窗体顶端1"/>
    <w:basedOn w:val="1"/>
    <w:next w:val="1"/>
    <w:hidden/>
    <w:qFormat/>
    <w:uiPriority w:val="0"/>
    <w:pPr>
      <w:widowControl/>
      <w:pBdr>
        <w:bottom w:val="single" w:color="auto" w:sz="6" w:space="1"/>
      </w:pBdr>
      <w:jc w:val="center"/>
    </w:pPr>
    <w:rPr>
      <w:rFonts w:ascii="Arial" w:hAnsi="Arial" w:cs="Arial"/>
      <w:vanish/>
      <w:kern w:val="0"/>
      <w:sz w:val="16"/>
      <w:szCs w:val="16"/>
    </w:rPr>
  </w:style>
  <w:style w:type="paragraph" w:customStyle="1" w:styleId="156">
    <w:name w:val="z-窗体底端1"/>
    <w:basedOn w:val="1"/>
    <w:next w:val="1"/>
    <w:hidden/>
    <w:qFormat/>
    <w:uiPriority w:val="0"/>
    <w:pPr>
      <w:widowControl/>
      <w:pBdr>
        <w:top w:val="single" w:color="auto" w:sz="6" w:space="1"/>
      </w:pBdr>
      <w:jc w:val="center"/>
    </w:pPr>
    <w:rPr>
      <w:rFonts w:ascii="Arial" w:hAnsi="Arial" w:cs="Arial"/>
      <w:vanish/>
      <w:kern w:val="0"/>
      <w:sz w:val="16"/>
      <w:szCs w:val="16"/>
    </w:rPr>
  </w:style>
  <w:style w:type="paragraph" w:customStyle="1" w:styleId="157">
    <w:name w:val="正文样式"/>
    <w:basedOn w:val="1"/>
    <w:qFormat/>
    <w:uiPriority w:val="0"/>
    <w:pPr>
      <w:adjustRightInd w:val="0"/>
      <w:spacing w:line="400" w:lineRule="atLeast"/>
      <w:ind w:firstLine="570" w:firstLineChars="203"/>
      <w:textAlignment w:val="baseline"/>
    </w:pPr>
    <w:rPr>
      <w:rFonts w:eastAsia="仿宋_GB2312"/>
      <w:kern w:val="0"/>
      <w:sz w:val="28"/>
      <w:szCs w:val="20"/>
    </w:rPr>
  </w:style>
  <w:style w:type="paragraph" w:customStyle="1" w:styleId="158">
    <w:name w:val="xl34"/>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159">
    <w:name w:val="段落正文"/>
    <w:basedOn w:val="24"/>
    <w:qFormat/>
    <w:uiPriority w:val="0"/>
    <w:pPr>
      <w:ind w:firstLine="560" w:firstLineChars="200"/>
    </w:pPr>
    <w:rPr>
      <w:sz w:val="28"/>
    </w:rPr>
  </w:style>
  <w:style w:type="character" w:customStyle="1" w:styleId="160">
    <w:name w:val="gray6"/>
    <w:basedOn w:val="46"/>
    <w:qFormat/>
    <w:uiPriority w:val="0"/>
  </w:style>
  <w:style w:type="character" w:customStyle="1" w:styleId="161">
    <w:name w:val="style9"/>
    <w:basedOn w:val="46"/>
    <w:qFormat/>
    <w:uiPriority w:val="0"/>
  </w:style>
  <w:style w:type="paragraph" w:customStyle="1" w:styleId="162">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character" w:customStyle="1" w:styleId="163">
    <w:name w:val="grame"/>
    <w:basedOn w:val="46"/>
    <w:qFormat/>
    <w:uiPriority w:val="0"/>
  </w:style>
  <w:style w:type="paragraph" w:customStyle="1" w:styleId="164">
    <w:name w:val="style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5">
    <w:name w:val="Char1"/>
    <w:basedOn w:val="1"/>
    <w:qFormat/>
    <w:uiPriority w:val="0"/>
    <w:pPr>
      <w:jc w:val="left"/>
    </w:pPr>
    <w:rPr>
      <w:rFonts w:ascii="Tahoma" w:hAnsi="Tahoma"/>
      <w:sz w:val="24"/>
      <w:szCs w:val="20"/>
    </w:rPr>
  </w:style>
  <w:style w:type="paragraph" w:customStyle="1" w:styleId="166">
    <w:name w:val="编号1"/>
    <w:basedOn w:val="1"/>
    <w:qFormat/>
    <w:uiPriority w:val="0"/>
    <w:pPr>
      <w:numPr>
        <w:ilvl w:val="0"/>
        <w:numId w:val="6"/>
      </w:numPr>
      <w:adjustRightInd w:val="0"/>
      <w:spacing w:line="300" w:lineRule="auto"/>
      <w:ind w:right="210"/>
      <w:textAlignment w:val="center"/>
    </w:pPr>
    <w:rPr>
      <w:rFonts w:ascii="宋体" w:hAnsi="宋体"/>
      <w:snapToGrid w:val="0"/>
      <w:spacing w:val="10"/>
      <w:kern w:val="24"/>
    </w:rPr>
  </w:style>
  <w:style w:type="paragraph" w:customStyle="1" w:styleId="167">
    <w:name w:val="Char Char Char 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68">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69">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70">
    <w:name w:val="font6"/>
    <w:basedOn w:val="1"/>
    <w:qFormat/>
    <w:uiPriority w:val="0"/>
    <w:pPr>
      <w:widowControl/>
      <w:spacing w:before="100" w:beforeAutospacing="1" w:after="100" w:afterAutospacing="1"/>
      <w:jc w:val="left"/>
    </w:pPr>
    <w:rPr>
      <w:kern w:val="0"/>
      <w:sz w:val="24"/>
    </w:rPr>
  </w:style>
  <w:style w:type="paragraph" w:customStyle="1" w:styleId="171">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17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73">
    <w:name w:val="表格字"/>
    <w:basedOn w:val="1"/>
    <w:qFormat/>
    <w:uiPriority w:val="0"/>
    <w:pPr>
      <w:adjustRightInd w:val="0"/>
      <w:jc w:val="center"/>
    </w:pPr>
    <w:rPr>
      <w:rFonts w:ascii="宋体"/>
      <w:sz w:val="24"/>
      <w:szCs w:val="20"/>
    </w:rPr>
  </w:style>
  <w:style w:type="character" w:customStyle="1" w:styleId="174">
    <w:name w:val="样式 小三 加粗"/>
    <w:qFormat/>
    <w:uiPriority w:val="0"/>
    <w:rPr>
      <w:rFonts w:eastAsia="宋体"/>
      <w:b/>
      <w:bCs/>
      <w:sz w:val="32"/>
    </w:rPr>
  </w:style>
  <w:style w:type="paragraph" w:customStyle="1" w:styleId="17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6">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77">
    <w:name w:val="Char Char Char"/>
    <w:basedOn w:val="1"/>
    <w:qFormat/>
    <w:uiPriority w:val="0"/>
    <w:rPr>
      <w:rFonts w:ascii="Tahoma" w:hAnsi="Tahoma"/>
      <w:sz w:val="24"/>
      <w:szCs w:val="20"/>
    </w:rPr>
  </w:style>
  <w:style w:type="paragraph" w:customStyle="1" w:styleId="178">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79">
    <w:name w:val="info4"/>
    <w:basedOn w:val="46"/>
    <w:qFormat/>
    <w:uiPriority w:val="0"/>
  </w:style>
  <w:style w:type="paragraph" w:customStyle="1" w:styleId="180">
    <w:name w:val="缩进正文"/>
    <w:basedOn w:val="1"/>
    <w:link w:val="181"/>
    <w:qFormat/>
    <w:uiPriority w:val="0"/>
    <w:pPr>
      <w:ind w:firstLine="560" w:firstLineChars="200"/>
    </w:pPr>
    <w:rPr>
      <w:rFonts w:eastAsia="仿宋_GB2312" w:cs="宋体"/>
      <w:sz w:val="28"/>
      <w:szCs w:val="20"/>
    </w:rPr>
  </w:style>
  <w:style w:type="character" w:customStyle="1" w:styleId="181">
    <w:name w:val="缩进正文 Char"/>
    <w:link w:val="180"/>
    <w:qFormat/>
    <w:uiPriority w:val="0"/>
    <w:rPr>
      <w:rFonts w:eastAsia="仿宋_GB2312" w:cs="宋体"/>
      <w:kern w:val="2"/>
      <w:sz w:val="28"/>
      <w:lang w:val="en-US" w:eastAsia="zh-CN" w:bidi="ar-SA"/>
    </w:rPr>
  </w:style>
  <w:style w:type="paragraph" w:customStyle="1" w:styleId="182">
    <w:name w:val="列出段落1"/>
    <w:basedOn w:val="1"/>
    <w:qFormat/>
    <w:uiPriority w:val="0"/>
    <w:pPr>
      <w:ind w:firstLine="420" w:firstLineChars="200"/>
    </w:pPr>
    <w:rPr>
      <w:rFonts w:ascii="Calibri" w:hAnsi="Calibri" w:cs="Calibri"/>
      <w:szCs w:val="21"/>
    </w:rPr>
  </w:style>
  <w:style w:type="character" w:customStyle="1" w:styleId="183">
    <w:name w:val="批注文字 字符"/>
    <w:basedOn w:val="46"/>
    <w:link w:val="19"/>
    <w:qFormat/>
    <w:uiPriority w:val="99"/>
    <w:rPr>
      <w:rFonts w:ascii="宋体"/>
      <w:sz w:val="34"/>
    </w:rPr>
  </w:style>
  <w:style w:type="character" w:customStyle="1" w:styleId="184">
    <w:name w:val="批注主题 字符"/>
    <w:basedOn w:val="183"/>
    <w:link w:val="41"/>
    <w:qFormat/>
    <w:uiPriority w:val="99"/>
    <w:rPr>
      <w:rFonts w:ascii="宋体"/>
      <w:sz w:val="34"/>
    </w:rPr>
  </w:style>
  <w:style w:type="paragraph" w:customStyle="1" w:styleId="185">
    <w:name w:val="评价"/>
    <w:basedOn w:val="1"/>
    <w:qFormat/>
    <w:uiPriority w:val="0"/>
    <w:pPr>
      <w:spacing w:afterLines="20"/>
      <w:ind w:firstLine="1446" w:firstLineChars="200"/>
    </w:pPr>
    <w:rPr>
      <w:rFonts w:ascii="Calibri" w:hAnsi="Calibri"/>
      <w:sz w:val="24"/>
    </w:rPr>
  </w:style>
  <w:style w:type="paragraph" w:customStyle="1" w:styleId="186">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87">
    <w:name w:val="alt-edited1"/>
    <w:qFormat/>
    <w:uiPriority w:val="0"/>
    <w:rPr>
      <w:color w:val="4D90F0"/>
    </w:rPr>
  </w:style>
  <w:style w:type="character" w:customStyle="1" w:styleId="188">
    <w:name w:val="body text Char1"/>
    <w:qFormat/>
    <w:uiPriority w:val="0"/>
    <w:rPr>
      <w:rFonts w:eastAsia="宋体"/>
      <w:kern w:val="2"/>
      <w:sz w:val="21"/>
      <w:lang w:val="en-US" w:eastAsia="zh-CN" w:bidi="ar-SA"/>
    </w:rPr>
  </w:style>
  <w:style w:type="character" w:customStyle="1" w:styleId="189">
    <w:name w:val="普通(网站) 字符"/>
    <w:link w:val="38"/>
    <w:qFormat/>
    <w:uiPriority w:val="0"/>
    <w:rPr>
      <w:kern w:val="2"/>
      <w:sz w:val="24"/>
      <w:szCs w:val="24"/>
    </w:rPr>
  </w:style>
  <w:style w:type="character" w:customStyle="1" w:styleId="190">
    <w:name w:val="批注文字 Char1"/>
    <w:qFormat/>
    <w:uiPriority w:val="99"/>
    <w:rPr>
      <w:rFonts w:ascii="宋体"/>
      <w:sz w:val="34"/>
    </w:rPr>
  </w:style>
  <w:style w:type="character" w:customStyle="1" w:styleId="191">
    <w:name w:val="正文缩进 Char1"/>
    <w:qFormat/>
    <w:uiPriority w:val="0"/>
    <w:rPr>
      <w:rFonts w:eastAsia="宋体"/>
      <w:kern w:val="2"/>
      <w:sz w:val="21"/>
      <w:lang w:val="en-US" w:eastAsia="zh-CN" w:bidi="ar-SA"/>
    </w:rPr>
  </w:style>
  <w:style w:type="table" w:customStyle="1" w:styleId="192">
    <w:name w:val="网格型1"/>
    <w:basedOn w:val="44"/>
    <w:qFormat/>
    <w:uiPriority w:val="0"/>
    <w:pPr>
      <w:widowControl w:val="0"/>
      <w:jc w:val="both"/>
    </w:pPr>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3">
    <w:name w:val="修订2"/>
    <w:hidden/>
    <w:unhideWhenUsed/>
    <w:qFormat/>
    <w:uiPriority w:val="99"/>
    <w:rPr>
      <w:rFonts w:ascii="Times New Roman" w:hAnsi="Times New Roman" w:eastAsia="宋体" w:cs="Times New Roman"/>
      <w:kern w:val="2"/>
      <w:sz w:val="21"/>
      <w:szCs w:val="24"/>
      <w:lang w:val="en-US" w:eastAsia="zh-CN" w:bidi="ar-SA"/>
    </w:rPr>
  </w:style>
  <w:style w:type="paragraph" w:styleId="194">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195">
    <w:name w:val="Revision"/>
    <w:hidden/>
    <w:unhideWhenUsed/>
    <w:qFormat/>
    <w:uiPriority w:val="99"/>
    <w:rPr>
      <w:rFonts w:ascii="Times New Roman" w:hAnsi="Times New Roman" w:eastAsia="宋体" w:cs="Times New Roman"/>
      <w:kern w:val="2"/>
      <w:sz w:val="21"/>
      <w:szCs w:val="24"/>
      <w:lang w:val="en-US" w:eastAsia="zh-CN" w:bidi="ar-SA"/>
    </w:rPr>
  </w:style>
  <w:style w:type="table" w:customStyle="1" w:styleId="196">
    <w:name w:val="网格型2"/>
    <w:basedOn w:val="4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paragraph" w:customStyle="1" w:styleId="197">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kern w:val="0"/>
      <w:sz w:val="21"/>
      <w:szCs w:val="20"/>
      <w:lang w:val="en-US" w:eastAsia="zh-CN" w:bidi="ar-SA"/>
    </w:rPr>
  </w:style>
  <w:style w:type="paragraph" w:customStyle="1" w:styleId="198">
    <w:name w:val="正文表标题"/>
    <w:next w:val="197"/>
    <w:qFormat/>
    <w:uiPriority w:val="0"/>
    <w:pPr>
      <w:numPr>
        <w:ilvl w:val="0"/>
        <w:numId w:val="7"/>
      </w:numPr>
      <w:tabs>
        <w:tab w:val="left" w:pos="360"/>
      </w:tabs>
      <w:spacing w:beforeLines="50" w:afterLines="50"/>
      <w:jc w:val="center"/>
    </w:pPr>
    <w:rPr>
      <w:rFonts w:ascii="黑体" w:hAnsi="Times New Roman" w:eastAsia="黑体" w:cs="Times New Roman"/>
      <w:kern w:val="0"/>
      <w:sz w:val="21"/>
      <w:szCs w:val="20"/>
      <w:lang w:val="en-US" w:eastAsia="zh-CN" w:bidi="ar-SA"/>
    </w:rPr>
  </w:style>
  <w:style w:type="paragraph" w:customStyle="1" w:styleId="199">
    <w:name w:val="字母编号列项（一级）"/>
    <w:qFormat/>
    <w:uiPriority w:val="0"/>
    <w:pPr>
      <w:numPr>
        <w:ilvl w:val="0"/>
        <w:numId w:val="8"/>
      </w:numPr>
      <w:jc w:val="both"/>
    </w:pPr>
    <w:rPr>
      <w:rFonts w:ascii="宋体" w:hAnsi="Times New Roman" w:eastAsia="宋体" w:cs="Times New Roman"/>
      <w:kern w:val="0"/>
      <w:sz w:val="21"/>
      <w:szCs w:val="20"/>
      <w:lang w:val="en-US" w:eastAsia="zh-CN" w:bidi="ar-SA"/>
    </w:rPr>
  </w:style>
  <w:style w:type="paragraph" w:customStyle="1" w:styleId="200">
    <w:name w:val="三级无"/>
    <w:basedOn w:val="201"/>
    <w:qFormat/>
    <w:uiPriority w:val="0"/>
    <w:pPr>
      <w:numPr>
        <w:ilvl w:val="3"/>
        <w:numId w:val="9"/>
      </w:numPr>
      <w:spacing w:beforeLines="0" w:afterLines="0"/>
    </w:pPr>
  </w:style>
  <w:style w:type="paragraph" w:customStyle="1" w:styleId="201">
    <w:name w:val="三级条标题"/>
    <w:basedOn w:val="202"/>
    <w:next w:val="197"/>
    <w:qFormat/>
    <w:uiPriority w:val="0"/>
    <w:pPr>
      <w:numPr>
        <w:ilvl w:val="0"/>
        <w:numId w:val="0"/>
      </w:numPr>
      <w:outlineLvl w:val="4"/>
    </w:pPr>
  </w:style>
  <w:style w:type="paragraph" w:customStyle="1" w:styleId="202">
    <w:name w:val="二级条标题"/>
    <w:basedOn w:val="203"/>
    <w:next w:val="197"/>
    <w:qFormat/>
    <w:uiPriority w:val="0"/>
    <w:pPr>
      <w:numPr>
        <w:ilvl w:val="2"/>
      </w:numPr>
      <w:spacing w:before="50" w:after="50"/>
      <w:outlineLvl w:val="3"/>
    </w:pPr>
  </w:style>
  <w:style w:type="paragraph" w:customStyle="1" w:styleId="203">
    <w:name w:val="一级条标题"/>
    <w:next w:val="197"/>
    <w:qFormat/>
    <w:uiPriority w:val="0"/>
    <w:pPr>
      <w:numPr>
        <w:ilvl w:val="1"/>
        <w:numId w:val="9"/>
      </w:numPr>
      <w:spacing w:beforeLines="50" w:afterLines="50"/>
      <w:outlineLvl w:val="2"/>
    </w:pPr>
    <w:rPr>
      <w:rFonts w:ascii="黑体" w:hAnsi="Times New Roman" w:eastAsia="黑体" w:cs="Times New Roman"/>
      <w:kern w:val="0"/>
      <w:sz w:val="21"/>
      <w:szCs w:val="21"/>
      <w:lang w:val="en-US" w:eastAsia="zh-CN" w:bidi="ar-SA"/>
    </w:rPr>
  </w:style>
  <w:style w:type="paragraph" w:customStyle="1" w:styleId="204">
    <w:name w:val="_Style 1"/>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2c02d6f6-9ff9-4e79-800c-2145d6bfe7a7</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606CC9B1</paraID>
      <start xmlns="http://schemas.wps.cn/vas-ai-hub/contract-review">311</start>
      <end xmlns="http://schemas.wps.cn/vas-ai-hub/contract-review">316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de8c058f-4e7d-49c6-9524-d129e14744ab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7F684D2A</paraID>
      <start xmlns="http://schemas.wps.cn/vas-ai-hub/contract-review">39</start>
      <end xmlns="http://schemas.wps.cn/vas-ai-hub/contract-review">40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6fd9079b-242c-418f-aad0-f6677f5ee54f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7F684D2A</paraID>
      <start xmlns="http://schemas.wps.cn/vas-ai-hub/contract-review">47</start>
      <end xmlns="http://schemas.wps.cn/vas-ai-hub/contract-review">48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5262a739-24fe-4cfd-bcb0-75d63dfc2733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7F684D2A</paraID>
      <start xmlns="http://schemas.wps.cn/vas-ai-hub/contract-review">69</start>
      <end xmlns="http://schemas.wps.cn/vas-ai-hub/contract-review">70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dcbbe804-4616-4872-b075-e3a1953a90f1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7F684D2A</paraID>
      <start xmlns="http://schemas.wps.cn/vas-ai-hub/contract-review">74</start>
      <end xmlns="http://schemas.wps.cn/vas-ai-hub/contract-review">75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f1a6e77a-cda7-40cb-a0f1-0a2c8b95a2d6</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71CFE11B</paraID>
      <start xmlns="http://schemas.wps.cn/vas-ai-hub/contract-review">0</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c4ae7340-6846-408c-a4a0-f6b38ae1ddbd</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3DD10D4C</paraID>
      <start xmlns="http://schemas.wps.cn/vas-ai-hub/contract-review">50</start>
      <end xmlns="http://schemas.wps.cn/vas-ai-hub/contract-review">51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b7707c69-2161-4dfd-bc67-d609187ef059</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52E1CC93</paraID>
      <start xmlns="http://schemas.wps.cn/vas-ai-hub/contract-review">50</start>
      <end xmlns="http://schemas.wps.cn/vas-ai-hub/contract-review">51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e1b47c12-0d39-49e2-aab1-e611733571bd</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3A0EA8A5</paraID>
      <start xmlns="http://schemas.wps.cn/vas-ai-hub/contract-review">35</start>
      <end xmlns="http://schemas.wps.cn/vas-ai-hub/contract-review">36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f3a26d57-001d-41a3-b5e9-3c624b13d281</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30436F07</paraID>
      <start xmlns="http://schemas.wps.cn/vas-ai-hub/contract-review">69</start>
      <end xmlns="http://schemas.wps.cn/vas-ai-hub/contract-review">70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adc4eb90-df6c-461e-9741-c6fd3f6ced40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2DB7DCB5</paraID>
      <start xmlns="http://schemas.wps.cn/vas-ai-hub/contract-review">75</start>
      <end xmlns="http://schemas.wps.cn/vas-ai-hub/contract-review">76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7e03051d-934f-465e-8fcf-84fd2947c55b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2DB7DCB5</paraID>
      <start xmlns="http://schemas.wps.cn/vas-ai-hub/contract-review">86</start>
      <end xmlns="http://schemas.wps.cn/vas-ai-hub/contract-review">87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62d1b021-f3c0-4910-ba5b-c47436803408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2DB7DCB5</paraID>
      <start xmlns="http://schemas.wps.cn/vas-ai-hub/contract-review">170</start>
      <end xmlns="http://schemas.wps.cn/vas-ai-hub/contract-review">171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bc377526-86f9-4e6b-8eff-31b5bfe3b5b5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2DB7DCB5</paraID>
      <start xmlns="http://schemas.wps.cn/vas-ai-hub/contract-review">184</start>
      <end xmlns="http://schemas.wps.cn/vas-ai-hub/contract-review">185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1c4162d6-1e86-4f27-b519-7cecd197d19c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54FF06CF</paraID>
      <start xmlns="http://schemas.wps.cn/vas-ai-hub/contract-review">2</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096cd61c-ca56-4eff-9be9-fb72b4ce55dc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54FF06CF</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16d418be-1da1-4646-926a-eaa24bec7b42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 15F6023</paraID>
      <start xmlns="http://schemas.wps.cn/vas-ai-hub/contract-review">2</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bcdb7bea-aeed-4c05-9a6f-0ad4065b33db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 15F6023</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2949f04a-f219-493f-b812-8e369654a056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2ED99857</paraID>
      <start xmlns="http://schemas.wps.cn/vas-ai-hub/contract-review">2</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e03afdcc-076e-45df-90f1-9f2797814ca7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2ED99857</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ba147a90-c9c1-42e6-bf17-a8d1e20e550e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5B787F2B</paraID>
      <start xmlns="http://schemas.wps.cn/vas-ai-hub/contract-review">2</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4f531740-4040-4c60-a195-349037476a70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5B787F2B</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dae69250-96fa-4a57-8fb3-45da3d8cb6d0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item xmlns="http://schemas.wps.cn/vas-ai-hub/contract-review">、</item>
      </candidateList>
      <explain xmlns="http://schemas.wps.cn/vas-ai-hub/contract-review"/>
      <paraID xmlns="http://schemas.wps.cn/vas-ai-hub/contract-review"> 17B2F47</paraID>
      <start xmlns="http://schemas.wps.cn/vas-ai-hub/contract-review">73</start>
      <end xmlns="http://schemas.wps.cn/vas-ai-hub/contract-review">74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a37f4d07-4a52-4e9d-8983-8dcfa463cf3e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5A6A80CD</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c04f4726-f3c3-43be-9426-1bd9564f0359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5A6A80CD</paraID>
      <start xmlns="http://schemas.wps.cn/vas-ai-hub/contract-review">6</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3e77225f-3e35-4ac3-97ba-1b0efbdf111b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item xmlns="http://schemas.wps.cn/vas-ai-hub/contract-review">；</item>
      </candidateList>
      <explain xmlns="http://schemas.wps.cn/vas-ai-hub/contract-review"/>
      <paraID xmlns="http://schemas.wps.cn/vas-ai-hub/contract-review">495A8AB6</paraID>
      <start xmlns="http://schemas.wps.cn/vas-ai-hub/contract-review">78</start>
      <end xmlns="http://schemas.wps.cn/vas-ai-hub/contract-review">79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b44463cb-e53d-4fef-a85c-deffee044e05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8736334</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9eb4f0b5-8202-466f-afe3-a04e594be57e</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F47DFEC</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80fe6b0f-377c-456f-b2cd-f97c1cc5fd03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7FF8F19B</paraID>
      <start xmlns="http://schemas.wps.cn/vas-ai-hub/contract-review">3</start>
      <end xmlns="http://schemas.wps.cn/vas-ai-hub/contract-review">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47b37d64-943c-46e5-a330-72821240bdf3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7FF8F19B</paraID>
      <start xmlns="http://schemas.wps.cn/vas-ai-hub/contract-review">5</start>
      <end xmlns="http://schemas.wps.cn/vas-ai-hub/contract-review">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6d11bc9f-6046-4a7c-a191-980577f983c9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7FF8F19B</paraID>
      <start xmlns="http://schemas.wps.cn/vas-ai-hub/contract-review">128</start>
      <end xmlns="http://schemas.wps.cn/vas-ai-hub/contract-review">129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bb8e44f0-10da-4d50-907e-ae22ad2f8eb6</errorID>
      <errorWord xmlns="http://schemas.wps.cn/vas-ai-hub/contract-review">10%~20%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10%～20%</item>
      </candidateList>
      <explain xmlns="http://schemas.wps.cn/vas-ai-hub/contract-review">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23B14D6B</paraID>
      <start xmlns="http://schemas.wps.cn/vas-ai-hub/contract-review">70</start>
      <end xmlns="http://schemas.wps.cn/vas-ai-hub/contract-review">77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f888642a-05c1-4a99-a90c-c16cdb0b7c28</errorID>
      <errorWord xmlns="http://schemas.wps.cn/vas-ai-hub/contract-review">4%~6%</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4%～6%</item>
      </candidateList>
      <explain xmlns="http://schemas.wps.cn/vas-ai-hub/contract-review">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23B14D6B</paraID>
      <start xmlns="http://schemas.wps.cn/vas-ai-hub/contract-review">209</start>
      <end xmlns="http://schemas.wps.cn/vas-ai-hub/contract-review">214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04ac564f-a7de-471b-8452-02dd0d97135f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209C157</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8d033b7b-f623-4880-a38b-454f60e7469f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此处标点可能未正确匹配，请检查句子中是否存在标点冗余、缺失或使用错误的情况。</explain>
      <paraID xmlns="http://schemas.wps.cn/vas-ai-hub/contract-review">196B32C5</paraID>
      <start xmlns="http://schemas.wps.cn/vas-ai-hub/contract-review">115</start>
      <end xmlns="http://schemas.wps.cn/vas-ai-hub/contract-review">116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8c7e4f5d-72c6-421a-9c91-276a95df4ff8</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5D54231A</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3c30be9d-66af-4821-ad7f-355939481eb3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6CB4AADE</paraID>
      <start xmlns="http://schemas.wps.cn/vas-ai-hub/contract-review">161</start>
      <end xmlns="http://schemas.wps.cn/vas-ai-hub/contract-review">162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1cbfacf2-2bf4-435d-8785-c0b825a9bba4</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439630B7</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3f33b7e5-2bd6-4d27-98ce-704757546b46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72871102</paraID>
      <start xmlns="http://schemas.wps.cn/vas-ai-hub/contract-review">16</start>
      <end xmlns="http://schemas.wps.cn/vas-ai-hub/contract-review">17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01587268-5055-4620-bf15-33edf5f554cc</errorID>
      <errorWord xmlns="http://schemas.wps.cn/vas-ai-hub/contract-review">100万以下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100万元以下</item>
      </candidateList>
      <explain xmlns="http://schemas.wps.cn/vas-ai-hub/contract-review"/>
      <paraID xmlns="http://schemas.wps.cn/vas-ai-hub/contract-review">646D6CE2</paraID>
      <start xmlns="http://schemas.wps.cn/vas-ai-hub/contract-review">9</start>
      <end xmlns="http://schemas.wps.cn/vas-ai-hub/contract-review">16</end>
      <status xmlns="http://schemas.wps.cn/vas-ai-hub/contract-review">modified</status>
      <modifiedWord xmlns="http://schemas.wps.cn/vas-ai-hub/contract-review">100万元以下</modifiedWord>
      <trackRevisions xmlns="http://schemas.wps.cn/vas-ai-hub/contract-review">false</trackRevisions>
    </reviewItem>
    <reviewItem xmlns="http://schemas.wps.cn/vas-ai-hub/contract-review">
      <errorID xmlns="http://schemas.wps.cn/vas-ai-hub/contract-review">2677f384-1699-4c0c-b9b9-b9dc3beeb129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6BA06389</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2cbd8c36-2724-485d-b95e-6605f6009344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34B47DED</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ed0624eb-d7e0-479e-a041-111ff8c77706</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34B47DED</paraID>
      <start xmlns="http://schemas.wps.cn/vas-ai-hub/contract-review">24</start>
      <end xmlns="http://schemas.wps.cn/vas-ai-hub/contract-review">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00b35df7-0bd4-41aa-b085-a806d4a97926</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E0DBE69</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32fed4f4-540c-4780-ade9-6b679b48c3cf</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5148AAC7</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3f2a367c-e9c6-4ea3-98e4-ce9b2b13eac4</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15DFEF7B</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4921dded-e19d-4f77-805d-f7ec63f7c277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item xmlns="http://schemas.wps.cn/vas-ai-hub/contract-review">……</item>
      </candidateList>
      <explain xmlns="http://schemas.wps.cn/vas-ai-hub/contract-review"/>
      <paraID xmlns="http://schemas.wps.cn/vas-ai-hub/contract-review">6F57F559</paraID>
      <start xmlns="http://schemas.wps.cn/vas-ai-hub/contract-review">0</start>
      <end xmlns="http://schemas.wps.cn/vas-ai-hub/contract-review">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37733db9-b7aa-490f-b39f-12f5ee95f54a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item xmlns="http://schemas.wps.cn/vas-ai-hub/contract-review">……</item>
      </candidateList>
      <explain xmlns="http://schemas.wps.cn/vas-ai-hub/contract-review"/>
      <paraID xmlns="http://schemas.wps.cn/vas-ai-hub/contract-review">448B9934</paraID>
      <start xmlns="http://schemas.wps.cn/vas-ai-hub/contract-review">0</start>
      <end xmlns="http://schemas.wps.cn/vas-ai-hub/contract-review">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b1fae07d-3b0d-4a78-aadf-fe9bafd7b792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160C7E7F</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8e05b01e-41a6-4382-af9d-308abc8d1346</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4D4D176E</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75849740-3be4-4bdc-a018-e3e18cc10adf</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97B3524</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0a8db25f-7bf7-4d4d-ad38-56910bd2bf79</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75691166</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7bbd3bc1-a16f-4da2-913d-8dff75252075</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61D7FC35</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c57bb7fd-68d8-4903-bdb4-c99a49682f51</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1662F64A</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1dc5a6c3-2179-4662-812a-de00d7fd0d8e</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1662F64A</paraID>
      <start xmlns="http://schemas.wps.cn/vas-ai-hub/contract-review">26</start>
      <end xmlns="http://schemas.wps.cn/vas-ai-hub/contract-review">28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4794c154-e126-4108-a43f-169210516ea9</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F75767B</paraID>
      <start xmlns="http://schemas.wps.cn/vas-ai-hub/contract-review">0</start>
      <end xmlns="http://schemas.wps.cn/vas-ai-hub/contract-review">2</end>
      <status xmlns="http://schemas.wps.cn/vas-ai-hub/contract-review">modified</status>
      <modifiedWord xmlns="http://schemas.wps.cn/vas-ai-hub/contract-review">7.</modifiedWord>
      <trackRevisions xmlns="http://schemas.wps.cn/vas-ai-hub/contract-review">false</trackRevisions>
    </reviewItem>
    <reviewItem xmlns="http://schemas.wps.cn/vas-ai-hub/contract-review">
      <errorID xmlns="http://schemas.wps.cn/vas-ai-hub/contract-review">7d76e331-3b51-4fb7-8caa-37cb5ce9bc02</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516F8D13</paraID>
      <start xmlns="http://schemas.wps.cn/vas-ai-hub/contract-review">122</start>
      <end xmlns="http://schemas.wps.cn/vas-ai-hub/contract-review">123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3b654c9a-3c7d-40be-908e-17cc6a58c2e4</errorID>
      <errorWord xmlns="http://schemas.wps.cn/vas-ai-hub/contract-review">&gt;的通知》</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item xmlns="http://schemas.wps.cn/vas-ai-hub/contract-review">〉的通知》</item>
      </candidateList>
      <explain xmlns="http://schemas.wps.cn/vas-ai-hub/contract-review"/>
      <paraID xmlns="http://schemas.wps.cn/vas-ai-hub/contract-review">516F8D13</paraID>
      <start xmlns="http://schemas.wps.cn/vas-ai-hub/contract-review">141</start>
      <end xmlns="http://schemas.wps.cn/vas-ai-hub/contract-review">146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64e1a13d-21eb-4730-8e92-2b38c2b0f415</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597C9D36</paraID>
      <start xmlns="http://schemas.wps.cn/vas-ai-hub/contract-review">40</start>
      <end xmlns="http://schemas.wps.cn/vas-ai-hub/contract-review">41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a69e22dd-aac9-425d-8161-a37d256586d3</errorID>
      <errorWord xmlns="http://schemas.wps.cn/vas-ai-hub/contract-review">&gt;的通知》</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item xmlns="http://schemas.wps.cn/vas-ai-hub/contract-review">〉的通知》</item>
      </candidateList>
      <explain xmlns="http://schemas.wps.cn/vas-ai-hub/contract-review"/>
      <paraID xmlns="http://schemas.wps.cn/vas-ai-hub/contract-review">597C9D36</paraID>
      <start xmlns="http://schemas.wps.cn/vas-ai-hub/contract-review">62</start>
      <end xmlns="http://schemas.wps.cn/vas-ai-hub/contract-review">67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368722e6-c614-49b5-86c4-831c766a1c13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 B6048A4</paraID>
      <start xmlns="http://schemas.wps.cn/vas-ai-hub/contract-review">36</start>
      <end xmlns="http://schemas.wps.cn/vas-ai-hub/contract-review">37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1e20ed1e-1abc-4da8-853d-5520617b79c3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 B6048A4</paraID>
      <start xmlns="http://schemas.wps.cn/vas-ai-hub/contract-review">45</start>
      <end xmlns="http://schemas.wps.cn/vas-ai-hub/contract-review">46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98a0b17f-6e49-4418-8eea-49e944cc7999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15D76601</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e37d5efc-f11d-46da-84c3-be0c19f03a73</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2E7D9390</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32119414-e9c8-4823-a245-f2141ade6740</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7854E03D</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31bdc392-4675-4397-9cdc-89e0a753d227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45948407</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a2ab3c14-3cfb-4e48-babb-be290bb84307</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217AD712</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8619a0ab-dc44-43e0-8fa5-8b47530e83a1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217AD712</paraID>
      <start xmlns="http://schemas.wps.cn/vas-ai-hub/contract-review">18</start>
      <end xmlns="http://schemas.wps.cn/vas-ai-hub/contract-review">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65b13845-c896-4486-8972-57ac9f64a6a7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217AD712</paraID>
      <start xmlns="http://schemas.wps.cn/vas-ai-hub/contract-review">23</start>
      <end xmlns="http://schemas.wps.cn/vas-ai-hub/contract-review">24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34e61386-ca35-47d6-b85a-f68e489ef229</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C47C672</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65c0bf5e-280f-4a8a-928e-307cdbe3387d</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280314A6</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4bc87537-eb89-4d48-b194-6674f9d03deb</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48201973</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11acdd4d-6141-452b-8703-9770d29d592a</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19382286</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06323376-597c-488d-a5c1-4aa615d76bfb</errorID>
      <errorWord xmlns="http://schemas.wps.cn/vas-ai-hub/contract-review">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于以</item>
      </candidateList>
      <explain xmlns="http://schemas.wps.cn/vas-ai-hub/contract-review"/>
      <paraID xmlns="http://schemas.wps.cn/vas-ai-hub/contract-review">6D51034E</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1cbf3740-2b9c-420f-b869-0c3d033938de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7F1AF0AD</paraID>
      <start xmlns="http://schemas.wps.cn/vas-ai-hub/contract-review">59</start>
      <end xmlns="http://schemas.wps.cn/vas-ai-hub/contract-review">60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68d30c5b-01a0-4a91-ad46-2a30b5915f48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7F1AF0AD</paraID>
      <start xmlns="http://schemas.wps.cn/vas-ai-hub/contract-review">64</start>
      <end xmlns="http://schemas.wps.cn/vas-ai-hub/contract-review">65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f74fa7e1-f9dd-461e-ba30-0c2d24130fbb</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7F1AF0AD</paraID>
      <start xmlns="http://schemas.wps.cn/vas-ai-hub/contract-review">92</start>
      <end xmlns="http://schemas.wps.cn/vas-ai-hub/contract-review">93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bc1f9e0e-33b9-4432-8f3b-83ebb5bcc4dd</errorID>
      <errorWord xmlns="http://schemas.wps.cn/vas-ai-hub/contract-review">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于以</item>
      </candidateList>
      <explain xmlns="http://schemas.wps.cn/vas-ai-hub/contract-review"/>
      <paraID xmlns="http://schemas.wps.cn/vas-ai-hub/contract-review">7F1AF0AD</paraID>
      <start xmlns="http://schemas.wps.cn/vas-ai-hub/contract-review">115</start>
      <end xmlns="http://schemas.wps.cn/vas-ai-hub/contract-review">116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a7e868d2-7ea5-492c-b13a-2df4fac860c3</errorID>
      <errorWord xmlns="http://schemas.wps.cn/vas-ai-hub/contract-review">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于以</item>
      </candidateList>
      <explain xmlns="http://schemas.wps.cn/vas-ai-hub/contract-review"/>
      <paraID xmlns="http://schemas.wps.cn/vas-ai-hub/contract-review">6E322EBD</paraID>
      <start xmlns="http://schemas.wps.cn/vas-ai-hub/contract-review">118</start>
      <end xmlns="http://schemas.wps.cn/vas-ai-hub/contract-review">119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1b3fd8c4-9bc7-408a-8db6-38c107ed1b90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4ABBF75B</paraID>
      <start xmlns="http://schemas.wps.cn/vas-ai-hub/contract-review">14</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50ddad44-ba90-4a02-b2ef-edac6217195e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4ABBF75B</paraID>
      <start xmlns="http://schemas.wps.cn/vas-ai-hub/contract-review">20</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797e3198-187d-4135-8106-1da7216abf44</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6D7C28A</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fcbe4c48-e0c0-49e9-b3a8-89fb390f5c98</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2D131300</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7b69d174-5b09-4172-822c-70c279ad39ec</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5383A563</paraID>
      <start xmlns="http://schemas.wps.cn/vas-ai-hub/contract-review">0</start>
      <end xmlns="http://schemas.wps.cn/vas-ai-hub/contract-review">2</end>
      <status xmlns="http://schemas.wps.cn/vas-ai-hub/contract-review">modified</status>
      <modifiedWord xmlns="http://schemas.wps.cn/vas-ai-hub/contract-review">7.</modifiedWord>
      <trackRevisions xmlns="http://schemas.wps.cn/vas-ai-hub/contract-review">false</trackRevisions>
    </reviewItem>
    <reviewItem xmlns="http://schemas.wps.cn/vas-ai-hub/contract-review">
      <errorID xmlns="http://schemas.wps.cn/vas-ai-hub/contract-review">c4a09d60-67f0-409b-9291-cc40034a096f</errorID>
      <errorWord xmlns="http://schemas.wps.cn/vas-ai-hub/contract-review">《政府采购法》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《中华人民共和国政府采购法》</item>
      </candidateList>
      <explain xmlns="http://schemas.wps.cn/vas-ai-hub/contract-review"/>
      <paraID xmlns="http://schemas.wps.cn/vas-ai-hub/contract-review">560E4AD3</paraID>
      <start xmlns="http://schemas.wps.cn/vas-ai-hub/contract-review">194</start>
      <end xmlns="http://schemas.wps.cn/vas-ai-hub/contract-review">201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5b2c0594-1f4b-4443-9ff7-3e46b53f8771</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61417FCA</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63f284c5-5c8f-4270-8c7e-a000e2c107ee</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11B6B8EF</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e5d3ccd4-5845-4f1a-82f1-b499634be1c7</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57DFCCDB</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2426dbd5-56cb-4f67-b490-d1bb57c86a27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3CA15A0B</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4b83738a-ba06-4f63-b969-2346f4974e2e</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23143333</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8bee1829-75e4-4e9f-889a-d5ad93e336ad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5B2FDC6</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3445c445-4a74-4737-af00-df92edde1ecb</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 5B2FDC6</paraID>
      <start xmlns="http://schemas.wps.cn/vas-ai-hub/contract-review">10</start>
      <end xmlns="http://schemas.wps.cn/vas-ai-hub/contract-review">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e70eebcd-122d-4ca0-897e-3bae283553df</errorID>
      <errorWord xmlns="http://schemas.wps.cn/vas-ai-hub/contract-review">&gt;</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 5B2FDC6</paraID>
      <start xmlns="http://schemas.wps.cn/vas-ai-hub/contract-review">41</start>
      <end xmlns="http://schemas.wps.cn/vas-ai-hub/contract-review">42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885ebbd9-0483-4eaa-ac8a-76cbd57c9a0b</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19EF8008</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470f9f4a-73d0-4287-b015-90ba9fe8a5ea</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6E25966D</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6d838fc9-7787-4d08-9ab3-dabbe1fa9dfa</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4629D7D6</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c884dd20-4ac6-48c3-80c3-ce047c28382a</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4FC5C10E</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d5852f8e-8d63-428a-9520-fe2128b25fbd</errorID>
      <errorWord xmlns="http://schemas.wps.cn/vas-ai-hub/contract-review">股东大会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股东会</item>
      </candidateList>
      <explain xmlns="http://schemas.wps.cn/vas-ai-hub/contract-review"/>
      <paraID xmlns="http://schemas.wps.cn/vas-ai-hub/contract-review"> D29C673</paraID>
      <start xmlns="http://schemas.wps.cn/vas-ai-hub/contract-review">102</start>
      <end xmlns="http://schemas.wps.cn/vas-ai-hub/contract-review">106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f1dcc3e4-654b-4099-a757-4dc967286a6b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
      <paraID xmlns="http://schemas.wps.cn/vas-ai-hub/contract-review">674045B6</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e6c39b07-37d4-4f5a-901f-cd52d4fdad81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
      <paraID xmlns="http://schemas.wps.cn/vas-ai-hub/contract-review">45D07F8D</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162247cf-5621-41c1-bde7-d1d4682ecb73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
      <paraID xmlns="http://schemas.wps.cn/vas-ai-hub/contract-review">250DD45B</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7bcf2aae-0e78-451d-967c-169e50c39d65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1900A4C6</paraID>
      <start xmlns="http://schemas.wps.cn/vas-ai-hub/contract-review">2</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7e1c7bed-f47b-4c12-bfc6-55ce7196fe7b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1900A4C6</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7a4417e8-6415-425f-b5c9-95a4b05214c0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6EB2BF60</paraID>
      <start xmlns="http://schemas.wps.cn/vas-ai-hub/contract-review">17</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2fd17580-fea6-49f2-8917-d804f336cf77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10BE42A1</paraID>
      <start xmlns="http://schemas.wps.cn/vas-ai-hub/contract-review">28</start>
      <end xmlns="http://schemas.wps.cn/vas-ai-hub/contract-review">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39157405-9d8e-4130-ac48-7b5ae0466533</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74D359A7</paraID>
      <start xmlns="http://schemas.wps.cn/vas-ai-hub/contract-review">9</start>
      <end xmlns="http://schemas.wps.cn/vas-ai-hub/contract-review">14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3d649575-b830-4cb1-a49d-39a55bc2efe8</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5E19A3C2</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a66b55fb-4ba9-4525-bfdc-a3c3902a9621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4E4C4561</paraID>
      <start xmlns="http://schemas.wps.cn/vas-ai-hub/contract-review">217</start>
      <end xmlns="http://schemas.wps.cn/vas-ai-hub/contract-review">218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af89a5a1-6063-4938-9465-1a45bee9c072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item xmlns="http://schemas.wps.cn/vas-ai-hub/contract-review">)</item>
      </candidateList>
      <explain xmlns="http://schemas.wps.cn/vas-ai-hub/contract-review"/>
      <paraID xmlns="http://schemas.wps.cn/vas-ai-hub/contract-review">4E4C4561</paraID>
      <start xmlns="http://schemas.wps.cn/vas-ai-hub/contract-review">265</start>
      <end xmlns="http://schemas.wps.cn/vas-ai-hub/contract-review">267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31701403-ecae-429f-be6d-a61a7308176c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item xmlns="http://schemas.wps.cn/vas-ai-hub/contract-review">）</item>
      </candidateList>
      <explain xmlns="http://schemas.wps.cn/vas-ai-hub/contract-review"/>
      <paraID xmlns="http://schemas.wps.cn/vas-ai-hub/contract-review">4E4C4561</paraID>
      <start xmlns="http://schemas.wps.cn/vas-ai-hub/contract-review">308</start>
      <end xmlns="http://schemas.wps.cn/vas-ai-hub/contract-review">310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d57025d8-8eb1-4c2c-b4e2-e85535bd4d06</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15B94A4D</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72f8db5f-d7a4-44f5-a0a9-ec3a6c168596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此处标点可能未正确匹配，请检查句子中是否存在标点冗余、缺失或使用错误的情况。</explain>
      <paraID xmlns="http://schemas.wps.cn/vas-ai-hub/contract-review">7FBF444D</paraID>
      <start xmlns="http://schemas.wps.cn/vas-ai-hub/contract-review">71</start>
      <end xmlns="http://schemas.wps.cn/vas-ai-hub/contract-review">72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6aff82f5-2138-4f25-900d-7f2f17282b8a</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78FA9B8</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b6441406-81c7-4bbb-8151-d7f6f2b0c855</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59E30437</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11c36114-6c2a-4d25-b225-14f69111e468</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7E9451EC</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0a7518f9-c9a4-469a-b504-56172dcb24d6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5B804046</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e0dde634-84b4-4e29-93e0-ce571abf86ee</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29CE687E</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431c2a9f-6b50-4d59-8f23-d60e298ac9f6</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66DF6A64</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032c5cef-f455-454b-aa8d-291ce4f9d248</errorID>
      <errorWord xmlns="http://schemas.wps.cn/vas-ai-hub/contract-review">１</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1</item>
      </candidateList>
      <explain xmlns="http://schemas.wps.cn/vas-ai-hub/contract-review">文本全半角错误。</explain>
      <paraID xmlns="http://schemas.wps.cn/vas-ai-hub/contract-review">1FF23F81</paraID>
      <start xmlns="http://schemas.wps.cn/vas-ai-hub/contract-review">0</start>
      <end xmlns="http://schemas.wps.cn/vas-ai-hub/contract-review">1</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d9868d04-813c-4418-bc8d-e24c7f9dce5b</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3148688</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5c241f45-1172-4c38-8182-7a8fae7abfe1</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1A0554C7</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c154d18f-3e3a-4bfa-adca-7d2bae246155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63D3EDD4</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72891022-e4b7-4d48-8ae7-842d1300b0b0</errorID>
      <errorWord xmlns="http://schemas.wps.cn/vas-ai-hub/contract-review">相关的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相关</item>
      </candidateList>
      <explain xmlns="http://schemas.wps.cn/vas-ai-hub/contract-review">〈动〉彼此关连：休戚～｜体育事业和人民健康密切～。</explain>
      <paraID xmlns="http://schemas.wps.cn/vas-ai-hub/contract-review">63D3EDD4</paraID>
      <start xmlns="http://schemas.wps.cn/vas-ai-hub/contract-review">16</start>
      <end xmlns="http://schemas.wps.cn/vas-ai-hub/contract-review">18</end>
      <status xmlns="http://schemas.wps.cn/vas-ai-hub/contract-review">modified</status>
      <modifiedWord xmlns="http://schemas.wps.cn/vas-ai-hub/contract-review">相关</modifiedWord>
      <trackRevisions xmlns="http://schemas.wps.cn/vas-ai-hub/contract-review">false</trackRevisions>
    </reviewItem>
    <reviewItem xmlns="http://schemas.wps.cn/vas-ai-hub/contract-review">
      <errorID xmlns="http://schemas.wps.cn/vas-ai-hub/contract-review">6ceb0d23-d66d-47a0-8dc0-1fa9ae823d73</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3FDC35B1</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5a4414fa-3404-4cb4-93e7-e11922eeb2a4</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6F821DA2</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2e162025-c507-4907-855c-3ff5ae243e9c</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2BD0F2C4</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c92d9248-03cc-43bb-ba4b-787df1a3b262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433096A8</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98c2e0d8-62af-46b0-813b-4834444aa377</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1A6C26FC</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a46b6109-7a38-47ae-a860-6ebc49252024</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41763B9D</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f98d58d6-8cb3-4ce8-a253-40fa694dd527</errorID>
      <errorWord xmlns="http://schemas.wps.cn/vas-ai-hub/contract-review">违约责任，赔偿</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违约责任，并赔偿</item>
      </candidateList>
      <explain xmlns="http://schemas.wps.cn/vas-ai-hub/contract-review"/>
      <paraID xmlns="http://schemas.wps.cn/vas-ai-hub/contract-review">41763B9D</paraID>
      <start xmlns="http://schemas.wps.cn/vas-ai-hub/contract-review">24</start>
      <end xmlns="http://schemas.wps.cn/vas-ai-hub/contract-review">31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d096a439-6c74-4430-bdd9-00bb64b9dfab</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4C6522C1</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31e79c87-5290-40a9-97d8-49e28fc5357f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B018790</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ea3153b2-bb0e-42e7-b3cd-9f44108c35f7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7F4981A3</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ce83c950-a885-4adb-b4ac-e4356e760bf1</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2F1D1A96</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1831d085-f317-40fa-b35d-08c57c5b97ca</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100149CD</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7a9eb300-988c-47f1-9f08-8a4576a80ed9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2557E209</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020e1cab-f90f-44f0-8e4d-48b1c769b845</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1508600B</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e49aec79-97be-4109-85d6-5bda885e4207</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1B6679DD</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c51e71e4-1a72-4d47-aa50-92cb991e0736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58BFB2C1</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b4ba0a71-5719-457d-b743-ec7cad1ca3cd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3B3BEC8F</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d12fa129-0854-41a7-bc71-ac2c946d12e8</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1770A47B</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68806b9e-23e0-445b-973f-35f8cfb00b82</errorID>
      <errorWord xmlns="http://schemas.wps.cn/vas-ai-hub/contract-review">不得泄漏给除甲方或其</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不得泄露给除甲方或其</item>
      </candidateList>
      <explain xmlns="http://schemas.wps.cn/vas-ai-hub/contract-review">词汇[不得泄漏给除甲方或其]为不规范表述或旧称，其规范书面表述为[不得泄露给除甲方或其]。</explain>
      <paraID xmlns="http://schemas.wps.cn/vas-ai-hub/contract-review">1770A47B</paraID>
      <start xmlns="http://schemas.wps.cn/vas-ai-hub/contract-review">59</start>
      <end xmlns="http://schemas.wps.cn/vas-ai-hub/contract-review">69</end>
      <status xmlns="http://schemas.wps.cn/vas-ai-hub/contract-review">modified</status>
      <modifiedWord xmlns="http://schemas.wps.cn/vas-ai-hub/contract-review">不得泄露给除甲方或其</modifiedWord>
      <trackRevisions xmlns="http://schemas.wps.cn/vas-ai-hub/contract-review">false</trackRevisions>
    </reviewItem>
    <reviewItem xmlns="http://schemas.wps.cn/vas-ai-hub/contract-review">
      <errorID xmlns="http://schemas.wps.cn/vas-ai-hub/contract-review">dfcebe19-097f-476e-9839-c73118fa813a</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5FBADE2B</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332019a5-ccf0-4a02-94c5-158b73cb6aa5</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81B16D2</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b0e38845-4afb-4f43-b2a8-c39ffc454f19</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6C9C5CC</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8df599fe-472b-4a72-981e-99f1f841ed6d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5420099E</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1c65d498-64cd-4db5-a70a-0421927d4880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5420099E</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270f413d-422e-451e-9900-2fc6ce17fec3</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17E903BD</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55d93fe5-32f9-46ff-871e-de84637a0453</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7BF4B3C9</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0c37ded1-962a-4e0b-ac61-4496f916438c</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2B673CEA</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65c39441-c46c-4771-90c4-b053c3574d77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222EB28F</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2c586cf5-261d-4516-afc0-3c24d8a1700d</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13E810BB</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d9bf3962-46c2-41c9-af8e-d74c637c407e</errorID>
      <errorWord xmlns="http://schemas.wps.cn/vas-ai-hub/contract-review">人民法院诉讼解决</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人民法院提起诉讼</item>
      </candidateList>
      <explain xmlns="http://schemas.wps.cn/vas-ai-hub/contract-review"/>
      <paraID xmlns="http://schemas.wps.cn/vas-ai-hub/contract-review">398222A8</paraID>
      <start xmlns="http://schemas.wps.cn/vas-ai-hub/contract-review">36</start>
      <end xmlns="http://schemas.wps.cn/vas-ai-hub/contract-review">44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1c252d1c-f9a5-499d-a6e7-ac1a13515e15</errorID>
      <errorWord xmlns="http://schemas.wps.cn/vas-ai-hub/contract-review">１</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1</item>
      </candidateList>
      <explain xmlns="http://schemas.wps.cn/vas-ai-hub/contract-review">文本全半角错误。</explain>
      <paraID xmlns="http://schemas.wps.cn/vas-ai-hub/contract-review">4989E138</paraID>
      <start xmlns="http://schemas.wps.cn/vas-ai-hub/contract-review">0</start>
      <end xmlns="http://schemas.wps.cn/vas-ai-hub/contract-review">1</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f652383b-3911-4947-974b-67b44b9cca2a</errorID>
      <errorWord xmlns="http://schemas.wps.cn/vas-ai-hub/contract-review">完全地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完全</item>
      </candidateList>
      <explain xmlns="http://schemas.wps.cn/vas-ai-hub/contract-review"/>
      <paraID xmlns="http://schemas.wps.cn/vas-ai-hub/contract-review">4989E138</paraID>
      <start xmlns="http://schemas.wps.cn/vas-ai-hub/contract-review">5</start>
      <end xmlns="http://schemas.wps.cn/vas-ai-hub/contract-review">7</end>
      <status xmlns="http://schemas.wps.cn/vas-ai-hub/contract-review">modified</status>
      <modifiedWord xmlns="http://schemas.wps.cn/vas-ai-hub/contract-review">完全</modifiedWord>
      <trackRevisions xmlns="http://schemas.wps.cn/vas-ai-hub/contract-review">false</trackRevisions>
    </reviewItem>
    <reviewItem xmlns="http://schemas.wps.cn/vas-ai-hub/contract-review">
      <errorID xmlns="http://schemas.wps.cn/vas-ai-hub/contract-review">e6e0979e-4ccb-44b0-a7e6-97d54c11d0e6</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14C8A2F6</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b7a0ad8a-7237-4f87-b50c-3af7226c55f1</errorID>
      <errorWord xmlns="http://schemas.wps.cn/vas-ai-hub/contract-review">１</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1</item>
      </candidateList>
      <explain xmlns="http://schemas.wps.cn/vas-ai-hub/contract-review">文本全半角错误。</explain>
      <paraID xmlns="http://schemas.wps.cn/vas-ai-hub/contract-review">4BB303C2</paraID>
      <start xmlns="http://schemas.wps.cn/vas-ai-hub/contract-review">0</start>
      <end xmlns="http://schemas.wps.cn/vas-ai-hub/contract-review">1</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d84477e3-71c9-4cd5-a0a4-3d6a51366210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79CEC643</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9b952664-fe31-47b9-8956-9533c2001d45</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2DD26D6E</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f56c63e6-bcce-4247-baf0-540d9cd1df63</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323F8D9B</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f04ddf8e-10db-489a-90c2-523bdc800fc8</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7866D77A</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0cebcf22-3143-4513-88cb-75e3631839d5</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17CE549B</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cfb1e2e6-c6e1-4576-aa22-ac709c7f2a2a</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68F000B</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a2608682-7b18-42a7-b23c-53fd4200749c</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31EB0C79</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22bf5fe9-f614-40d4-ac41-c8ee12085658</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5E0544E3</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914cedc6-7a12-4043-a767-f59b968b209b</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5781C1F9</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2c6ac964-fede-4abc-a912-cf11d87fe389</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
      <paraID xmlns="http://schemas.wps.cn/vas-ai-hub/contract-review">62350B81</paraID>
      <start xmlns="http://schemas.wps.cn/vas-ai-hub/contract-review">26</start>
      <end xmlns="http://schemas.wps.cn/vas-ai-hub/contract-review">27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d31a5d79-69da-483e-ba91-1e5ecbbcfda6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45732505</paraID>
      <start xmlns="http://schemas.wps.cn/vas-ai-hub/contract-review">90</start>
      <end xmlns="http://schemas.wps.cn/vas-ai-hub/contract-review">91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c88c1482-d6f7-4617-aeb8-96a51853e3b0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45732505</paraID>
      <start xmlns="http://schemas.wps.cn/vas-ai-hub/contract-review">224</start>
      <end xmlns="http://schemas.wps.cn/vas-ai-hub/contract-review">225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4cd14d51-9b90-421f-abd6-4541f6d2ee00</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3F849FBC</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b868970d-793c-4aff-a713-757702c3cc16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1C1FA5BC</paraID>
      <start xmlns="http://schemas.wps.cn/vas-ai-hub/contract-review">101</start>
      <end xmlns="http://schemas.wps.cn/vas-ai-hub/contract-review">102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3d6cca0b-fe98-4668-9dcf-c55f3dfde9d8</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2C7E1E2E</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7d6f3b39-c1f2-432c-8c9d-68be29cfcadf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50CA9B34</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e5379dda-0409-4c5a-8404-6bca5f6543c6</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1F0C911A</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36fcaf01-e5e2-4c54-92fe-6e2e0447323a</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5A4A7A56</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71f25672-e654-45ac-a9e0-e40d14875003</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B82FDA4</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cb836f57-8429-461f-b111-df81af760f13</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12F171B1</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07183778-db2f-49dd-91ae-c6e745e9d612</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15008CBE</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c3dc4301-0916-4489-bc74-05efddeee609</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1D2BB0CF</paraID>
      <start xmlns="http://schemas.wps.cn/vas-ai-hub/contract-review">0</start>
      <end xmlns="http://schemas.wps.cn/vas-ai-hub/contract-review">2</end>
      <status xmlns="http://schemas.wps.cn/vas-ai-hub/contract-review">modified</status>
      <modifiedWord xmlns="http://schemas.wps.cn/vas-ai-hub/contract-review">8.</modifiedWord>
      <trackRevisions xmlns="http://schemas.wps.cn/vas-ai-hub/contract-review">false</trackRevisions>
    </reviewItem>
    <reviewItem xmlns="http://schemas.wps.cn/vas-ai-hub/contract-review">
      <errorID xmlns="http://schemas.wps.cn/vas-ai-hub/contract-review">4fed9728-a2b0-4812-9e71-3357cf196527</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4D86CB46</paraID>
      <start xmlns="http://schemas.wps.cn/vas-ai-hub/contract-review">0</start>
      <end xmlns="http://schemas.wps.cn/vas-ai-hub/contract-review">2</end>
      <status xmlns="http://schemas.wps.cn/vas-ai-hub/contract-review">modified</status>
      <modifiedWord xmlns="http://schemas.wps.cn/vas-ai-hub/contract-review">9.</modifiedWord>
      <trackRevisions xmlns="http://schemas.wps.cn/vas-ai-hub/contract-review">false</trackRevisions>
    </reviewItem>
    <reviewItem xmlns="http://schemas.wps.cn/vas-ai-hub/contract-review">
      <errorID xmlns="http://schemas.wps.cn/vas-ai-hub/contract-review">92625298-c4ea-421e-985d-4ca8362f94bd</errorID>
      <errorWord xmlns="http://schemas.wps.cn/vas-ai-hub/contract-review">10．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6A0E7267</paraID>
      <start xmlns="http://schemas.wps.cn/vas-ai-hub/contract-review">0</start>
      <end xmlns="http://schemas.wps.cn/vas-ai-hub/contract-review">3</end>
      <status xmlns="http://schemas.wps.cn/vas-ai-hub/contract-review">modified</status>
      <modifiedWord xmlns="http://schemas.wps.cn/vas-ai-hub/contract-review">10.</modifiedWord>
      <trackRevisions xmlns="http://schemas.wps.cn/vas-ai-hub/contract-review">false</trackRevisions>
    </reviewItem>
    <reviewItem xmlns="http://schemas.wps.cn/vas-ai-hub/contract-review">
      <errorID xmlns="http://schemas.wps.cn/vas-ai-hub/contract-review">6f615bce-0a64-4d53-9122-ca30bcfaddaa</errorID>
      <errorWord xmlns="http://schemas.wps.cn/vas-ai-hub/contract-review">11．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54283B9F</paraID>
      <start xmlns="http://schemas.wps.cn/vas-ai-hub/contract-review">0</start>
      <end xmlns="http://schemas.wps.cn/vas-ai-hub/contract-review">3</end>
      <status xmlns="http://schemas.wps.cn/vas-ai-hub/contract-review">modified</status>
      <modifiedWord xmlns="http://schemas.wps.cn/vas-ai-hub/contract-review">11.</modifiedWord>
      <trackRevisions xmlns="http://schemas.wps.cn/vas-ai-hub/contract-review">false</trackRevisions>
    </reviewItem>
    <reviewItem xmlns="http://schemas.wps.cn/vas-ai-hub/contract-review">
      <errorID xmlns="http://schemas.wps.cn/vas-ai-hub/contract-review">0e934c1d-0dcc-4523-bcb6-88765f40b923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item xmlns="http://schemas.wps.cn/vas-ai-hub/contract-review">）</item>
      </candidateList>
      <explain xmlns="http://schemas.wps.cn/vas-ai-hub/contract-review"/>
      <paraID xmlns="http://schemas.wps.cn/vas-ai-hub/contract-review">6280C2D0</paraID>
      <start xmlns="http://schemas.wps.cn/vas-ai-hub/contract-review">48</start>
      <end xmlns="http://schemas.wps.cn/vas-ai-hub/contract-review">50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869e92be-dabe-4946-8c52-408c3fd4344a</errorID>
      <errorWord xmlns="http://schemas.wps.cn/vas-ai-hub/contract-review">12．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69906675</paraID>
      <start xmlns="http://schemas.wps.cn/vas-ai-hub/contract-review">0</start>
      <end xmlns="http://schemas.wps.cn/vas-ai-hub/contract-review">3</end>
      <status xmlns="http://schemas.wps.cn/vas-ai-hub/contract-review">modified</status>
      <modifiedWord xmlns="http://schemas.wps.cn/vas-ai-hub/contract-review">12.</modifiedWord>
      <trackRevisions xmlns="http://schemas.wps.cn/vas-ai-hub/contract-review">false</trackRevisions>
    </reviewItem>
    <reviewItem xmlns="http://schemas.wps.cn/vas-ai-hub/contract-review">
      <errorID xmlns="http://schemas.wps.cn/vas-ai-hub/contract-review">9cdc6d52-d891-49d0-b6fb-c28ea2530dc0</errorID>
      <errorWord xmlns="http://schemas.wps.cn/vas-ai-hub/contract-review">13．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44BF172</paraID>
      <start xmlns="http://schemas.wps.cn/vas-ai-hub/contract-review">0</start>
      <end xmlns="http://schemas.wps.cn/vas-ai-hub/contract-review">3</end>
      <status xmlns="http://schemas.wps.cn/vas-ai-hub/contract-review">modified</status>
      <modifiedWord xmlns="http://schemas.wps.cn/vas-ai-hub/contract-review">13.</modifiedWord>
      <trackRevisions xmlns="http://schemas.wps.cn/vas-ai-hub/contract-review">false</trackRevisions>
    </reviewItem>
    <reviewItem xmlns="http://schemas.wps.cn/vas-ai-hub/contract-review">
      <errorID xmlns="http://schemas.wps.cn/vas-ai-hub/contract-review">cb9cd00f-2325-4c16-9683-ebf563cf6215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item xmlns="http://schemas.wps.cn/vas-ai-hub/contract-review">）</item>
      </candidateList>
      <explain xmlns="http://schemas.wps.cn/vas-ai-hub/contract-review"/>
      <paraID xmlns="http://schemas.wps.cn/vas-ai-hub/contract-review">630EF7E9</paraID>
      <start xmlns="http://schemas.wps.cn/vas-ai-hub/contract-review">116</start>
      <end xmlns="http://schemas.wps.cn/vas-ai-hub/contract-review">118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ba9130b0-8186-473c-9b8c-1f91e1038b51</errorID>
      <errorWord xmlns="http://schemas.wps.cn/vas-ai-hub/contract-review">14．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2DCABE64</paraID>
      <start xmlns="http://schemas.wps.cn/vas-ai-hub/contract-review">0</start>
      <end xmlns="http://schemas.wps.cn/vas-ai-hub/contract-review">3</end>
      <status xmlns="http://schemas.wps.cn/vas-ai-hub/contract-review">modified</status>
      <modifiedWord xmlns="http://schemas.wps.cn/vas-ai-hub/contract-review">14.</modifiedWord>
      <trackRevisions xmlns="http://schemas.wps.cn/vas-ai-hub/contract-review">false</trackRevisions>
    </reviewItem>
    <reviewItem xmlns="http://schemas.wps.cn/vas-ai-hub/contract-review">
      <errorID xmlns="http://schemas.wps.cn/vas-ai-hub/contract-review">bc8bee26-dec0-4087-977e-875fa03d96e8</errorID>
      <errorWord xmlns="http://schemas.wps.cn/vas-ai-hub/contract-review">其它语言</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其他语言</item>
      </candidateList>
      <explain xmlns="http://schemas.wps.cn/vas-ai-hub/contract-review">词汇[其它语言]为不规范表述或旧称，其规范书面表述为[其他语言]。</explain>
      <paraID xmlns="http://schemas.wps.cn/vas-ai-hub/contract-review">60A08125</paraID>
      <start xmlns="http://schemas.wps.cn/vas-ai-hub/contract-review">67</start>
      <end xmlns="http://schemas.wps.cn/vas-ai-hub/contract-review">71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afb53710-a47e-4196-b204-02db8c43a39f</errorID>
      <errorWord xmlns="http://schemas.wps.cn/vas-ai-hub/contract-review">15．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1396F888</paraID>
      <start xmlns="http://schemas.wps.cn/vas-ai-hub/contract-review">0</start>
      <end xmlns="http://schemas.wps.cn/vas-ai-hub/contract-review">3</end>
      <status xmlns="http://schemas.wps.cn/vas-ai-hub/contract-review">modified</status>
      <modifiedWord xmlns="http://schemas.wps.cn/vas-ai-hub/contract-review">15.</modifiedWord>
      <trackRevisions xmlns="http://schemas.wps.cn/vas-ai-hub/contract-review">false</trackRevisions>
    </reviewItem>
    <reviewItem xmlns="http://schemas.wps.cn/vas-ai-hub/contract-review">
      <errorID xmlns="http://schemas.wps.cn/vas-ai-hub/contract-review">56aa853b-e3e7-4f63-b53a-832db552ad8f</errorID>
      <errorWord xmlns="http://schemas.wps.cn/vas-ai-hub/contract-review">16．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64CFB6CD</paraID>
      <start xmlns="http://schemas.wps.cn/vas-ai-hub/contract-review">0</start>
      <end xmlns="http://schemas.wps.cn/vas-ai-hub/contract-review">3</end>
      <status xmlns="http://schemas.wps.cn/vas-ai-hub/contract-review">modified</status>
      <modifiedWord xmlns="http://schemas.wps.cn/vas-ai-hub/contract-review">16.</modifiedWord>
      <trackRevisions xmlns="http://schemas.wps.cn/vas-ai-hub/contract-review">false</trackRevisions>
    </reviewItem>
    <reviewItem xmlns="http://schemas.wps.cn/vas-ai-hub/contract-review">
      <errorID xmlns="http://schemas.wps.cn/vas-ai-hub/contract-review">db701f25-a2d7-4ba3-971a-97576777328c</errorID>
      <errorWord xmlns="http://schemas.wps.cn/vas-ai-hub/contract-review">17．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7D44061D</paraID>
      <start xmlns="http://schemas.wps.cn/vas-ai-hub/contract-review">0</start>
      <end xmlns="http://schemas.wps.cn/vas-ai-hub/contract-review">3</end>
      <status xmlns="http://schemas.wps.cn/vas-ai-hub/contract-review">modified</status>
      <modifiedWord xmlns="http://schemas.wps.cn/vas-ai-hub/contract-review">17.</modifiedWord>
      <trackRevisions xmlns="http://schemas.wps.cn/vas-ai-hub/contract-review">false</trackRevisions>
    </reviewItem>
    <reviewItem xmlns="http://schemas.wps.cn/vas-ai-hub/contract-review">
      <errorID xmlns="http://schemas.wps.cn/vas-ai-hub/contract-review">61a55b37-5cd2-45b7-8a79-406d9b420c86</errorID>
      <errorWord xmlns="http://schemas.wps.cn/vas-ai-hub/contract-review">18．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685849B5</paraID>
      <start xmlns="http://schemas.wps.cn/vas-ai-hub/contract-review">0</start>
      <end xmlns="http://schemas.wps.cn/vas-ai-hub/contract-review">3</end>
      <status xmlns="http://schemas.wps.cn/vas-ai-hub/contract-review">modified</status>
      <modifiedWord xmlns="http://schemas.wps.cn/vas-ai-hub/contract-review">18.</modifiedWord>
      <trackRevisions xmlns="http://schemas.wps.cn/vas-ai-hub/contract-review">false</trackRevisions>
    </reviewItem>
    <reviewItem xmlns="http://schemas.wps.cn/vas-ai-hub/contract-review">
      <errorID xmlns="http://schemas.wps.cn/vas-ai-hub/contract-review">584edc2a-58f8-4a48-8558-de9b90a41215</errorID>
      <errorWord xmlns="http://schemas.wps.cn/vas-ai-hub/contract-review">19．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744D5338</paraID>
      <start xmlns="http://schemas.wps.cn/vas-ai-hub/contract-review">0</start>
      <end xmlns="http://schemas.wps.cn/vas-ai-hub/contract-review">3</end>
      <status xmlns="http://schemas.wps.cn/vas-ai-hub/contract-review">modified</status>
      <modifiedWord xmlns="http://schemas.wps.cn/vas-ai-hub/contract-review">19.</modifiedWord>
      <trackRevisions xmlns="http://schemas.wps.cn/vas-ai-hub/contract-review">false</trackRevisions>
    </reviewItem>
    <reviewItem xmlns="http://schemas.wps.cn/vas-ai-hub/contract-review">
      <errorID xmlns="http://schemas.wps.cn/vas-ai-hub/contract-review">1b15ab26-9228-4400-9a9e-afc913bff116</errorID>
      <errorWord xmlns="http://schemas.wps.cn/vas-ai-hub/contract-review">20．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2BE5EB9F</paraID>
      <start xmlns="http://schemas.wps.cn/vas-ai-hub/contract-review">0</start>
      <end xmlns="http://schemas.wps.cn/vas-ai-hub/contract-review">3</end>
      <status xmlns="http://schemas.wps.cn/vas-ai-hub/contract-review">modified</status>
      <modifiedWord xmlns="http://schemas.wps.cn/vas-ai-hub/contract-review">20.</modifiedWord>
      <trackRevisions xmlns="http://schemas.wps.cn/vas-ai-hub/contract-review">false</trackRevisions>
    </reviewItem>
    <reviewItem xmlns="http://schemas.wps.cn/vas-ai-hub/contract-review">
      <errorID xmlns="http://schemas.wps.cn/vas-ai-hub/contract-review">40f9f629-6a6a-4258-a867-6d3016791d1f</errorID>
      <errorWord xmlns="http://schemas.wps.cn/vas-ai-hub/contract-review">21．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37F742F9</paraID>
      <start xmlns="http://schemas.wps.cn/vas-ai-hub/contract-review">0</start>
      <end xmlns="http://schemas.wps.cn/vas-ai-hub/contract-review">3</end>
      <status xmlns="http://schemas.wps.cn/vas-ai-hub/contract-review">modified</status>
      <modifiedWord xmlns="http://schemas.wps.cn/vas-ai-hub/contract-review">21.</modifiedWord>
      <trackRevisions xmlns="http://schemas.wps.cn/vas-ai-hub/contract-review">false</trackRevisions>
    </reviewItem>
    <reviewItem xmlns="http://schemas.wps.cn/vas-ai-hub/contract-review">
      <errorID xmlns="http://schemas.wps.cn/vas-ai-hub/contract-review">b3241896-da68-459e-a605-970893b54c36</errorID>
      <errorWord xmlns="http://schemas.wps.cn/vas-ai-hub/contract-review">22．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3F50B745</paraID>
      <start xmlns="http://schemas.wps.cn/vas-ai-hub/contract-review">0</start>
      <end xmlns="http://schemas.wps.cn/vas-ai-hub/contract-review">3</end>
      <status xmlns="http://schemas.wps.cn/vas-ai-hub/contract-review">modified</status>
      <modifiedWord xmlns="http://schemas.wps.cn/vas-ai-hub/contract-review">22.</modifiedWord>
      <trackRevisions xmlns="http://schemas.wps.cn/vas-ai-hub/contract-review">false</trackRevisions>
    </reviewItem>
    <reviewItem xmlns="http://schemas.wps.cn/vas-ai-hub/contract-review">
      <errorID xmlns="http://schemas.wps.cn/vas-ai-hub/contract-review">1abac335-6f4f-4d09-9a02-c8c9770ba86b</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5F910F36</paraID>
      <start xmlns="http://schemas.wps.cn/vas-ai-hub/contract-review">126</start>
      <end xmlns="http://schemas.wps.cn/vas-ai-hub/contract-review">128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9e669792-81d3-4ee9-811a-76da968c0f85</errorID>
      <errorWord xmlns="http://schemas.wps.cn/vas-ai-hub/contract-review">23．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7AF12CD1</paraID>
      <start xmlns="http://schemas.wps.cn/vas-ai-hub/contract-review">0</start>
      <end xmlns="http://schemas.wps.cn/vas-ai-hub/contract-review">3</end>
      <status xmlns="http://schemas.wps.cn/vas-ai-hub/contract-review">modified</status>
      <modifiedWord xmlns="http://schemas.wps.cn/vas-ai-hub/contract-review">23.</modifiedWord>
      <trackRevisions xmlns="http://schemas.wps.cn/vas-ai-hub/contract-review">false</trackRevisions>
    </reviewItem>
    <reviewItem xmlns="http://schemas.wps.cn/vas-ai-hub/contract-review">
      <errorID xmlns="http://schemas.wps.cn/vas-ai-hub/contract-review">7ab80a1c-aa93-4614-bf80-d17bdc282526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47439795</paraID>
      <start xmlns="http://schemas.wps.cn/vas-ai-hub/contract-review">53</start>
      <end xmlns="http://schemas.wps.cn/vas-ai-hub/contract-review">54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bc92874d-4e12-41e1-b59f-e2a9b6497bc5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47439795</paraID>
      <start xmlns="http://schemas.wps.cn/vas-ai-hub/contract-review">100</start>
      <end xmlns="http://schemas.wps.cn/vas-ai-hub/contract-review">101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8811f9be-2a7d-4938-a087-d1ed17f10eb0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47439795</paraID>
      <start xmlns="http://schemas.wps.cn/vas-ai-hub/contract-review">182</start>
      <end xmlns="http://schemas.wps.cn/vas-ai-hub/contract-review">183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f64719bb-2fa6-4b4f-809d-9bfe0aef7956</errorID>
      <errorWord xmlns="http://schemas.wps.cn/vas-ai-hub/contract-review">其它公司的</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其他公司的</item>
      </candidateList>
      <explain xmlns="http://schemas.wps.cn/vas-ai-hub/contract-review">词汇[其它公司的]为不规范表述或旧称，其规范书面表述为[其他公司的]。</explain>
      <paraID xmlns="http://schemas.wps.cn/vas-ai-hub/contract-review">2D4E8153</paraID>
      <start xmlns="http://schemas.wps.cn/vas-ai-hub/contract-review">32</start>
      <end xmlns="http://schemas.wps.cn/vas-ai-hub/contract-review">37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d94fb45d-ff76-4e6b-a9ed-2eb1688bb3d9</errorID>
      <errorWord xmlns="http://schemas.wps.cn/vas-ai-hub/contract-review">用其它方式</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用其他方式</item>
      </candidateList>
      <explain xmlns="http://schemas.wps.cn/vas-ai-hub/contract-review">词汇[用其它方式]为不规范表述或旧称，其规范书面表述为[用其他方式]。</explain>
      <paraID xmlns="http://schemas.wps.cn/vas-ai-hub/contract-review">231F283A</paraID>
      <start xmlns="http://schemas.wps.cn/vas-ai-hub/contract-review">28</start>
      <end xmlns="http://schemas.wps.cn/vas-ai-hub/contract-review">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43612ce2-15d7-4b18-805d-8effd10ba9a0</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6F11C0D2</paraID>
      <start xmlns="http://schemas.wps.cn/vas-ai-hub/contract-review">31</start>
      <end xmlns="http://schemas.wps.cn/vas-ai-hub/contract-review">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4057e753-85c9-4207-a86e-e969c2fb9a40</errorID>
      <errorWord xmlns="http://schemas.wps.cn/vas-ai-hub/contract-review">24．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6E6FFAB0</paraID>
      <start xmlns="http://schemas.wps.cn/vas-ai-hub/contract-review">0</start>
      <end xmlns="http://schemas.wps.cn/vas-ai-hub/contract-review">3</end>
      <status xmlns="http://schemas.wps.cn/vas-ai-hub/contract-review">modified</status>
      <modifiedWord xmlns="http://schemas.wps.cn/vas-ai-hub/contract-review">24.</modifiedWord>
      <trackRevisions xmlns="http://schemas.wps.cn/vas-ai-hub/contract-review">false</trackRevisions>
    </reviewItem>
    <reviewItem xmlns="http://schemas.wps.cn/vas-ai-hub/contract-review">
      <errorID xmlns="http://schemas.wps.cn/vas-ai-hub/contract-review">d4ee0fd1-2bac-48eb-a6f6-9f54a27a8327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2E37A71E</paraID>
      <start xmlns="http://schemas.wps.cn/vas-ai-hub/contract-review">15</start>
      <end xmlns="http://schemas.wps.cn/vas-ai-hub/contract-review">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748a4e8d-2bf1-4688-b612-b182d95e0ebf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2E37A71E</paraID>
      <start xmlns="http://schemas.wps.cn/vas-ai-hub/contract-review">82</start>
      <end xmlns="http://schemas.wps.cn/vas-ai-hub/contract-review">83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90b8e432-d84c-47a9-aee5-24cd8a260c6f</errorID>
      <errorWord xmlns="http://schemas.wps.cn/vas-ai-hub/contract-review">25．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4F5EE57</paraID>
      <start xmlns="http://schemas.wps.cn/vas-ai-hub/contract-review">0</start>
      <end xmlns="http://schemas.wps.cn/vas-ai-hub/contract-review">3</end>
      <status xmlns="http://schemas.wps.cn/vas-ai-hub/contract-review">modified</status>
      <modifiedWord xmlns="http://schemas.wps.cn/vas-ai-hub/contract-review">25.</modifiedWord>
      <trackRevisions xmlns="http://schemas.wps.cn/vas-ai-hub/contract-review">false</trackRevisions>
    </reviewItem>
    <reviewItem xmlns="http://schemas.wps.cn/vas-ai-hub/contract-review">
      <errorID xmlns="http://schemas.wps.cn/vas-ai-hub/contract-review">98065190-46a1-4644-be35-480b1a4c980d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7FDB7916</paraID>
      <start xmlns="http://schemas.wps.cn/vas-ai-hub/contract-review">131</start>
      <end xmlns="http://schemas.wps.cn/vas-ai-hub/contract-review">132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3a604258-fa59-4027-ab35-c761949de738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7FDB7916</paraID>
      <start xmlns="http://schemas.wps.cn/vas-ai-hub/contract-review">134</start>
      <end xmlns="http://schemas.wps.cn/vas-ai-hub/contract-review">135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600bde7f-ca5d-421c-8ae8-2a6836010871</errorID>
      <errorWord xmlns="http://schemas.wps.cn/vas-ai-hub/contract-review">27．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18AFD212</paraID>
      <start xmlns="http://schemas.wps.cn/vas-ai-hub/contract-review">0</start>
      <end xmlns="http://schemas.wps.cn/vas-ai-hub/contract-review">3</end>
      <status xmlns="http://schemas.wps.cn/vas-ai-hub/contract-review">modified</status>
      <modifiedWord xmlns="http://schemas.wps.cn/vas-ai-hub/contract-review">27.</modifiedWord>
      <trackRevisions xmlns="http://schemas.wps.cn/vas-ai-hub/contract-review">false</trackRevisions>
    </reviewItem>
    <reviewItem xmlns="http://schemas.wps.cn/vas-ai-hub/contract-review">
      <errorID xmlns="http://schemas.wps.cn/vas-ai-hub/contract-review">05d68d1a-39a6-455a-a990-8e8c6d3e99dc</errorID>
      <errorWord xmlns="http://schemas.wps.cn/vas-ai-hub/contract-review">28．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6CBEC804</paraID>
      <start xmlns="http://schemas.wps.cn/vas-ai-hub/contract-review">0</start>
      <end xmlns="http://schemas.wps.cn/vas-ai-hub/contract-review">3</end>
      <status xmlns="http://schemas.wps.cn/vas-ai-hub/contract-review">modified</status>
      <modifiedWord xmlns="http://schemas.wps.cn/vas-ai-hub/contract-review">28.</modifiedWord>
      <trackRevisions xmlns="http://schemas.wps.cn/vas-ai-hub/contract-review">false</trackRevisions>
    </reviewItem>
    <reviewItem xmlns="http://schemas.wps.cn/vas-ai-hub/contract-review">
      <errorID xmlns="http://schemas.wps.cn/vas-ai-hub/contract-review">463b0e87-ad12-4aac-8c4b-e72c697c220e</errorID>
      <errorWord xmlns="http://schemas.wps.cn/vas-ai-hub/contract-review">29．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649C8D1E</paraID>
      <start xmlns="http://schemas.wps.cn/vas-ai-hub/contract-review">0</start>
      <end xmlns="http://schemas.wps.cn/vas-ai-hub/contract-review">3</end>
      <status xmlns="http://schemas.wps.cn/vas-ai-hub/contract-review">modified</status>
      <modifiedWord xmlns="http://schemas.wps.cn/vas-ai-hub/contract-review">29.</modifiedWord>
      <trackRevisions xmlns="http://schemas.wps.cn/vas-ai-hub/contract-review">false</trackRevisions>
    </reviewItem>
    <reviewItem xmlns="http://schemas.wps.cn/vas-ai-hub/contract-review">
      <errorID xmlns="http://schemas.wps.cn/vas-ai-hub/contract-review">6ddaf4d5-b251-4d8f-aa24-d518aa2b9630</errorID>
      <errorWord xmlns="http://schemas.wps.cn/vas-ai-hub/contract-review">30．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5A31D155</paraID>
      <start xmlns="http://schemas.wps.cn/vas-ai-hub/contract-review">0</start>
      <end xmlns="http://schemas.wps.cn/vas-ai-hub/contract-review">3</end>
      <status xmlns="http://schemas.wps.cn/vas-ai-hub/contract-review">modified</status>
      <modifiedWord xmlns="http://schemas.wps.cn/vas-ai-hub/contract-review">30.</modifiedWord>
      <trackRevisions xmlns="http://schemas.wps.cn/vas-ai-hub/contract-review">false</trackRevisions>
    </reviewItem>
    <reviewItem xmlns="http://schemas.wps.cn/vas-ai-hub/contract-review">
      <errorID xmlns="http://schemas.wps.cn/vas-ai-hub/contract-review">1a12b1d2-dfd2-4552-bf15-4d810a800fa9</errorID>
      <errorWord xmlns="http://schemas.wps.cn/vas-ai-hub/contract-review">必须的</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必需的</item>
      </candidateList>
      <explain xmlns="http://schemas.wps.cn/vas-ai-hub/contract-review">词汇[必须的]为不规范表述或旧称，其规范书面表述为[必需的]。</explain>
      <paraID xmlns="http://schemas.wps.cn/vas-ai-hub/contract-review"> 7F97C90</paraID>
      <start xmlns="http://schemas.wps.cn/vas-ai-hub/contract-review">8</start>
      <end xmlns="http://schemas.wps.cn/vas-ai-hub/contract-review">11</end>
      <status xmlns="http://schemas.wps.cn/vas-ai-hub/contract-review">modified</status>
      <modifiedWord xmlns="http://schemas.wps.cn/vas-ai-hub/contract-review">必需的</modifiedWord>
      <trackRevisions xmlns="http://schemas.wps.cn/vas-ai-hub/contract-review">false</trackRevisions>
    </reviewItem>
    <reviewItem xmlns="http://schemas.wps.cn/vas-ai-hub/contract-review">
      <errorID xmlns="http://schemas.wps.cn/vas-ai-hub/contract-review">f6b002d3-0d14-4fdf-a42c-d5de7a49bc4d</errorID>
      <errorWord xmlns="http://schemas.wps.cn/vas-ai-hub/contract-review">31．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6CFCB7E</paraID>
      <start xmlns="http://schemas.wps.cn/vas-ai-hub/contract-review">0</start>
      <end xmlns="http://schemas.wps.cn/vas-ai-hub/contract-review">3</end>
      <status xmlns="http://schemas.wps.cn/vas-ai-hub/contract-review">modified</status>
      <modifiedWord xmlns="http://schemas.wps.cn/vas-ai-hub/contract-review">31.</modifiedWord>
      <trackRevisions xmlns="http://schemas.wps.cn/vas-ai-hub/contract-review">false</trackRevisions>
    </reviewItem>
    <reviewItem xmlns="http://schemas.wps.cn/vas-ai-hub/contract-review">
      <errorID xmlns="http://schemas.wps.cn/vas-ai-hub/contract-review">1202f64e-162f-4cb8-b0de-5544fac7211f</errorID>
      <errorWord xmlns="http://schemas.wps.cn/vas-ai-hub/contract-review">32．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48B419C</paraID>
      <start xmlns="http://schemas.wps.cn/vas-ai-hub/contract-review">0</start>
      <end xmlns="http://schemas.wps.cn/vas-ai-hub/contract-review">3</end>
      <status xmlns="http://schemas.wps.cn/vas-ai-hub/contract-review">modified</status>
      <modifiedWord xmlns="http://schemas.wps.cn/vas-ai-hub/contract-review">32.</modifiedWord>
      <trackRevisions xmlns="http://schemas.wps.cn/vas-ai-hub/contract-review">false</trackRevisions>
    </reviewItem>
    <reviewItem xmlns="http://schemas.wps.cn/vas-ai-hub/contract-review">
      <errorID xmlns="http://schemas.wps.cn/vas-ai-hub/contract-review">7555dcbc-7c2e-4dc5-ab6f-ad93c24f022d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41F418F1</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41948d9b-1350-4cf8-89dd-9dc5f2c59139</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51D1B89D</paraID>
      <start xmlns="http://schemas.wps.cn/vas-ai-hub/contract-review">13</start>
      <end xmlns="http://schemas.wps.cn/vas-ai-hub/contract-review">18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ca18c010-497e-499a-8fa5-e3df24863df1</errorID>
      <errorWord xmlns="http://schemas.wps.cn/vas-ai-hub/contract-review">审查对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审查</item>
      </candidateList>
      <explain xmlns="http://schemas.wps.cn/vas-ai-hub/contract-review">〈动〉检查核对是否正确、妥当（多指计划、提案、著作、个人的资历等）：～提案｜～经费｜～属实。</explain>
      <paraID xmlns="http://schemas.wps.cn/vas-ai-hub/contract-review"> 4D88A4B</paraID>
      <start xmlns="http://schemas.wps.cn/vas-ai-hub/contract-review">12</start>
      <end xmlns="http://schemas.wps.cn/vas-ai-hub/contract-review">14</end>
      <status xmlns="http://schemas.wps.cn/vas-ai-hub/contract-review">modified</status>
      <modifiedWord xmlns="http://schemas.wps.cn/vas-ai-hub/contract-review">审查</modifiedWord>
      <trackRevisions xmlns="http://schemas.wps.cn/vas-ai-hub/contract-review">false</trackRevisions>
    </reviewItem>
    <reviewItem xmlns="http://schemas.wps.cn/vas-ai-hub/contract-review">
      <errorID xmlns="http://schemas.wps.cn/vas-ai-hub/contract-review">0f5ca7e9-458a-4d8f-80ba-fe76b8cf8247</errorID>
      <errorWord xmlns="http://schemas.wps.cn/vas-ai-hub/contract-review">33．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41C1D0C5</paraID>
      <start xmlns="http://schemas.wps.cn/vas-ai-hub/contract-review">0</start>
      <end xmlns="http://schemas.wps.cn/vas-ai-hub/contract-review">3</end>
      <status xmlns="http://schemas.wps.cn/vas-ai-hub/contract-review">modified</status>
      <modifiedWord xmlns="http://schemas.wps.cn/vas-ai-hub/contract-review">33.</modifiedWord>
      <trackRevisions xmlns="http://schemas.wps.cn/vas-ai-hub/contract-review">false</trackRevisions>
    </reviewItem>
    <reviewItem xmlns="http://schemas.wps.cn/vas-ai-hub/contract-review">
      <errorID xmlns="http://schemas.wps.cn/vas-ai-hub/contract-review">8454b240-7da5-4900-81f6-eb52fd2f75cd</errorID>
      <errorWord xmlns="http://schemas.wps.cn/vas-ai-hub/contract-review">34．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307460C5</paraID>
      <start xmlns="http://schemas.wps.cn/vas-ai-hub/contract-review">0</start>
      <end xmlns="http://schemas.wps.cn/vas-ai-hub/contract-review">3</end>
      <status xmlns="http://schemas.wps.cn/vas-ai-hub/contract-review">modified</status>
      <modifiedWord xmlns="http://schemas.wps.cn/vas-ai-hub/contract-review">34.</modifiedWord>
      <trackRevisions xmlns="http://schemas.wps.cn/vas-ai-hub/contract-review">false</trackRevisions>
    </reviewItem>
    <reviewItem xmlns="http://schemas.wps.cn/vas-ai-hub/contract-review">
      <errorID xmlns="http://schemas.wps.cn/vas-ai-hub/contract-review">9076372e-ee58-4746-af9a-dd53a343b240</errorID>
      <errorWord xmlns="http://schemas.wps.cn/vas-ai-hub/contract-review">35．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78933358</paraID>
      <start xmlns="http://schemas.wps.cn/vas-ai-hub/contract-review">0</start>
      <end xmlns="http://schemas.wps.cn/vas-ai-hub/contract-review">3</end>
      <status xmlns="http://schemas.wps.cn/vas-ai-hub/contract-review">modified</status>
      <modifiedWord xmlns="http://schemas.wps.cn/vas-ai-hub/contract-review">35.</modifiedWord>
      <trackRevisions xmlns="http://schemas.wps.cn/vas-ai-hub/contract-review">false</trackRevisions>
    </reviewItem>
    <reviewItem xmlns="http://schemas.wps.cn/vas-ai-hub/contract-review">
      <errorID xmlns="http://schemas.wps.cn/vas-ai-hub/contract-review">b4bf858f-0aa6-4bfe-8a5c-e5979c8e284b</errorID>
      <errorWord xmlns="http://schemas.wps.cn/vas-ai-hub/contract-review">36．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5D6D037B</paraID>
      <start xmlns="http://schemas.wps.cn/vas-ai-hub/contract-review">0</start>
      <end xmlns="http://schemas.wps.cn/vas-ai-hub/contract-review">3</end>
      <status xmlns="http://schemas.wps.cn/vas-ai-hub/contract-review">modified</status>
      <modifiedWord xmlns="http://schemas.wps.cn/vas-ai-hub/contract-review">36.</modifiedWord>
      <trackRevisions xmlns="http://schemas.wps.cn/vas-ai-hub/contract-review">false</trackRevisions>
    </reviewItem>
    <reviewItem xmlns="http://schemas.wps.cn/vas-ai-hub/contract-review">
      <errorID xmlns="http://schemas.wps.cn/vas-ai-hub/contract-review">19b320f9-e7f4-4342-b2de-f5730ea0ccbf</errorID>
      <errorWord xmlns="http://schemas.wps.cn/vas-ai-hub/contract-review">37．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6CBF0A1D</paraID>
      <start xmlns="http://schemas.wps.cn/vas-ai-hub/contract-review">0</start>
      <end xmlns="http://schemas.wps.cn/vas-ai-hub/contract-review">3</end>
      <status xmlns="http://schemas.wps.cn/vas-ai-hub/contract-review">modified</status>
      <modifiedWord xmlns="http://schemas.wps.cn/vas-ai-hub/contract-review">37.</modifiedWord>
      <trackRevisions xmlns="http://schemas.wps.cn/vas-ai-hub/contract-review">false</trackRevisions>
    </reviewItem>
    <reviewItem xmlns="http://schemas.wps.cn/vas-ai-hub/contract-review">
      <errorID xmlns="http://schemas.wps.cn/vas-ai-hub/contract-review">a66ef453-9dd7-4d3f-82cc-91a1fd12b1c3</errorID>
      <errorWord xmlns="http://schemas.wps.cn/vas-ai-hub/contract-review">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已</item>
      </candidateList>
      <explain xmlns="http://schemas.wps.cn/vas-ai-hub/contract-review">存在发音相同字词的误用。</explain>
      <paraID xmlns="http://schemas.wps.cn/vas-ai-hub/contract-review">2133EE0E</paraID>
      <start xmlns="http://schemas.wps.cn/vas-ai-hub/contract-review">129</start>
      <end xmlns="http://schemas.wps.cn/vas-ai-hub/contract-review">130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e69dab0b-c7ae-4d12-a755-518d72627628</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2133EE0E</paraID>
      <start xmlns="http://schemas.wps.cn/vas-ai-hub/contract-review">141</start>
      <end xmlns="http://schemas.wps.cn/vas-ai-hub/contract-review">142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d70b8475-67f8-451a-bbd5-a97c62de968a</errorID>
      <errorWord xmlns="http://schemas.wps.cn/vas-ai-hub/contract-review">&gt;</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2133EE0E</paraID>
      <start xmlns="http://schemas.wps.cn/vas-ai-hub/contract-review">159</start>
      <end xmlns="http://schemas.wps.cn/vas-ai-hub/contract-review">160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a9dfaace-87cb-407d-a5d9-65ad07b2993f</errorID>
      <errorWord xmlns="http://schemas.wps.cn/vas-ai-hub/contract-review">38．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31450DF6</paraID>
      <start xmlns="http://schemas.wps.cn/vas-ai-hub/contract-review">0</start>
      <end xmlns="http://schemas.wps.cn/vas-ai-hub/contract-review">3</end>
      <status xmlns="http://schemas.wps.cn/vas-ai-hub/contract-review">modified</status>
      <modifiedWord xmlns="http://schemas.wps.cn/vas-ai-hub/contract-review">38.</modifiedWord>
      <trackRevisions xmlns="http://schemas.wps.cn/vas-ai-hub/contract-review">false</trackRevisions>
    </reviewItem>
    <reviewItem xmlns="http://schemas.wps.cn/vas-ai-hub/contract-review">
      <errorID xmlns="http://schemas.wps.cn/vas-ai-hub/contract-review">51485d23-8229-4d90-99c7-8967ec4d37fa</errorID>
      <errorWord xmlns="http://schemas.wps.cn/vas-ai-hub/contract-review">39．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6DD27C4D</paraID>
      <start xmlns="http://schemas.wps.cn/vas-ai-hub/contract-review">0</start>
      <end xmlns="http://schemas.wps.cn/vas-ai-hub/contract-review">3</end>
      <status xmlns="http://schemas.wps.cn/vas-ai-hub/contract-review">modified</status>
      <modifiedWord xmlns="http://schemas.wps.cn/vas-ai-hub/contract-review">39.</modifiedWord>
      <trackRevisions xmlns="http://schemas.wps.cn/vas-ai-hub/contract-review">false</trackRevisions>
    </reviewItem>
    <reviewItem xmlns="http://schemas.wps.cn/vas-ai-hub/contract-review">
      <errorID xmlns="http://schemas.wps.cn/vas-ai-hub/contract-review">196af02f-8cdd-4262-a711-ec8152c2b141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item xmlns="http://schemas.wps.cn/vas-ai-hub/contract-review">）</item>
      </candidateList>
      <explain xmlns="http://schemas.wps.cn/vas-ai-hub/contract-review"/>
      <paraID xmlns="http://schemas.wps.cn/vas-ai-hub/contract-review"> 375C59B</paraID>
      <start xmlns="http://schemas.wps.cn/vas-ai-hub/contract-review">80</start>
      <end xmlns="http://schemas.wps.cn/vas-ai-hub/contract-review">82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f096fbc4-e256-439c-a499-68387e0d850a</errorID>
      <errorWord xmlns="http://schemas.wps.cn/vas-ai-hub/contract-review">提出质疑</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质疑</item>
      </candidateList>
      <explain xmlns="http://schemas.wps.cn/vas-ai-hub/contract-review">该表达中的“提出质疑”存在语义重复。【词汇解析】质疑：提出疑问。与“提出”语义重复。</explain>
      <paraID xmlns="http://schemas.wps.cn/vas-ai-hub/contract-review"> 375C59B</paraID>
      <start xmlns="http://schemas.wps.cn/vas-ai-hub/contract-review">162</start>
      <end xmlns="http://schemas.wps.cn/vas-ai-hub/contract-review">166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25b2169d-95bd-4ad7-b86c-6df60daba8f1</errorID>
      <errorWord xmlns="http://schemas.wps.cn/vas-ai-hub/contract-review">40．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682BC205</paraID>
      <start xmlns="http://schemas.wps.cn/vas-ai-hub/contract-review">0</start>
      <end xmlns="http://schemas.wps.cn/vas-ai-hub/contract-review">3</end>
      <status xmlns="http://schemas.wps.cn/vas-ai-hub/contract-review">modified</status>
      <modifiedWord xmlns="http://schemas.wps.cn/vas-ai-hub/contract-review">40.</modifiedWord>
      <trackRevisions xmlns="http://schemas.wps.cn/vas-ai-hub/contract-review">false</trackRevisions>
    </reviewItem>
    <reviewItem xmlns="http://schemas.wps.cn/vas-ai-hub/contract-review">
      <errorID xmlns="http://schemas.wps.cn/vas-ai-hub/contract-review">3cb48dcd-c1a2-4245-8159-cbecb850277c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1E5012DE</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1af2f66f-18c9-40da-99a6-86e8c671b1cd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item xmlns="http://schemas.wps.cn/vas-ai-hub/contract-review">）</item>
      </candidateList>
      <explain xmlns="http://schemas.wps.cn/vas-ai-hub/contract-review"/>
      <paraID xmlns="http://schemas.wps.cn/vas-ai-hub/contract-review">1E5012DE</paraID>
      <start xmlns="http://schemas.wps.cn/vas-ai-hub/contract-review">88</start>
      <end xmlns="http://schemas.wps.cn/vas-ai-hub/contract-review">90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d4a85b10-8a34-40a8-a587-bada16e85c27</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3977357A</paraID>
      <start xmlns="http://schemas.wps.cn/vas-ai-hub/contract-review">10</start>
      <end xmlns="http://schemas.wps.cn/vas-ai-hub/contract-review">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ea9895b4-04ea-437b-864a-9501fc1b0816</errorID>
      <errorWord xmlns="http://schemas.wps.cn/vas-ai-hub/contract-review">41．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2B58228E</paraID>
      <start xmlns="http://schemas.wps.cn/vas-ai-hub/contract-review">0</start>
      <end xmlns="http://schemas.wps.cn/vas-ai-hub/contract-review">3</end>
      <status xmlns="http://schemas.wps.cn/vas-ai-hub/contract-review">modified</status>
      <modifiedWord xmlns="http://schemas.wps.cn/vas-ai-hub/contract-review">41.</modifiedWord>
      <trackRevisions xmlns="http://schemas.wps.cn/vas-ai-hub/contract-review">false</trackRevisions>
    </reviewItem>
    <reviewItem xmlns="http://schemas.wps.cn/vas-ai-hub/contract-review">
      <errorID xmlns="http://schemas.wps.cn/vas-ai-hub/contract-review">8bc843aa-7f04-4e4f-b8eb-ff4386578856</errorID>
      <errorWord xmlns="http://schemas.wps.cn/vas-ai-hub/contract-review">42．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51C443D9</paraID>
      <start xmlns="http://schemas.wps.cn/vas-ai-hub/contract-review">0</start>
      <end xmlns="http://schemas.wps.cn/vas-ai-hub/contract-review">3</end>
      <status xmlns="http://schemas.wps.cn/vas-ai-hub/contract-review">modified</status>
      <modifiedWord xmlns="http://schemas.wps.cn/vas-ai-hub/contract-review">42.</modifiedWord>
      <trackRevisions xmlns="http://schemas.wps.cn/vas-ai-hub/contract-review">false</trackRevisions>
    </reviewItem>
    <reviewItem xmlns="http://schemas.wps.cn/vas-ai-hub/contract-review">
      <errorID xmlns="http://schemas.wps.cn/vas-ai-hub/contract-review">7a3df1a8-e52e-4758-9bf7-e2771514a22e</errorID>
      <errorWord xmlns="http://schemas.wps.cn/vas-ai-hub/contract-review">43．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51C4E6E6</paraID>
      <start xmlns="http://schemas.wps.cn/vas-ai-hub/contract-review">0</start>
      <end xmlns="http://schemas.wps.cn/vas-ai-hub/contract-review">3</end>
      <status xmlns="http://schemas.wps.cn/vas-ai-hub/contract-review">modified</status>
      <modifiedWord xmlns="http://schemas.wps.cn/vas-ai-hub/contract-review">43.</modifiedWord>
      <trackRevisions xmlns="http://schemas.wps.cn/vas-ai-hub/contract-review">false</trackRevisions>
    </reviewItem>
    <reviewItem xmlns="http://schemas.wps.cn/vas-ai-hub/contract-review">
      <errorID xmlns="http://schemas.wps.cn/vas-ai-hub/contract-review">7512fc2f-ee68-4832-b11b-c02c39c6365c</errorID>
      <errorWord xmlns="http://schemas.wps.cn/vas-ai-hub/contract-review">44．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1081D635</paraID>
      <start xmlns="http://schemas.wps.cn/vas-ai-hub/contract-review">0</start>
      <end xmlns="http://schemas.wps.cn/vas-ai-hub/contract-review">3</end>
      <status xmlns="http://schemas.wps.cn/vas-ai-hub/contract-review">modified</status>
      <modifiedWord xmlns="http://schemas.wps.cn/vas-ai-hub/contract-review">44.</modifiedWord>
      <trackRevisions xmlns="http://schemas.wps.cn/vas-ai-hub/contract-review">false</trackRevisions>
    </reviewItem>
    <reviewItem xmlns="http://schemas.wps.cn/vas-ai-hub/contract-review">
      <errorID xmlns="http://schemas.wps.cn/vas-ai-hub/contract-review">0792347e-a625-4664-8f49-a330e043de6a</errorID>
      <errorWord xmlns="http://schemas.wps.cn/vas-ai-hub/contract-review">45．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4459D126</paraID>
      <start xmlns="http://schemas.wps.cn/vas-ai-hub/contract-review">0</start>
      <end xmlns="http://schemas.wps.cn/vas-ai-hub/contract-review">3</end>
      <status xmlns="http://schemas.wps.cn/vas-ai-hub/contract-review">modified</status>
      <modifiedWord xmlns="http://schemas.wps.cn/vas-ai-hub/contract-review">45.</modifiedWord>
      <trackRevisions xmlns="http://schemas.wps.cn/vas-ai-hub/contract-review">false</trackRevisions>
    </reviewItem>
    <reviewItem xmlns="http://schemas.wps.cn/vas-ai-hub/contract-review">
      <errorID xmlns="http://schemas.wps.cn/vas-ai-hub/contract-review">438d583a-670b-401d-9201-066417e0966c</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4DCF63FB</paraID>
      <start xmlns="http://schemas.wps.cn/vas-ai-hub/contract-review">69</start>
      <end xmlns="http://schemas.wps.cn/vas-ai-hub/contract-review">74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24a5d118-3701-4286-9191-b342477737b7</errorID>
      <errorWord xmlns="http://schemas.wps.cn/vas-ai-hub/contract-review">、或者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，或者</item>
      </candidateList>
      <explain xmlns="http://schemas.wps.cn/vas-ai-hub/contract-review"/>
      <paraID xmlns="http://schemas.wps.cn/vas-ai-hub/contract-review">7A8024D1</paraID>
      <start xmlns="http://schemas.wps.cn/vas-ai-hub/contract-review">13</start>
      <end xmlns="http://schemas.wps.cn/vas-ai-hub/contract-review">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7f82eaf7-f51b-4da9-a44b-0604ed63b964</errorID>
      <errorWord xmlns="http://schemas.wps.cn/vas-ai-hub/contract-review">提出质疑</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质疑</item>
      </candidateList>
      <explain xmlns="http://schemas.wps.cn/vas-ai-hub/contract-review">该表达中的“提出质疑”存在语义重复。【词汇解析】质疑：提出疑问。与“提出”语义重复。</explain>
      <paraID xmlns="http://schemas.wps.cn/vas-ai-hub/contract-review"> 5618425</paraID>
      <start xmlns="http://schemas.wps.cn/vas-ai-hub/contract-review">8</start>
      <end xmlns="http://schemas.wps.cn/vas-ai-hub/contract-review">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2747e4ab-5509-4653-a290-9fdc42f62743</errorID>
      <errorWord xmlns="http://schemas.wps.cn/vas-ai-hub/contract-review">提出质疑</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质疑</item>
      </candidateList>
      <explain xmlns="http://schemas.wps.cn/vas-ai-hub/contract-review">该表达中的“提出质疑”存在语义重复。【词汇解析】质疑：提出疑问。与“提出”语义重复。</explain>
      <paraID xmlns="http://schemas.wps.cn/vas-ai-hub/contract-review">519D8C8E</paraID>
      <start xmlns="http://schemas.wps.cn/vas-ai-hub/contract-review">80</start>
      <end xmlns="http://schemas.wps.cn/vas-ai-hub/contract-review">84</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3F1051-C3BD-403C-BD85-A148BFC1F9B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89</Pages>
  <Words>14012</Words>
  <Characters>14636</Characters>
  <Lines>1418</Lines>
  <Paragraphs>1355</Paragraphs>
  <TotalTime>0</TotalTime>
  <ScaleCrop>false</ScaleCrop>
  <LinksUpToDate>false</LinksUpToDate>
  <CharactersWithSpaces>14726</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2021-04-21T00:29:00Z</dcterms:created>
  <dc:creator>thsware</dc:creator>
  <cp:lastModifiedBy>yt</cp:lastModifiedBy>
  <cp:lastPrinted>2026-09-23T12:35:00Z</cp:lastPrinted>
  <dcterms:modified xsi:type="dcterms:W3CDTF">2026-09-22T17:21:09Z</dcterms:modified>
  <dc:title>招  标　文　件</dc:title>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885F5772007954CA3B3BB26A6E51C956</vt:lpwstr>
  </property>
  <property fmtid="{D5CDD505-2E9C-101B-9397-08002B2CF9AE}" pid="4" name="KSOTemplateDocerSaveRecord">
    <vt:lpwstr>eyJoZGlkIjoiNjBmYTA2MzdjNzI4ZjVjYTRkMjI2NTliMDY5ZmU0ODciLCJ1c2VySWQiOiIxNDc4MjUzNDQzIn0=</vt:lpwstr>
  </property>
</Properties>
</file>