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171BE">
      <w:pPr>
        <w:jc w:val="center"/>
        <w:rPr>
          <w:rFonts w:hint="eastAsia" w:ascii="方正小标宋简体" w:hAnsi="方正小标宋简体" w:eastAsia="方正小标宋简体" w:cs="方正小标宋简体"/>
          <w:b w:val="0"/>
          <w:bCs w:val="0"/>
          <w:kern w:val="44"/>
          <w:sz w:val="44"/>
          <w:szCs w:val="44"/>
          <w:lang w:val="en-US" w:eastAsia="zh-CN"/>
        </w:rPr>
      </w:pPr>
    </w:p>
    <w:p w14:paraId="71CD3342">
      <w:pPr>
        <w:jc w:val="center"/>
        <w:rPr>
          <w:rFonts w:hint="eastAsia" w:ascii="方正小标宋简体" w:hAnsi="方正小标宋简体" w:eastAsia="方正小标宋简体" w:cs="方正小标宋简体"/>
          <w:b w:val="0"/>
          <w:bCs w:val="0"/>
          <w:kern w:val="44"/>
          <w:sz w:val="44"/>
          <w:szCs w:val="44"/>
          <w:lang w:val="en-US" w:eastAsia="zh-CN"/>
        </w:rPr>
      </w:pPr>
    </w:p>
    <w:p w14:paraId="77113DE3">
      <w:pPr>
        <w:jc w:val="center"/>
        <w:rPr>
          <w:rFonts w:hint="eastAsia" w:ascii="宋体" w:hAnsi="宋体" w:eastAsia="宋体" w:cs="Times New Roman"/>
          <w:b/>
          <w:bCs/>
          <w:color w:val="auto"/>
          <w:sz w:val="52"/>
          <w:szCs w:val="52"/>
          <w:lang w:eastAsia="zh-CN"/>
        </w:rPr>
      </w:pPr>
      <w:r>
        <w:rPr>
          <w:rFonts w:hint="eastAsia" w:ascii="宋体" w:hAnsi="宋体" w:eastAsia="宋体" w:cs="Times New Roman"/>
          <w:b/>
          <w:bCs/>
          <w:color w:val="auto"/>
          <w:sz w:val="52"/>
          <w:szCs w:val="52"/>
          <w:lang w:val="en-US" w:eastAsia="zh-CN"/>
        </w:rPr>
        <w:t>中英街回归广场地下停车场东、西人行出入口玻璃雨棚建设</w:t>
      </w:r>
      <w:r>
        <w:rPr>
          <w:rFonts w:hint="eastAsia" w:ascii="宋体" w:hAnsi="宋体" w:eastAsia="宋体" w:cs="Times New Roman"/>
          <w:b/>
          <w:bCs/>
          <w:color w:val="auto"/>
          <w:sz w:val="52"/>
          <w:szCs w:val="52"/>
          <w:lang w:eastAsia="zh-CN"/>
        </w:rPr>
        <w:t>工程</w:t>
      </w:r>
    </w:p>
    <w:p w14:paraId="7FD12B25">
      <w:pPr>
        <w:jc w:val="center"/>
        <w:rPr>
          <w:rFonts w:ascii="宋体" w:hAnsi="宋体"/>
          <w:color w:val="0000FF"/>
          <w:sz w:val="52"/>
          <w:szCs w:val="52"/>
        </w:rPr>
      </w:pPr>
    </w:p>
    <w:p w14:paraId="57E1AEEA">
      <w:pPr>
        <w:jc w:val="center"/>
        <w:rPr>
          <w:rFonts w:ascii="宋体" w:hAnsi="宋体"/>
          <w:color w:val="0000FF"/>
          <w:sz w:val="52"/>
          <w:szCs w:val="52"/>
        </w:rPr>
      </w:pPr>
    </w:p>
    <w:p w14:paraId="59582094">
      <w:pPr>
        <w:jc w:val="center"/>
        <w:rPr>
          <w:rFonts w:ascii="宋体" w:hAnsi="宋体"/>
          <w:b/>
          <w:color w:val="000000"/>
          <w:sz w:val="90"/>
        </w:rPr>
      </w:pPr>
      <w:r>
        <w:rPr>
          <w:rFonts w:hint="eastAsia" w:ascii="宋体" w:hAnsi="宋体"/>
          <w:b/>
          <w:color w:val="000000"/>
          <w:sz w:val="90"/>
        </w:rPr>
        <w:t>采 购 文 件</w:t>
      </w:r>
    </w:p>
    <w:p w14:paraId="26D09DC1"/>
    <w:p w14:paraId="07F21E84"/>
    <w:p w14:paraId="03B4B545"/>
    <w:p w14:paraId="3A0CDF8F"/>
    <w:p w14:paraId="3C30E57D">
      <w:pPr>
        <w:jc w:val="center"/>
        <w:rPr>
          <w:rFonts w:hint="eastAsia" w:ascii="宋体" w:hAnsi="宋体" w:eastAsia="宋体"/>
          <w:color w:val="000000"/>
          <w:sz w:val="30"/>
          <w:lang w:eastAsia="zh-CN"/>
        </w:rPr>
      </w:pPr>
      <w:r>
        <w:rPr>
          <w:rFonts w:hint="eastAsia" w:ascii="宋体" w:hAnsi="宋体"/>
          <w:color w:val="000000"/>
          <w:sz w:val="30"/>
          <w:lang w:eastAsia="zh-CN"/>
        </w:rPr>
        <w:t>深圳市盐田区中英街管理局</w:t>
      </w:r>
    </w:p>
    <w:p w14:paraId="1E874ACC">
      <w:pPr>
        <w:jc w:val="center"/>
        <w:rPr>
          <w:rFonts w:hint="eastAsia" w:ascii="宋体" w:hAnsi="宋体" w:eastAsia="宋体"/>
          <w:color w:val="000000"/>
          <w:sz w:val="30"/>
          <w:lang w:eastAsia="zh-CN"/>
        </w:rPr>
      </w:pPr>
      <w:r>
        <w:rPr>
          <w:rFonts w:hint="eastAsia" w:ascii="宋体" w:hAnsi="宋体" w:eastAsia="宋体"/>
          <w:color w:val="000000"/>
          <w:sz w:val="30"/>
          <w:lang w:eastAsia="zh-CN"/>
        </w:rPr>
        <w:t>二零二六年十月</w:t>
      </w:r>
    </w:p>
    <w:p w14:paraId="6F57924C">
      <w:pPr>
        <w:jc w:val="center"/>
        <w:rPr>
          <w:sz w:val="80"/>
          <w:szCs w:val="80"/>
        </w:rPr>
      </w:pPr>
    </w:p>
    <w:p w14:paraId="7A5341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44"/>
          <w:sz w:val="44"/>
          <w:szCs w:val="44"/>
          <w:lang w:val="en-US" w:eastAsia="zh-CN"/>
        </w:rPr>
      </w:pPr>
    </w:p>
    <w:p w14:paraId="68FC19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6173387B">
      <w:pPr>
        <w:rPr>
          <w:rFonts w:hint="eastAsia"/>
          <w:lang w:val="en-US" w:eastAsia="zh-CN"/>
        </w:rPr>
      </w:pPr>
      <w:r>
        <w:rPr>
          <w:rFonts w:hint="eastAsia" w:ascii="黑体" w:hAnsi="黑体" w:eastAsia="黑体" w:cs="Times New Roman"/>
          <w:bCs w:val="0"/>
          <w:kern w:val="2"/>
          <w:sz w:val="32"/>
          <w:szCs w:val="32"/>
          <w:lang w:val="en-US" w:eastAsia="zh-CN" w:bidi="ar-SA"/>
        </w:rPr>
        <w:br w:type="page"/>
      </w:r>
    </w:p>
    <w:p w14:paraId="792616ED">
      <w:pPr>
        <w:jc w:val="center"/>
        <w:rPr>
          <w:rFonts w:ascii="宋体" w:hAnsi="宋体"/>
          <w:b w:val="0"/>
          <w:bCs w:val="0"/>
          <w:color w:val="FF0000"/>
          <w:sz w:val="28"/>
          <w:szCs w:val="28"/>
        </w:rPr>
      </w:pPr>
      <w:bookmarkStart w:id="0" w:name="_Hlk73564573"/>
      <w:r>
        <w:rPr>
          <w:rFonts w:hint="eastAsia" w:ascii="宋体" w:hAnsi="宋体" w:eastAsia="黑体"/>
          <w:b w:val="0"/>
          <w:bCs w:val="0"/>
          <w:color w:val="FF0000"/>
          <w:kern w:val="44"/>
          <w:sz w:val="40"/>
          <w:szCs w:val="56"/>
        </w:rPr>
        <w:t>警示条款</w:t>
      </w:r>
    </w:p>
    <w:p w14:paraId="00C59774">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一、</w:t>
      </w:r>
      <w:r>
        <w:rPr>
          <w:rFonts w:hint="eastAsia" w:ascii="宋体" w:hAnsi="宋体"/>
          <w:b/>
          <w:bCs/>
          <w:color w:val="FF0000"/>
          <w:sz w:val="22"/>
          <w:szCs w:val="22"/>
        </w:rPr>
        <w:t>《深圳经济特区政府采购条例》第五十七条</w:t>
      </w:r>
      <w:r>
        <w:rPr>
          <w:rFonts w:hint="eastAsia" w:ascii="宋体" w:hAnsi="宋体"/>
          <w:color w:val="FF0000"/>
          <w:sz w:val="22"/>
          <w:szCs w:val="22"/>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0A7682EE">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（一）在采购活动中应当回避而未回避的；</w:t>
      </w:r>
    </w:p>
    <w:p w14:paraId="1CC30A37">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（二）未按本条例规定签订、履行采购合同，造成严重后果的；</w:t>
      </w:r>
    </w:p>
    <w:p w14:paraId="4DA9B9FE">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（三）隐瞒真实情况，提供虚假资料的；</w:t>
      </w:r>
    </w:p>
    <w:p w14:paraId="57EDE92E">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（四）以非法手段排斥其他供应商参与竞争的；</w:t>
      </w:r>
    </w:p>
    <w:p w14:paraId="3AE8065B">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（五）与其他采购参加人串通投标的；</w:t>
      </w:r>
    </w:p>
    <w:p w14:paraId="4DFDF0FB">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（六）恶意投诉的；</w:t>
      </w:r>
    </w:p>
    <w:p w14:paraId="3CA9A279">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（七）向采购项目相关人行贿或者提供其他不当利益的；</w:t>
      </w:r>
    </w:p>
    <w:p w14:paraId="1A66E87C">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（八）阻碍、抗拒主管部门监督检查的；</w:t>
      </w:r>
    </w:p>
    <w:p w14:paraId="40C5831A">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（九）其他违反本条例规定的行为。</w:t>
      </w:r>
    </w:p>
    <w:p w14:paraId="7C69A03B">
      <w:pPr>
        <w:keepNext w:val="0"/>
        <w:keepLines w:val="0"/>
        <w:pageBreakBefore w:val="0"/>
        <w:widowControl w:val="0"/>
        <w:kinsoku/>
        <w:wordWrap/>
        <w:overflowPunct/>
        <w:topLinePunct w:val="0"/>
        <w:autoSpaceDE/>
        <w:autoSpaceDN/>
        <w:bidi w:val="0"/>
        <w:spacing w:line="500" w:lineRule="exact"/>
        <w:ind w:firstLine="442" w:firstLineChars="200"/>
        <w:jc w:val="left"/>
        <w:textAlignment w:val="auto"/>
        <w:rPr>
          <w:rFonts w:ascii="宋体" w:hAnsi="宋体"/>
          <w:color w:val="FF0000"/>
          <w:sz w:val="22"/>
          <w:szCs w:val="22"/>
        </w:rPr>
      </w:pPr>
      <w:r>
        <w:rPr>
          <w:rFonts w:hint="eastAsia" w:ascii="宋体" w:hAnsi="宋体"/>
          <w:b/>
          <w:bCs/>
          <w:color w:val="FF0000"/>
          <w:sz w:val="22"/>
          <w:szCs w:val="22"/>
        </w:rPr>
        <w:t>二、《深圳经济特区政府采购条例实施细则》第七十五条</w:t>
      </w:r>
      <w:r>
        <w:rPr>
          <w:rFonts w:hint="eastAsia" w:ascii="宋体" w:hAnsi="宋体"/>
          <w:b/>
          <w:bCs/>
          <w:color w:val="FF0000"/>
          <w:sz w:val="22"/>
          <w:szCs w:val="22"/>
          <w:lang w:val="en-US" w:eastAsia="zh-CN"/>
        </w:rPr>
        <w:t xml:space="preserve"> </w:t>
      </w:r>
      <w:r>
        <w:rPr>
          <w:rFonts w:hint="eastAsia" w:ascii="宋体" w:hAnsi="宋体"/>
          <w:color w:val="FF0000"/>
          <w:sz w:val="22"/>
          <w:szCs w:val="22"/>
        </w:rPr>
        <w:t>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14:paraId="6D279E55">
      <w:pPr>
        <w:keepNext w:val="0"/>
        <w:keepLines w:val="0"/>
        <w:pageBreakBefore w:val="0"/>
        <w:widowControl w:val="0"/>
        <w:kinsoku/>
        <w:wordWrap/>
        <w:overflowPunct/>
        <w:topLinePunct w:val="0"/>
        <w:autoSpaceDE/>
        <w:autoSpaceDN/>
        <w:bidi w:val="0"/>
        <w:spacing w:line="500" w:lineRule="exact"/>
        <w:ind w:firstLine="442" w:firstLineChars="200"/>
        <w:jc w:val="left"/>
        <w:textAlignment w:val="auto"/>
        <w:rPr>
          <w:rFonts w:ascii="宋体" w:hAnsi="宋体"/>
          <w:color w:val="FF0000"/>
          <w:sz w:val="22"/>
          <w:szCs w:val="22"/>
        </w:rPr>
      </w:pPr>
      <w:r>
        <w:rPr>
          <w:rFonts w:hint="eastAsia" w:ascii="宋体" w:hAnsi="宋体"/>
          <w:b/>
          <w:bCs/>
          <w:color w:val="FF0000"/>
          <w:sz w:val="22"/>
          <w:szCs w:val="22"/>
        </w:rPr>
        <w:t>三、《深圳经济特区政府采购条例实施细则》第七十七条</w:t>
      </w:r>
      <w:r>
        <w:rPr>
          <w:rFonts w:hint="eastAsia" w:ascii="宋体" w:hAnsi="宋体"/>
          <w:b/>
          <w:bCs/>
          <w:color w:val="FF0000"/>
          <w:sz w:val="22"/>
          <w:szCs w:val="22"/>
          <w:lang w:val="en-US" w:eastAsia="zh-CN"/>
        </w:rPr>
        <w:t xml:space="preserve"> </w:t>
      </w:r>
      <w:r>
        <w:rPr>
          <w:rFonts w:hint="eastAsia" w:ascii="宋体" w:hAnsi="宋体"/>
          <w:color w:val="FF0000"/>
          <w:sz w:val="22"/>
          <w:szCs w:val="22"/>
        </w:rPr>
        <w:t>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73E50C0F">
      <w:pPr>
        <w:keepNext w:val="0"/>
        <w:keepLines w:val="0"/>
        <w:pageBreakBefore w:val="0"/>
        <w:widowControl w:val="0"/>
        <w:kinsoku/>
        <w:wordWrap/>
        <w:overflowPunct/>
        <w:topLinePunct w:val="0"/>
        <w:autoSpaceDE/>
        <w:autoSpaceDN/>
        <w:bidi w:val="0"/>
        <w:spacing w:line="500" w:lineRule="exact"/>
        <w:ind w:firstLine="440" w:firstLineChars="200"/>
        <w:jc w:val="left"/>
        <w:textAlignment w:val="auto"/>
        <w:rPr>
          <w:rFonts w:ascii="宋体" w:hAnsi="宋体"/>
          <w:color w:val="FF0000"/>
          <w:sz w:val="22"/>
          <w:szCs w:val="22"/>
        </w:rPr>
      </w:pPr>
      <w:r>
        <w:rPr>
          <w:rFonts w:hint="eastAsia" w:ascii="宋体" w:hAnsi="宋体"/>
          <w:color w:val="FF0000"/>
          <w:sz w:val="22"/>
          <w:szCs w:val="22"/>
        </w:rPr>
        <w:t>投标供应商不能提供项目负责人或者主要技术人员的劳动合同、社会保险等劳动关系证明材料的，视为存在前款第（三）项规定的情形。</w:t>
      </w:r>
    </w:p>
    <w:p w14:paraId="1068FEAA">
      <w:pPr>
        <w:keepNext w:val="0"/>
        <w:keepLines w:val="0"/>
        <w:pageBreakBefore w:val="0"/>
        <w:widowControl w:val="0"/>
        <w:kinsoku/>
        <w:wordWrap/>
        <w:overflowPunct/>
        <w:topLinePunct w:val="0"/>
        <w:autoSpaceDE/>
        <w:autoSpaceDN/>
        <w:bidi w:val="0"/>
        <w:spacing w:line="500" w:lineRule="exact"/>
        <w:ind w:firstLine="482" w:firstLineChars="200"/>
        <w:jc w:val="left"/>
        <w:textAlignment w:val="auto"/>
        <w:rPr>
          <w:rFonts w:ascii="宋体" w:hAnsi="宋体"/>
          <w:color w:val="FF0000"/>
          <w:sz w:val="22"/>
          <w:szCs w:val="22"/>
        </w:rPr>
      </w:pPr>
      <w:r>
        <w:rPr>
          <w:rFonts w:hint="eastAsia"/>
          <w:b/>
          <w:color w:val="FF0000"/>
          <w:sz w:val="24"/>
          <w:szCs w:val="24"/>
        </w:rPr>
        <w:t>四、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处罚或处理。</w:t>
      </w:r>
    </w:p>
    <w:p w14:paraId="77508328">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jc w:val="left"/>
        <w:textAlignment w:val="auto"/>
        <w:rPr>
          <w:color w:val="FF0000"/>
          <w:sz w:val="24"/>
          <w:szCs w:val="24"/>
        </w:rPr>
      </w:pPr>
      <w:r>
        <w:rPr>
          <w:rFonts w:hint="eastAsia"/>
          <w:b/>
          <w:color w:val="FF0000"/>
          <w:sz w:val="24"/>
          <w:szCs w:val="24"/>
          <w:highlight w:val="none"/>
        </w:rPr>
        <w:t>五、请投标供应商阅读《政府采购违法行为风险知悉确认书》</w:t>
      </w:r>
      <w:r>
        <w:rPr>
          <w:rFonts w:hint="eastAsia"/>
          <w:color w:val="FF0000"/>
          <w:sz w:val="24"/>
          <w:szCs w:val="24"/>
          <w:highlight w:val="none"/>
        </w:rPr>
        <w:t>（内容详见“第三章 投标格式”中“投标文件</w:t>
      </w:r>
      <w:r>
        <w:rPr>
          <w:color w:val="FF0000"/>
          <w:sz w:val="24"/>
          <w:szCs w:val="24"/>
          <w:highlight w:val="none"/>
        </w:rPr>
        <w:t>第一部分</w:t>
      </w:r>
      <w:r>
        <w:rPr>
          <w:rFonts w:hint="eastAsia"/>
          <w:color w:val="FF0000"/>
          <w:sz w:val="24"/>
          <w:szCs w:val="24"/>
          <w:highlight w:val="none"/>
        </w:rPr>
        <w:t>”），并经各投标供应商负责人或投标授权代表签字并加盖单位公章后，扫描上传至投标文件一并提交。</w:t>
      </w:r>
      <w:r>
        <w:rPr>
          <w:rFonts w:hint="eastAsia"/>
          <w:color w:val="FF0000"/>
          <w:sz w:val="24"/>
          <w:szCs w:val="24"/>
          <w:highlight w:val="yellow"/>
        </w:rPr>
        <w:br w:type="textWrapping"/>
      </w:r>
      <w:r>
        <w:rPr>
          <w:rFonts w:hint="eastAsia"/>
          <w:color w:val="FF0000"/>
          <w:sz w:val="24"/>
          <w:szCs w:val="24"/>
        </w:rPr>
        <w:t>注：该风险知悉确认书用于对供应商违法行为的警示，不作为供应商资格性审查及符合性审查条件。</w:t>
      </w:r>
    </w:p>
    <w:p w14:paraId="7A042186">
      <w:pPr>
        <w:keepNext w:val="0"/>
        <w:keepLines w:val="0"/>
        <w:pageBreakBefore w:val="0"/>
        <w:widowControl w:val="0"/>
        <w:kinsoku/>
        <w:wordWrap/>
        <w:overflowPunct/>
        <w:topLinePunct w:val="0"/>
        <w:autoSpaceDE/>
        <w:autoSpaceDN/>
        <w:bidi w:val="0"/>
        <w:spacing w:line="500" w:lineRule="exact"/>
        <w:ind w:firstLine="400" w:firstLineChars="200"/>
        <w:jc w:val="left"/>
        <w:textAlignment w:val="auto"/>
        <w:rPr>
          <w:rFonts w:ascii="宋体" w:hAnsi="宋体"/>
          <w:color w:val="FF0000"/>
          <w:sz w:val="20"/>
          <w:szCs w:val="20"/>
        </w:rPr>
      </w:pPr>
    </w:p>
    <w:p w14:paraId="65677185">
      <w:pPr>
        <w:ind w:firstLine="400" w:firstLineChars="200"/>
        <w:rPr>
          <w:rFonts w:ascii="宋体" w:hAnsi="宋体"/>
          <w:color w:val="FF0000"/>
          <w:sz w:val="20"/>
          <w:szCs w:val="20"/>
        </w:rPr>
      </w:pPr>
    </w:p>
    <w:p w14:paraId="2F89523B">
      <w:pPr>
        <w:rPr>
          <w:rFonts w:ascii="宋体" w:hAnsi="宋体"/>
          <w:color w:val="FF0000"/>
          <w:sz w:val="20"/>
          <w:szCs w:val="20"/>
        </w:rPr>
      </w:pPr>
    </w:p>
    <w:bookmarkEnd w:id="0"/>
    <w:p w14:paraId="21E07EAC">
      <w:pPr>
        <w:rPr>
          <w:rFonts w:hint="eastAsia" w:ascii="宋体" w:hAnsi="宋体" w:eastAsia="宋体" w:cs="Times New Roman"/>
          <w:b/>
          <w:color w:val="000000"/>
          <w:kern w:val="2"/>
          <w:sz w:val="90"/>
          <w:szCs w:val="21"/>
          <w:lang w:val="en-US" w:eastAsia="zh-CN" w:bidi="ar-SA"/>
        </w:rPr>
      </w:pPr>
      <w:bookmarkStart w:id="1" w:name="_Toc82421265"/>
      <w:bookmarkStart w:id="2" w:name="_Toc82421158"/>
      <w:bookmarkStart w:id="3" w:name="_Toc31326"/>
      <w:r>
        <w:rPr>
          <w:rFonts w:hint="eastAsia" w:ascii="宋体" w:hAnsi="宋体" w:eastAsia="宋体" w:cs="Times New Roman"/>
          <w:b/>
          <w:color w:val="000000"/>
          <w:kern w:val="2"/>
          <w:sz w:val="90"/>
          <w:szCs w:val="21"/>
          <w:lang w:val="en-US" w:eastAsia="zh-CN" w:bidi="ar-SA"/>
        </w:rPr>
        <w:br w:type="page"/>
      </w:r>
    </w:p>
    <w:p w14:paraId="593C6A6B">
      <w:pPr>
        <w:pStyle w:val="3"/>
        <w:jc w:val="center"/>
        <w:rPr>
          <w:rFonts w:hint="eastAsia" w:ascii="宋体" w:hAnsi="宋体" w:eastAsia="宋体" w:cs="Times New Roman"/>
          <w:b/>
          <w:color w:val="000000"/>
          <w:kern w:val="2"/>
          <w:sz w:val="90"/>
          <w:szCs w:val="21"/>
          <w:lang w:val="en-US" w:eastAsia="zh-CN" w:bidi="ar-SA"/>
        </w:rPr>
      </w:pPr>
      <w:r>
        <w:rPr>
          <w:rFonts w:hint="eastAsia" w:ascii="宋体" w:hAnsi="宋体" w:eastAsia="宋体" w:cs="Times New Roman"/>
          <w:b/>
          <w:color w:val="000000"/>
          <w:kern w:val="2"/>
          <w:sz w:val="90"/>
          <w:szCs w:val="21"/>
          <w:lang w:val="en-US" w:eastAsia="zh-CN" w:bidi="ar-SA"/>
        </w:rPr>
        <w:t>关键信息</w:t>
      </w:r>
      <w:bookmarkEnd w:id="1"/>
      <w:bookmarkEnd w:id="2"/>
      <w:bookmarkEnd w:id="3"/>
    </w:p>
    <w:p w14:paraId="70C57F5C"/>
    <w:p w14:paraId="739ED4D8">
      <w:pPr>
        <w:pStyle w:val="6"/>
        <w:rPr>
          <w:color w:val="auto"/>
          <w:sz w:val="36"/>
          <w:szCs w:val="36"/>
        </w:rPr>
      </w:pPr>
      <w:bookmarkStart w:id="4" w:name="_Toc82421159"/>
      <w:bookmarkStart w:id="5" w:name="_Toc82421266"/>
      <w:bookmarkStart w:id="6" w:name="_Toc2749"/>
      <w:r>
        <w:rPr>
          <w:rFonts w:hint="eastAsia"/>
          <w:color w:val="auto"/>
          <w:sz w:val="36"/>
          <w:szCs w:val="36"/>
        </w:rPr>
        <w:t>项目信息</w:t>
      </w:r>
      <w:bookmarkEnd w:id="4"/>
      <w:bookmarkEnd w:id="5"/>
      <w:bookmarkEnd w:id="6"/>
    </w:p>
    <w:p w14:paraId="6C822342">
      <w:pPr>
        <w:ind w:left="2880" w:hanging="2880" w:hangingChars="900"/>
        <w:rPr>
          <w:rFonts w:hint="eastAsia" w:ascii="宋体" w:hAnsi="宋体" w:eastAsia="宋体"/>
          <w:color w:val="FF0000"/>
          <w:sz w:val="32"/>
          <w:lang w:eastAsia="zh-CN"/>
        </w:rPr>
      </w:pPr>
      <w:r>
        <w:rPr>
          <w:rFonts w:ascii="宋体" w:hAnsi="宋体"/>
          <w:color w:val="000000"/>
          <w:sz w:val="32"/>
        </w:rPr>
        <w:t xml:space="preserve">      项目名称：</w:t>
      </w:r>
      <w:r>
        <w:rPr>
          <w:rFonts w:hint="eastAsia" w:ascii="宋体" w:hAnsi="宋体" w:eastAsia="宋体" w:cs="Times New Roman"/>
          <w:color w:val="000000"/>
          <w:sz w:val="32"/>
          <w:lang w:val="en-US" w:eastAsia="zh-CN"/>
        </w:rPr>
        <w:t>中英街回归广场地下停车场东、西人行出入口玻璃雨棚建设项目</w:t>
      </w:r>
    </w:p>
    <w:p w14:paraId="21251852">
      <w:pPr>
        <w:rPr>
          <w:rFonts w:ascii="宋体" w:hAnsi="宋体"/>
          <w:color w:val="000000"/>
          <w:sz w:val="32"/>
        </w:rPr>
      </w:pPr>
      <w:r>
        <w:rPr>
          <w:rFonts w:ascii="宋体" w:hAnsi="宋体"/>
          <w:color w:val="000000"/>
          <w:sz w:val="32"/>
        </w:rPr>
        <w:t xml:space="preserve">      项目类型：  </w:t>
      </w:r>
      <w:r>
        <w:rPr>
          <w:rFonts w:hint="eastAsia" w:ascii="宋体" w:hAnsi="宋体"/>
          <w:color w:val="000000"/>
          <w:sz w:val="32"/>
        </w:rPr>
        <w:t>工程</w:t>
      </w:r>
      <w:r>
        <w:rPr>
          <w:rFonts w:ascii="宋体" w:hAnsi="宋体"/>
          <w:color w:val="000000"/>
          <w:sz w:val="32"/>
        </w:rPr>
        <w:t>类</w:t>
      </w:r>
    </w:p>
    <w:p w14:paraId="1B87B659">
      <w:pPr>
        <w:rPr>
          <w:rFonts w:hint="eastAsia" w:ascii="宋体" w:hAnsi="宋体" w:eastAsia="宋体"/>
          <w:color w:val="000000"/>
          <w:sz w:val="32"/>
          <w:lang w:eastAsia="zh-CN"/>
        </w:rPr>
      </w:pPr>
      <w:r>
        <w:rPr>
          <w:rFonts w:ascii="宋体" w:hAnsi="宋体"/>
          <w:color w:val="000000"/>
          <w:sz w:val="32"/>
        </w:rPr>
        <w:t xml:space="preserve">      采购方式：  公开</w:t>
      </w:r>
      <w:r>
        <w:rPr>
          <w:rFonts w:hint="eastAsia" w:ascii="宋体" w:hAnsi="宋体"/>
          <w:color w:val="000000"/>
          <w:sz w:val="32"/>
          <w:lang w:eastAsia="zh-CN"/>
        </w:rPr>
        <w:t>征集</w:t>
      </w:r>
    </w:p>
    <w:p w14:paraId="739370DE">
      <w:pPr>
        <w:rPr>
          <w:rFonts w:ascii="宋体" w:hAnsi="宋体"/>
          <w:color w:val="000000"/>
          <w:sz w:val="32"/>
        </w:rPr>
      </w:pPr>
      <w:r>
        <w:rPr>
          <w:rFonts w:ascii="宋体" w:hAnsi="宋体"/>
          <w:color w:val="000000"/>
          <w:sz w:val="32"/>
        </w:rPr>
        <w:t xml:space="preserve">      货币类型：  人民币</w:t>
      </w:r>
    </w:p>
    <w:p w14:paraId="6083D659">
      <w:pPr>
        <w:pStyle w:val="16"/>
        <w:jc w:val="center"/>
        <w:outlineLvl w:val="1"/>
        <w:rPr>
          <w:rFonts w:hint="eastAsia" w:ascii="黑体" w:hAnsi="黑体" w:eastAsia="黑体"/>
          <w:color w:val="auto"/>
          <w:sz w:val="40"/>
          <w:szCs w:val="40"/>
          <w:highlight w:val="none"/>
        </w:rPr>
      </w:pPr>
    </w:p>
    <w:p w14:paraId="0F31986A">
      <w:pPr>
        <w:pStyle w:val="16"/>
        <w:jc w:val="center"/>
        <w:outlineLvl w:val="1"/>
        <w:rPr>
          <w:rFonts w:hint="eastAsia" w:ascii="黑体" w:hAnsi="黑体" w:eastAsia="黑体"/>
          <w:color w:val="auto"/>
          <w:sz w:val="40"/>
          <w:szCs w:val="40"/>
          <w:highlight w:val="none"/>
        </w:rPr>
      </w:pPr>
      <w:r>
        <w:rPr>
          <w:rFonts w:hint="eastAsia" w:ascii="黑体" w:hAnsi="黑体" w:eastAsia="黑体"/>
          <w:color w:val="auto"/>
          <w:sz w:val="40"/>
          <w:szCs w:val="40"/>
          <w:highlight w:val="none"/>
        </w:rPr>
        <w:t>资格性审查表</w:t>
      </w:r>
    </w:p>
    <w:p w14:paraId="6EA50C82">
      <w:pPr>
        <w:jc w:val="center"/>
        <w:rPr>
          <w:rFonts w:hint="eastAsia" w:ascii="黑体" w:hAnsi="黑体" w:eastAsia="黑体"/>
          <w:color w:val="auto"/>
          <w:sz w:val="40"/>
          <w:szCs w:val="40"/>
          <w:highlight w:val="none"/>
          <w:lang w:val="en-US" w:eastAsia="zh-CN"/>
        </w:rPr>
      </w:pPr>
      <w:r>
        <w:rPr>
          <w:rFonts w:hint="eastAsia"/>
          <w:b/>
          <w:color w:val="FF0000"/>
        </w:rPr>
        <w:t>（凡有下列情形之一的，资格性检查不通过，投标无效）</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7786BF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3628C31D">
            <w:pPr>
              <w:jc w:val="center"/>
              <w:rPr>
                <w:rFonts w:ascii="宋体" w:hAnsi="宋体" w:cs="宋体"/>
                <w:color w:val="auto"/>
                <w:sz w:val="28"/>
                <w:szCs w:val="28"/>
                <w:highlight w:val="none"/>
              </w:rPr>
            </w:pPr>
            <w:r>
              <w:rPr>
                <w:color w:val="auto"/>
                <w:sz w:val="28"/>
                <w:szCs w:val="28"/>
                <w:highlight w:val="none"/>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0FB0275">
            <w:pPr>
              <w:jc w:val="center"/>
              <w:rPr>
                <w:rFonts w:ascii="宋体" w:hAnsi="宋体" w:cs="宋体"/>
                <w:color w:val="auto"/>
                <w:sz w:val="28"/>
                <w:szCs w:val="28"/>
                <w:highlight w:val="none"/>
              </w:rPr>
            </w:pPr>
            <w:r>
              <w:rPr>
                <w:color w:val="auto"/>
                <w:sz w:val="28"/>
                <w:szCs w:val="28"/>
                <w:highlight w:val="none"/>
              </w:rPr>
              <w:t>内容</w:t>
            </w:r>
          </w:p>
        </w:tc>
      </w:tr>
      <w:tr w14:paraId="43F2D0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70CBF706">
            <w:pPr>
              <w:jc w:val="center"/>
              <w:rPr>
                <w:rFonts w:ascii="宋体" w:hAnsi="宋体" w:cs="宋体"/>
                <w:color w:val="auto"/>
                <w:szCs w:val="21"/>
                <w:highlight w:val="none"/>
              </w:rPr>
            </w:pPr>
            <w:r>
              <w:rPr>
                <w:color w:val="auto"/>
                <w:szCs w:val="21"/>
                <w:highlight w:val="none"/>
              </w:rPr>
              <w:t>1</w:t>
            </w:r>
          </w:p>
        </w:tc>
        <w:tc>
          <w:tcPr>
            <w:tcW w:w="8278" w:type="dxa"/>
            <w:tcBorders>
              <w:top w:val="single" w:color="000000" w:sz="8" w:space="0"/>
              <w:left w:val="single" w:color="000000" w:sz="8" w:space="0"/>
              <w:bottom w:val="single" w:color="000000" w:sz="8" w:space="0"/>
              <w:right w:val="single" w:color="000000" w:sz="8" w:space="0"/>
            </w:tcBorders>
          </w:tcPr>
          <w:p w14:paraId="55027DFE">
            <w:pPr>
              <w:rPr>
                <w:color w:val="auto"/>
                <w:highlight w:val="none"/>
              </w:rPr>
            </w:pPr>
            <w:r>
              <w:rPr>
                <w:rFonts w:hint="eastAsia"/>
                <w:color w:val="auto"/>
                <w:highlight w:val="none"/>
              </w:rPr>
              <w:t>投标人不具备</w:t>
            </w:r>
            <w:r>
              <w:rPr>
                <w:rFonts w:hint="eastAsia"/>
                <w:color w:val="auto"/>
                <w:highlight w:val="none"/>
                <w:lang w:eastAsia="zh-CN"/>
              </w:rPr>
              <w:t>采购文件</w:t>
            </w:r>
            <w:r>
              <w:rPr>
                <w:rFonts w:hint="eastAsia"/>
                <w:color w:val="auto"/>
                <w:highlight w:val="none"/>
              </w:rPr>
              <w:t>所列的资格要求，或未提交相应的资格证明资料（详见</w:t>
            </w:r>
            <w:r>
              <w:rPr>
                <w:rFonts w:hint="eastAsia"/>
                <w:color w:val="auto"/>
                <w:highlight w:val="none"/>
                <w:lang w:eastAsia="zh-CN"/>
              </w:rPr>
              <w:t>自行采购公告</w:t>
            </w:r>
            <w:r>
              <w:rPr>
                <w:rFonts w:hint="eastAsia"/>
                <w:color w:val="auto"/>
                <w:highlight w:val="none"/>
              </w:rPr>
              <w:t>投标人资格要求）</w:t>
            </w:r>
          </w:p>
        </w:tc>
      </w:tr>
    </w:tbl>
    <w:p w14:paraId="1E324183">
      <w:pPr>
        <w:pStyle w:val="16"/>
        <w:keepNext w:val="0"/>
        <w:keepLines w:val="0"/>
        <w:pageBreakBefore w:val="0"/>
        <w:widowControl w:val="0"/>
        <w:kinsoku/>
        <w:wordWrap/>
        <w:overflowPunct/>
        <w:topLinePunct w:val="0"/>
        <w:autoSpaceDE/>
        <w:autoSpaceDN/>
        <w:bidi w:val="0"/>
        <w:adjustRightInd/>
        <w:snapToGrid/>
        <w:spacing w:before="280" w:line="560" w:lineRule="exact"/>
        <w:jc w:val="center"/>
        <w:textAlignment w:val="auto"/>
        <w:outlineLvl w:val="1"/>
        <w:rPr>
          <w:rFonts w:hint="eastAsia" w:ascii="黑体" w:hAnsi="黑体" w:eastAsia="黑体"/>
          <w:color w:val="auto"/>
          <w:sz w:val="22"/>
          <w:szCs w:val="22"/>
          <w:highlight w:val="none"/>
        </w:rPr>
      </w:pPr>
    </w:p>
    <w:p w14:paraId="14EF6DEF">
      <w:pPr>
        <w:pStyle w:val="16"/>
        <w:keepNext w:val="0"/>
        <w:keepLines w:val="0"/>
        <w:pageBreakBefore w:val="0"/>
        <w:widowControl w:val="0"/>
        <w:kinsoku/>
        <w:wordWrap/>
        <w:overflowPunct/>
        <w:topLinePunct w:val="0"/>
        <w:autoSpaceDE/>
        <w:autoSpaceDN/>
        <w:bidi w:val="0"/>
        <w:adjustRightInd/>
        <w:snapToGrid/>
        <w:spacing w:before="280" w:line="560" w:lineRule="exact"/>
        <w:jc w:val="center"/>
        <w:textAlignment w:val="auto"/>
        <w:outlineLvl w:val="1"/>
        <w:rPr>
          <w:rFonts w:hint="eastAsia" w:ascii="黑体" w:hAnsi="黑体" w:eastAsia="黑体"/>
          <w:color w:val="auto"/>
          <w:sz w:val="40"/>
          <w:szCs w:val="40"/>
          <w:highlight w:val="none"/>
        </w:rPr>
      </w:pPr>
      <w:r>
        <w:rPr>
          <w:rFonts w:hint="eastAsia" w:ascii="黑体" w:hAnsi="黑体" w:eastAsia="黑体"/>
          <w:color w:val="auto"/>
          <w:sz w:val="40"/>
          <w:szCs w:val="40"/>
          <w:highlight w:val="none"/>
        </w:rPr>
        <w:t>符合性审查表</w:t>
      </w:r>
    </w:p>
    <w:p w14:paraId="393BD3CB">
      <w:pPr>
        <w:jc w:val="center"/>
        <w:rPr>
          <w:rFonts w:hint="eastAsia" w:ascii="黑体" w:hAnsi="黑体" w:eastAsia="黑体"/>
          <w:color w:val="auto"/>
          <w:sz w:val="40"/>
          <w:szCs w:val="40"/>
          <w:highlight w:val="none"/>
        </w:rPr>
      </w:pPr>
      <w:r>
        <w:rPr>
          <w:rFonts w:hint="eastAsia"/>
          <w:b/>
          <w:color w:val="FF0000"/>
        </w:rPr>
        <w:t>（凡有下列情形之一的，符合性检查不通过，投标无效）</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33A75C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3D06F09E">
            <w:pPr>
              <w:jc w:val="center"/>
              <w:rPr>
                <w:rFonts w:ascii="宋体" w:hAnsi="宋体" w:cs="宋体"/>
                <w:color w:val="auto"/>
                <w:sz w:val="28"/>
                <w:szCs w:val="28"/>
                <w:highlight w:val="none"/>
              </w:rPr>
            </w:pPr>
            <w:r>
              <w:rPr>
                <w:color w:val="auto"/>
                <w:sz w:val="28"/>
                <w:szCs w:val="28"/>
                <w:highlight w:val="none"/>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277C584">
            <w:pPr>
              <w:jc w:val="center"/>
              <w:rPr>
                <w:rFonts w:ascii="宋体" w:hAnsi="宋体" w:cs="宋体"/>
                <w:color w:val="auto"/>
                <w:sz w:val="28"/>
                <w:szCs w:val="28"/>
                <w:highlight w:val="none"/>
              </w:rPr>
            </w:pPr>
            <w:r>
              <w:rPr>
                <w:color w:val="auto"/>
                <w:sz w:val="28"/>
                <w:szCs w:val="28"/>
                <w:highlight w:val="none"/>
              </w:rPr>
              <w:t>内容</w:t>
            </w:r>
          </w:p>
        </w:tc>
      </w:tr>
      <w:tr w14:paraId="3C24B5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41514A4">
            <w:pPr>
              <w:jc w:val="center"/>
              <w:rPr>
                <w:rFonts w:ascii="宋体" w:hAnsi="宋体" w:cs="宋体"/>
                <w:color w:val="auto"/>
                <w:szCs w:val="21"/>
                <w:highlight w:val="none"/>
              </w:rPr>
            </w:pPr>
            <w:r>
              <w:rPr>
                <w:color w:val="auto"/>
                <w:szCs w:val="21"/>
                <w:highlight w:val="none"/>
              </w:rPr>
              <w:t>1</w:t>
            </w:r>
          </w:p>
        </w:tc>
        <w:tc>
          <w:tcPr>
            <w:tcW w:w="8278" w:type="dxa"/>
            <w:tcBorders>
              <w:top w:val="single" w:color="000000" w:sz="8" w:space="0"/>
              <w:left w:val="single" w:color="000000" w:sz="8" w:space="0"/>
              <w:bottom w:val="single" w:color="000000" w:sz="8" w:space="0"/>
              <w:right w:val="single" w:color="000000" w:sz="8" w:space="0"/>
            </w:tcBorders>
            <w:vAlign w:val="center"/>
          </w:tcPr>
          <w:p w14:paraId="66B1E06F">
            <w:pPr>
              <w:adjustRightInd w:val="0"/>
              <w:snapToGrid w:val="0"/>
              <w:jc w:val="left"/>
              <w:rPr>
                <w:rFonts w:ascii="宋体" w:hAnsi="宋体" w:cs="宋体"/>
                <w:color w:val="auto"/>
                <w:szCs w:val="21"/>
                <w:highlight w:val="none"/>
              </w:rPr>
            </w:pPr>
            <w:r>
              <w:t>将一个包或一个标段的内容拆开投标</w:t>
            </w:r>
          </w:p>
        </w:tc>
      </w:tr>
      <w:tr w14:paraId="08E93B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88FC4C0">
            <w:pPr>
              <w:jc w:val="center"/>
              <w:rPr>
                <w:rFonts w:ascii="宋体" w:hAnsi="宋体" w:cs="宋体"/>
                <w:color w:val="auto"/>
                <w:szCs w:val="21"/>
                <w:highlight w:val="none"/>
              </w:rPr>
            </w:pPr>
            <w:r>
              <w:rPr>
                <w:color w:val="auto"/>
                <w:szCs w:val="21"/>
                <w:highlight w:val="none"/>
              </w:rPr>
              <w:t>2</w:t>
            </w:r>
          </w:p>
        </w:tc>
        <w:tc>
          <w:tcPr>
            <w:tcW w:w="8278" w:type="dxa"/>
            <w:tcBorders>
              <w:top w:val="single" w:color="000000" w:sz="8" w:space="0"/>
              <w:left w:val="single" w:color="000000" w:sz="8" w:space="0"/>
              <w:bottom w:val="single" w:color="000000" w:sz="8" w:space="0"/>
              <w:right w:val="single" w:color="000000" w:sz="8" w:space="0"/>
            </w:tcBorders>
            <w:vAlign w:val="center"/>
          </w:tcPr>
          <w:p w14:paraId="3D7880CC">
            <w:pPr>
              <w:adjustRightInd w:val="0"/>
              <w:snapToGrid w:val="0"/>
              <w:spacing w:line="360" w:lineRule="auto"/>
              <w:jc w:val="left"/>
              <w:rPr>
                <w:rFonts w:ascii="宋体" w:hAnsi="宋体" w:cs="宋体"/>
                <w:color w:val="auto"/>
                <w:szCs w:val="21"/>
                <w:highlight w:val="none"/>
              </w:rPr>
            </w:pPr>
            <w:r>
              <w:t>同一项目出现两个及以上报价，且按规定无法确定哪个是有效报价</w:t>
            </w:r>
            <w:r>
              <w:rPr>
                <w:highlight w:val="none"/>
              </w:rPr>
              <w:t>（见通用条款34.错误的修正）</w:t>
            </w:r>
          </w:p>
        </w:tc>
      </w:tr>
      <w:tr w14:paraId="7385E0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6C793A69">
            <w:pPr>
              <w:jc w:val="center"/>
              <w:rPr>
                <w:rFonts w:ascii="宋体" w:hAnsi="宋体" w:cs="宋体"/>
                <w:color w:val="auto"/>
                <w:szCs w:val="21"/>
                <w:highlight w:val="none"/>
              </w:rPr>
            </w:pPr>
            <w:r>
              <w:rPr>
                <w:color w:val="auto"/>
                <w:szCs w:val="21"/>
                <w:highlight w:val="none"/>
              </w:rPr>
              <w:t>3</w:t>
            </w:r>
          </w:p>
        </w:tc>
        <w:tc>
          <w:tcPr>
            <w:tcW w:w="8278" w:type="dxa"/>
            <w:tcBorders>
              <w:top w:val="single" w:color="000000" w:sz="8" w:space="0"/>
              <w:left w:val="single" w:color="000000" w:sz="8" w:space="0"/>
              <w:bottom w:val="single" w:color="000000" w:sz="8" w:space="0"/>
              <w:right w:val="single" w:color="000000" w:sz="8" w:space="0"/>
            </w:tcBorders>
            <w:vAlign w:val="center"/>
          </w:tcPr>
          <w:p w14:paraId="08C228EC">
            <w:pPr>
              <w:adjustRightInd w:val="0"/>
              <w:snapToGrid w:val="0"/>
              <w:jc w:val="left"/>
              <w:rPr>
                <w:rFonts w:ascii="宋体" w:hAnsi="宋体" w:cs="宋体"/>
                <w:color w:val="auto"/>
                <w:szCs w:val="21"/>
                <w:highlight w:val="none"/>
              </w:rPr>
            </w:pPr>
            <w:r>
              <w:t>投标报价高于预算限额或者最高投标限价</w:t>
            </w:r>
          </w:p>
        </w:tc>
      </w:tr>
      <w:tr w14:paraId="340F19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9921E2E">
            <w:pPr>
              <w:jc w:val="center"/>
              <w:rPr>
                <w:rFonts w:ascii="宋体" w:hAnsi="宋体" w:cs="宋体"/>
                <w:color w:val="auto"/>
                <w:szCs w:val="21"/>
                <w:highlight w:val="none"/>
              </w:rPr>
            </w:pPr>
            <w:r>
              <w:rPr>
                <w:color w:val="auto"/>
                <w:szCs w:val="21"/>
                <w:highlight w:val="none"/>
              </w:rPr>
              <w:t>4</w:t>
            </w:r>
          </w:p>
        </w:tc>
        <w:tc>
          <w:tcPr>
            <w:tcW w:w="8278" w:type="dxa"/>
            <w:tcBorders>
              <w:top w:val="single" w:color="000000" w:sz="8" w:space="0"/>
              <w:left w:val="single" w:color="000000" w:sz="8" w:space="0"/>
              <w:bottom w:val="single" w:color="000000" w:sz="8" w:space="0"/>
              <w:right w:val="single" w:color="000000" w:sz="8" w:space="0"/>
            </w:tcBorders>
            <w:vAlign w:val="center"/>
          </w:tcPr>
          <w:p w14:paraId="52601039">
            <w:pPr>
              <w:adjustRightInd w:val="0"/>
              <w:snapToGrid w:val="0"/>
              <w:jc w:val="left"/>
              <w:rPr>
                <w:rFonts w:ascii="宋体" w:hAnsi="宋体" w:cs="宋体"/>
                <w:color w:val="auto"/>
                <w:szCs w:val="21"/>
                <w:highlight w:val="none"/>
              </w:rPr>
            </w:pPr>
            <w:r>
              <w:t>对同一项目投标时，提供两套以上的投标方案（</w:t>
            </w:r>
            <w:r>
              <w:rPr>
                <w:rFonts w:hint="eastAsia"/>
                <w:lang w:eastAsia="zh-CN"/>
              </w:rPr>
              <w:t>采购文件</w:t>
            </w:r>
            <w:r>
              <w:t>另有规定的除外）</w:t>
            </w:r>
          </w:p>
        </w:tc>
      </w:tr>
      <w:tr w14:paraId="0865D5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001BE25">
            <w:pPr>
              <w:jc w:val="center"/>
              <w:rPr>
                <w:rFonts w:ascii="宋体" w:hAnsi="宋体" w:cs="宋体"/>
                <w:color w:val="auto"/>
                <w:szCs w:val="21"/>
                <w:highlight w:val="none"/>
              </w:rPr>
            </w:pPr>
            <w:r>
              <w:rPr>
                <w:color w:val="auto"/>
                <w:szCs w:val="21"/>
                <w:highlight w:val="none"/>
              </w:rPr>
              <w:t>5</w:t>
            </w:r>
          </w:p>
        </w:tc>
        <w:tc>
          <w:tcPr>
            <w:tcW w:w="8278" w:type="dxa"/>
            <w:tcBorders>
              <w:top w:val="single" w:color="000000" w:sz="8" w:space="0"/>
              <w:left w:val="single" w:color="000000" w:sz="8" w:space="0"/>
              <w:bottom w:val="single" w:color="000000" w:sz="8" w:space="0"/>
              <w:right w:val="single" w:color="000000" w:sz="8" w:space="0"/>
            </w:tcBorders>
            <w:vAlign w:val="center"/>
          </w:tcPr>
          <w:p w14:paraId="5F9B6FB1">
            <w:pPr>
              <w:adjustRightInd w:val="0"/>
              <w:snapToGrid w:val="0"/>
              <w:jc w:val="left"/>
              <w:rPr>
                <w:rFonts w:ascii="宋体" w:hAnsi="宋体" w:cs="宋体"/>
                <w:color w:val="auto"/>
                <w:szCs w:val="21"/>
                <w:highlight w:val="none"/>
              </w:rPr>
            </w:pPr>
            <w:r>
              <w:t>投标报价有缺漏项目</w:t>
            </w:r>
            <w:r>
              <w:rPr>
                <w:rFonts w:hint="eastAsia" w:eastAsia="宋体" w:cs="Times New Roman"/>
                <w:color w:val="auto"/>
                <w:highlight w:val="none"/>
              </w:rPr>
              <w:t>（货物清单中的内容未完全包含在投标报价中）</w:t>
            </w:r>
          </w:p>
        </w:tc>
      </w:tr>
      <w:tr w14:paraId="68FCD0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7B92E4D">
            <w:pPr>
              <w:jc w:val="center"/>
              <w:rPr>
                <w:rFonts w:ascii="宋体" w:hAnsi="宋体" w:cs="宋体"/>
                <w:color w:val="auto"/>
                <w:szCs w:val="21"/>
                <w:highlight w:val="none"/>
              </w:rPr>
            </w:pPr>
            <w:r>
              <w:rPr>
                <w:color w:val="auto"/>
                <w:szCs w:val="21"/>
                <w:highlight w:val="none"/>
              </w:rPr>
              <w:t>6</w:t>
            </w:r>
          </w:p>
        </w:tc>
        <w:tc>
          <w:tcPr>
            <w:tcW w:w="8278" w:type="dxa"/>
            <w:tcBorders>
              <w:top w:val="single" w:color="000000" w:sz="8" w:space="0"/>
              <w:left w:val="single" w:color="000000" w:sz="8" w:space="0"/>
              <w:bottom w:val="single" w:color="000000" w:sz="8" w:space="0"/>
              <w:right w:val="single" w:color="000000" w:sz="8" w:space="0"/>
            </w:tcBorders>
            <w:vAlign w:val="center"/>
          </w:tcPr>
          <w:p w14:paraId="5FA4085B">
            <w:pPr>
              <w:adjustRightInd w:val="0"/>
              <w:snapToGrid w:val="0"/>
              <w:spacing w:line="360" w:lineRule="auto"/>
              <w:jc w:val="left"/>
            </w:pPr>
            <w:r>
              <w:t>评审中出现下列情形之一的，</w:t>
            </w:r>
            <w:r>
              <w:rPr>
                <w:rFonts w:hint="eastAsia"/>
                <w:lang w:eastAsia="zh-CN"/>
              </w:rPr>
              <w:t>采购评审小组</w:t>
            </w:r>
            <w:r>
              <w:t>应当启动异常低价投标（响应）审查程序：</w:t>
            </w:r>
          </w:p>
          <w:p w14:paraId="0752F408">
            <w:pPr>
              <w:adjustRightInd w:val="0"/>
              <w:snapToGrid w:val="0"/>
              <w:spacing w:line="360" w:lineRule="auto"/>
              <w:jc w:val="left"/>
            </w:pPr>
            <w:r>
              <w:t>1.投标（响应）报价低于全部通过符合性审查供应商投标（响应）报价平均值50%的，即投标（响应）报价&lt;全部通过符合性审查供应商投标（响应）报价平均值×50%；</w:t>
            </w:r>
          </w:p>
          <w:p w14:paraId="645A27F6">
            <w:pPr>
              <w:adjustRightInd w:val="0"/>
              <w:snapToGrid w:val="0"/>
              <w:spacing w:line="360" w:lineRule="auto"/>
              <w:jc w:val="left"/>
            </w:pPr>
            <w:r>
              <w:t>2.投标（响应）报价低于通过符合性审查的次低报价供应商投标（响应）报价50%的，即投标（响应）报价&lt;通过符合性审查的次低报价供应商投标（响应）报价×50%；</w:t>
            </w:r>
          </w:p>
          <w:p w14:paraId="27EDE80A">
            <w:pPr>
              <w:adjustRightInd w:val="0"/>
              <w:snapToGrid w:val="0"/>
              <w:spacing w:line="360" w:lineRule="auto"/>
              <w:jc w:val="left"/>
            </w:pPr>
            <w:r>
              <w:t>3.投标（响应）报价低于采购项目最高限价45%的，即投标（响应）报价&lt;采购项目最高限价×45%；</w:t>
            </w:r>
          </w:p>
          <w:p w14:paraId="0B877FF4">
            <w:pPr>
              <w:adjustRightInd w:val="0"/>
              <w:snapToGrid w:val="0"/>
              <w:spacing w:line="360" w:lineRule="auto"/>
              <w:jc w:val="left"/>
            </w:pPr>
            <w:r>
              <w:t>4.</w:t>
            </w:r>
            <w:r>
              <w:rPr>
                <w:rFonts w:hint="eastAsia"/>
                <w:lang w:eastAsia="zh-CN"/>
              </w:rPr>
              <w:t>采购评审小组</w:t>
            </w:r>
            <w:r>
              <w:t>基于专业判断，认为供应商报价过低，有可能影响产品质量或者不能诚信履约的其他情形。</w:t>
            </w:r>
          </w:p>
          <w:p w14:paraId="41918FC5">
            <w:pPr>
              <w:adjustRightInd w:val="0"/>
              <w:snapToGrid w:val="0"/>
              <w:spacing w:line="360" w:lineRule="auto"/>
              <w:jc w:val="left"/>
            </w:pPr>
            <w:r>
              <w:rPr>
                <w:rFonts w:hint="eastAsia"/>
                <w:lang w:eastAsia="zh-CN"/>
              </w:rPr>
              <w:t>采购评审小组</w:t>
            </w:r>
            <w: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B16DE6D">
            <w:pPr>
              <w:adjustRightInd w:val="0"/>
              <w:snapToGrid w:val="0"/>
              <w:spacing w:line="360" w:lineRule="auto"/>
              <w:jc w:val="left"/>
              <w:rPr>
                <w:rFonts w:ascii="宋体" w:hAnsi="宋体" w:cs="宋体"/>
                <w:color w:val="auto"/>
                <w:szCs w:val="21"/>
                <w:highlight w:val="none"/>
              </w:rPr>
            </w:pPr>
            <w:r>
              <w:rPr>
                <w:rFonts w:hint="eastAsia"/>
                <w:lang w:eastAsia="zh-CN"/>
              </w:rPr>
              <w:t>采购评审小组</w:t>
            </w:r>
            <w: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lang w:eastAsia="zh-CN"/>
              </w:rPr>
              <w:t>采购评审小组</w:t>
            </w:r>
            <w:r>
              <w:t>应当将其作为无效投标（响应）处理。</w:t>
            </w:r>
          </w:p>
        </w:tc>
      </w:tr>
      <w:tr w14:paraId="2502A3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284807E1">
            <w:pPr>
              <w:jc w:val="center"/>
              <w:rPr>
                <w:rFonts w:ascii="宋体" w:hAnsi="宋体" w:cs="宋体"/>
                <w:color w:val="auto"/>
                <w:szCs w:val="21"/>
                <w:highlight w:val="none"/>
              </w:rPr>
            </w:pPr>
            <w:r>
              <w:rPr>
                <w:color w:val="auto"/>
                <w:szCs w:val="21"/>
                <w:highlight w:val="none"/>
              </w:rPr>
              <w:t>7</w:t>
            </w:r>
          </w:p>
        </w:tc>
        <w:tc>
          <w:tcPr>
            <w:tcW w:w="8278" w:type="dxa"/>
            <w:tcBorders>
              <w:top w:val="single" w:color="000000" w:sz="8" w:space="0"/>
              <w:left w:val="single" w:color="000000" w:sz="8" w:space="0"/>
              <w:bottom w:val="single" w:color="000000" w:sz="8" w:space="0"/>
              <w:right w:val="single" w:color="000000" w:sz="8" w:space="0"/>
            </w:tcBorders>
            <w:vAlign w:val="center"/>
          </w:tcPr>
          <w:p w14:paraId="3EBD322E">
            <w:pPr>
              <w:adjustRightInd w:val="0"/>
              <w:snapToGrid w:val="0"/>
              <w:spacing w:line="360" w:lineRule="auto"/>
              <w:jc w:val="left"/>
              <w:rPr>
                <w:rFonts w:ascii="宋体" w:hAnsi="宋体" w:cs="宋体"/>
                <w:color w:val="auto"/>
                <w:szCs w:val="21"/>
                <w:highlight w:val="none"/>
              </w:rPr>
            </w:pPr>
            <w:r>
              <w:t>所投产品、工程、服务在商务、技术等方面没有实质性满足</w:t>
            </w:r>
            <w:r>
              <w:rPr>
                <w:rFonts w:hint="eastAsia"/>
                <w:lang w:eastAsia="zh-CN"/>
              </w:rPr>
              <w:t>采购文件</w:t>
            </w:r>
            <w:r>
              <w:t>要求（是否实质性满足</w:t>
            </w:r>
            <w:r>
              <w:rPr>
                <w:rFonts w:hint="eastAsia"/>
                <w:lang w:eastAsia="zh-CN"/>
              </w:rPr>
              <w:t>采购文件</w:t>
            </w:r>
            <w:r>
              <w:t>要求，由</w:t>
            </w:r>
            <w:r>
              <w:rPr>
                <w:rFonts w:hint="eastAsia"/>
                <w:lang w:eastAsia="zh-CN"/>
              </w:rPr>
              <w:t>采购评审小组</w:t>
            </w:r>
            <w:r>
              <w:t>根据</w:t>
            </w:r>
            <w:r>
              <w:rPr>
                <w:rFonts w:hint="eastAsia"/>
                <w:lang w:eastAsia="zh-CN"/>
              </w:rPr>
              <w:t>采购文件</w:t>
            </w:r>
            <w:r>
              <w:t>中的实质性条款做出评判）</w:t>
            </w:r>
          </w:p>
        </w:tc>
      </w:tr>
      <w:tr w14:paraId="1BA27A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7320F5BC">
            <w:pPr>
              <w:jc w:val="center"/>
              <w:rPr>
                <w:rFonts w:ascii="宋体" w:hAnsi="宋体" w:cs="宋体"/>
                <w:color w:val="auto"/>
                <w:szCs w:val="21"/>
                <w:highlight w:val="none"/>
              </w:rPr>
            </w:pPr>
            <w:r>
              <w:rPr>
                <w:color w:val="auto"/>
                <w:szCs w:val="21"/>
                <w:highlight w:val="none"/>
              </w:rPr>
              <w:t>8</w:t>
            </w:r>
          </w:p>
        </w:tc>
        <w:tc>
          <w:tcPr>
            <w:tcW w:w="8278" w:type="dxa"/>
            <w:tcBorders>
              <w:top w:val="single" w:color="000000" w:sz="8" w:space="0"/>
              <w:left w:val="single" w:color="000000" w:sz="8" w:space="0"/>
              <w:bottom w:val="single" w:color="000000" w:sz="8" w:space="0"/>
              <w:right w:val="single" w:color="000000" w:sz="8" w:space="0"/>
            </w:tcBorders>
            <w:vAlign w:val="center"/>
          </w:tcPr>
          <w:p w14:paraId="1424D7F3">
            <w:pPr>
              <w:adjustRightInd w:val="0"/>
              <w:snapToGrid w:val="0"/>
              <w:spacing w:line="360" w:lineRule="auto"/>
              <w:jc w:val="left"/>
              <w:rPr>
                <w:rFonts w:ascii="宋体" w:hAnsi="宋体" w:cs="宋体"/>
                <w:color w:val="auto"/>
                <w:szCs w:val="21"/>
                <w:highlight w:val="none"/>
              </w:rPr>
            </w:pPr>
            <w:r>
              <w:rPr>
                <w:highlight w:val="none"/>
              </w:rPr>
              <w:t>未按</w:t>
            </w:r>
            <w:r>
              <w:rPr>
                <w:rFonts w:hint="eastAsia"/>
                <w:highlight w:val="none"/>
                <w:lang w:eastAsia="zh-CN"/>
              </w:rPr>
              <w:t>采购文件</w:t>
            </w:r>
            <w:r>
              <w:rPr>
                <w:highlight w:val="none"/>
              </w:rPr>
              <w:t>所提供的样式填写《投标函》；未按</w:t>
            </w:r>
            <w:r>
              <w:rPr>
                <w:rFonts w:hint="eastAsia"/>
                <w:highlight w:val="none"/>
                <w:lang w:eastAsia="zh-CN"/>
              </w:rPr>
              <w:t>采购文件</w:t>
            </w:r>
            <w:r>
              <w:rPr>
                <w:highlight w:val="none"/>
              </w:rPr>
              <w:t>所提供的《投标及履约承诺函》进行承诺；未按</w:t>
            </w:r>
            <w:r>
              <w:rPr>
                <w:rFonts w:hint="eastAsia"/>
                <w:highlight w:val="none"/>
                <w:lang w:eastAsia="zh-CN"/>
              </w:rPr>
              <w:t>采购文件</w:t>
            </w:r>
            <w:r>
              <w:rPr>
                <w:highlight w:val="none"/>
              </w:rPr>
              <w:t>对投标文件组成的要求提供投标文件（投标文件组成不完整）</w:t>
            </w:r>
          </w:p>
        </w:tc>
      </w:tr>
      <w:tr w14:paraId="6E9F65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6D473DE0">
            <w:pPr>
              <w:jc w:val="center"/>
              <w:rPr>
                <w:rFonts w:ascii="宋体" w:hAnsi="宋体" w:cs="宋体"/>
                <w:color w:val="auto"/>
                <w:szCs w:val="21"/>
                <w:highlight w:val="none"/>
              </w:rPr>
            </w:pPr>
            <w:r>
              <w:rPr>
                <w:color w:val="auto"/>
                <w:szCs w:val="21"/>
                <w:highlight w:val="none"/>
              </w:rPr>
              <w:t>9</w:t>
            </w:r>
          </w:p>
        </w:tc>
        <w:tc>
          <w:tcPr>
            <w:tcW w:w="8278" w:type="dxa"/>
            <w:tcBorders>
              <w:top w:val="single" w:color="000000" w:sz="8" w:space="0"/>
              <w:left w:val="single" w:color="000000" w:sz="8" w:space="0"/>
              <w:bottom w:val="single" w:color="000000" w:sz="8" w:space="0"/>
              <w:right w:val="single" w:color="000000" w:sz="8" w:space="0"/>
            </w:tcBorders>
            <w:vAlign w:val="center"/>
          </w:tcPr>
          <w:p w14:paraId="3C3180C5">
            <w:pPr>
              <w:adjustRightInd w:val="0"/>
              <w:snapToGrid w:val="0"/>
              <w:jc w:val="left"/>
              <w:rPr>
                <w:rFonts w:ascii="宋体" w:hAnsi="宋体" w:cs="宋体"/>
                <w:b w:val="0"/>
                <w:bCs/>
                <w:color w:val="auto"/>
                <w:szCs w:val="21"/>
                <w:highlight w:val="none"/>
              </w:rPr>
            </w:pPr>
            <w:r>
              <w:rPr>
                <w:b w:val="0"/>
                <w:bCs/>
                <w:color w:val="auto"/>
              </w:rPr>
              <w:t>未按</w:t>
            </w:r>
            <w:r>
              <w:rPr>
                <w:rFonts w:hint="eastAsia"/>
                <w:b w:val="0"/>
                <w:bCs/>
                <w:color w:val="auto"/>
                <w:lang w:eastAsia="zh-CN"/>
              </w:rPr>
              <w:t>采购文件</w:t>
            </w:r>
            <w:r>
              <w:rPr>
                <w:b w:val="0"/>
                <w:bCs/>
                <w:color w:val="auto"/>
              </w:rPr>
              <w:t>要求详细填报所投产品（使用的材料）的品牌、型号</w:t>
            </w:r>
          </w:p>
        </w:tc>
      </w:tr>
      <w:tr w14:paraId="1F39F4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63870403">
            <w:pPr>
              <w:jc w:val="center"/>
              <w:rPr>
                <w:rFonts w:ascii="宋体" w:hAnsi="宋体" w:cs="宋体"/>
                <w:color w:val="auto"/>
                <w:szCs w:val="21"/>
                <w:highlight w:val="none"/>
              </w:rPr>
            </w:pPr>
            <w:r>
              <w:rPr>
                <w:color w:val="auto"/>
                <w:szCs w:val="21"/>
                <w:highlight w:val="none"/>
              </w:rPr>
              <w:t>10</w:t>
            </w:r>
          </w:p>
        </w:tc>
        <w:tc>
          <w:tcPr>
            <w:tcW w:w="8278" w:type="dxa"/>
            <w:tcBorders>
              <w:top w:val="single" w:color="000000" w:sz="8" w:space="0"/>
              <w:left w:val="single" w:color="000000" w:sz="8" w:space="0"/>
              <w:bottom w:val="single" w:color="000000" w:sz="8" w:space="0"/>
              <w:right w:val="single" w:color="000000" w:sz="8" w:space="0"/>
            </w:tcBorders>
            <w:vAlign w:val="center"/>
          </w:tcPr>
          <w:p w14:paraId="69C2DD62">
            <w:pPr>
              <w:adjustRightInd w:val="0"/>
              <w:snapToGrid w:val="0"/>
              <w:jc w:val="left"/>
              <w:rPr>
                <w:rFonts w:ascii="宋体" w:hAnsi="宋体" w:cs="宋体"/>
                <w:b w:val="0"/>
                <w:bCs/>
                <w:color w:val="auto"/>
                <w:szCs w:val="21"/>
                <w:highlight w:val="none"/>
              </w:rPr>
            </w:pPr>
            <w:r>
              <w:rPr>
                <w:b w:val="0"/>
                <w:bCs/>
                <w:color w:val="auto"/>
              </w:rPr>
              <w:t>投标文件电子文档带病毒</w:t>
            </w:r>
          </w:p>
        </w:tc>
      </w:tr>
      <w:tr w14:paraId="2354AD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65C1059D">
            <w:pPr>
              <w:widowControl/>
              <w:jc w:val="center"/>
              <w:textAlignment w:val="top"/>
              <w:rPr>
                <w:rFonts w:ascii="宋体" w:hAnsi="宋体" w:cs="宋体"/>
                <w:color w:val="auto"/>
                <w:szCs w:val="21"/>
                <w:highlight w:val="none"/>
              </w:rPr>
            </w:pPr>
            <w:r>
              <w:rPr>
                <w:rFonts w:hint="eastAsia"/>
                <w:color w:val="auto"/>
                <w:highlight w:val="none"/>
              </w:rPr>
              <w:t>11</w:t>
            </w:r>
          </w:p>
        </w:tc>
        <w:tc>
          <w:tcPr>
            <w:tcW w:w="8278" w:type="dxa"/>
            <w:tcBorders>
              <w:top w:val="single" w:color="000000" w:sz="8" w:space="0"/>
              <w:left w:val="single" w:color="000000" w:sz="8" w:space="0"/>
              <w:bottom w:val="single" w:color="000000" w:sz="8" w:space="0"/>
              <w:right w:val="single" w:color="000000" w:sz="8" w:space="0"/>
            </w:tcBorders>
            <w:vAlign w:val="center"/>
          </w:tcPr>
          <w:p w14:paraId="585A70D0">
            <w:pPr>
              <w:adjustRightInd w:val="0"/>
              <w:snapToGrid w:val="0"/>
              <w:jc w:val="left"/>
              <w:rPr>
                <w:color w:val="auto"/>
                <w:highlight w:val="none"/>
              </w:rPr>
            </w:pPr>
            <w:r>
              <w:t>法律、法规规定的其他投标无效情形</w:t>
            </w:r>
          </w:p>
        </w:tc>
      </w:tr>
    </w:tbl>
    <w:p w14:paraId="6858D8C4">
      <w:pPr>
        <w:pStyle w:val="16"/>
        <w:jc w:val="center"/>
        <w:outlineLvl w:val="1"/>
        <w:rPr>
          <w:rFonts w:hint="eastAsia" w:ascii="黑体" w:hAnsi="黑体" w:eastAsia="黑体"/>
          <w:color w:val="auto"/>
          <w:sz w:val="40"/>
          <w:szCs w:val="40"/>
          <w:highlight w:val="none"/>
        </w:rPr>
      </w:pPr>
    </w:p>
    <w:p w14:paraId="7194E708">
      <w:pPr>
        <w:pStyle w:val="16"/>
        <w:jc w:val="center"/>
        <w:outlineLvl w:val="1"/>
        <w:rPr>
          <w:rFonts w:ascii="黑体" w:hAnsi="黑体" w:eastAsia="黑体"/>
          <w:color w:val="auto"/>
          <w:sz w:val="40"/>
          <w:szCs w:val="40"/>
          <w:highlight w:val="none"/>
        </w:rPr>
      </w:pPr>
      <w:r>
        <w:rPr>
          <w:rFonts w:hint="eastAsia" w:ascii="黑体" w:hAnsi="黑体" w:eastAsia="黑体"/>
          <w:color w:val="auto"/>
          <w:sz w:val="40"/>
          <w:szCs w:val="40"/>
          <w:highlight w:val="none"/>
          <w:lang w:eastAsia="zh-CN"/>
        </w:rPr>
        <w:t>评审</w:t>
      </w:r>
      <w:r>
        <w:rPr>
          <w:rFonts w:hint="eastAsia" w:ascii="黑体" w:hAnsi="黑体" w:eastAsia="黑体"/>
          <w:color w:val="auto"/>
          <w:sz w:val="40"/>
          <w:szCs w:val="40"/>
          <w:highlight w:val="none"/>
        </w:rPr>
        <w:t>信息</w:t>
      </w:r>
    </w:p>
    <w:p w14:paraId="2ED1733C">
      <w:pPr>
        <w:adjustRightInd w:val="0"/>
        <w:snapToGrid w:val="0"/>
        <w:spacing w:line="276" w:lineRule="auto"/>
        <w:rPr>
          <w:b/>
        </w:rPr>
      </w:pPr>
      <w:r>
        <w:rPr>
          <w:rFonts w:hint="eastAsia"/>
          <w:b/>
        </w:rPr>
        <w:t>一</w:t>
      </w:r>
      <w:r>
        <w:rPr>
          <w:b/>
        </w:rPr>
        <w:t>、</w:t>
      </w:r>
      <w:r>
        <w:rPr>
          <w:rFonts w:hint="eastAsia"/>
          <w:b/>
          <w:lang w:eastAsia="zh-CN"/>
        </w:rPr>
        <w:t>评审</w:t>
      </w:r>
      <w:r>
        <w:rPr>
          <w:b/>
        </w:rPr>
        <w:t xml:space="preserve">方法： 综合评分法 </w:t>
      </w:r>
    </w:p>
    <w:p w14:paraId="66F3458D">
      <w:pPr>
        <w:adjustRightInd w:val="0"/>
        <w:snapToGrid w:val="0"/>
        <w:spacing w:line="360" w:lineRule="auto"/>
        <w:ind w:firstLine="420" w:firstLineChars="200"/>
        <w:jc w:val="left"/>
      </w:pPr>
      <w:r>
        <w:rPr>
          <w:rFonts w:hint="eastAsia"/>
        </w:rPr>
        <w:t>综合评分法，是指投标文件满足</w:t>
      </w:r>
      <w:r>
        <w:rPr>
          <w:rFonts w:hint="eastAsia"/>
          <w:lang w:eastAsia="zh-CN"/>
        </w:rPr>
        <w:t>采购文件</w:t>
      </w:r>
      <w:r>
        <w:rPr>
          <w:rFonts w:hint="eastAsia"/>
        </w:rPr>
        <w:t>全部实质性要求，且按照评审因素的量化指标评审得分最高的投标人为中标候选人的</w:t>
      </w:r>
      <w:r>
        <w:rPr>
          <w:rFonts w:hint="eastAsia"/>
          <w:lang w:eastAsia="zh-CN"/>
        </w:rPr>
        <w:t>评审</w:t>
      </w:r>
      <w:r>
        <w:rPr>
          <w:rFonts w:hint="eastAsia"/>
        </w:rPr>
        <w:t>方法。</w:t>
      </w:r>
    </w:p>
    <w:p w14:paraId="6F05045D">
      <w:pPr>
        <w:adjustRightInd w:val="0"/>
        <w:snapToGrid w:val="0"/>
        <w:spacing w:line="360" w:lineRule="auto"/>
        <w:ind w:firstLine="420" w:firstLineChars="200"/>
        <w:jc w:val="left"/>
      </w:pPr>
      <w:r>
        <w:rPr>
          <w:rFonts w:hint="eastAsia"/>
        </w:rPr>
        <w:t>评分方式：</w:t>
      </w:r>
      <w:r>
        <w:rPr>
          <w:rFonts w:hint="eastAsia"/>
          <w:lang w:eastAsia="zh-CN"/>
        </w:rPr>
        <w:t>采购评审小组成员</w:t>
      </w:r>
      <w:r>
        <w:rPr>
          <w:rFonts w:hint="eastAsia"/>
        </w:rPr>
        <w:t>打分。</w:t>
      </w:r>
    </w:p>
    <w:p w14:paraId="54684120">
      <w:pPr>
        <w:adjustRightInd w:val="0"/>
        <w:snapToGrid w:val="0"/>
        <w:spacing w:line="360" w:lineRule="auto"/>
        <w:ind w:firstLine="420" w:firstLineChars="200"/>
        <w:jc w:val="left"/>
      </w:pPr>
      <w:r>
        <w:rPr>
          <w:rFonts w:hint="eastAsia"/>
          <w:lang w:eastAsia="zh-CN"/>
        </w:rPr>
        <w:t>评审</w:t>
      </w:r>
      <w:r>
        <w:t>总得分＝F1×A1＋F2×A2＋……＋Fn×An</w:t>
      </w:r>
    </w:p>
    <w:p w14:paraId="4C6B5961">
      <w:pPr>
        <w:adjustRightInd w:val="0"/>
        <w:snapToGrid w:val="0"/>
        <w:spacing w:line="360" w:lineRule="auto"/>
        <w:jc w:val="left"/>
      </w:pPr>
      <w:r>
        <w:rPr>
          <w:rFonts w:hint="eastAsia"/>
          <w:lang w:val="en-US" w:eastAsia="zh-CN"/>
        </w:rPr>
        <w:t xml:space="preserve">    </w:t>
      </w:r>
      <w:r>
        <w:t>F1、F2……Fn分别为各项评审因素的得分；</w:t>
      </w:r>
    </w:p>
    <w:p w14:paraId="505F6B13">
      <w:pPr>
        <w:adjustRightInd w:val="0"/>
        <w:snapToGrid w:val="0"/>
        <w:spacing w:line="360" w:lineRule="auto"/>
        <w:ind w:firstLine="420"/>
        <w:jc w:val="left"/>
      </w:pPr>
      <w:r>
        <w:t>A1、A2、……An 分别为各项评审因素所占的权重(</w:t>
      </w:r>
      <w:r>
        <w:rPr>
          <w:rFonts w:hint="eastAsia"/>
        </w:rPr>
        <w:t>权重为</w:t>
      </w:r>
      <w:r>
        <w:t>百分比，A1＋A2＋……＋An＝100%)。</w:t>
      </w:r>
    </w:p>
    <w:p w14:paraId="2A25084F">
      <w:pPr>
        <w:adjustRightInd w:val="0"/>
        <w:snapToGrid w:val="0"/>
        <w:spacing w:line="360" w:lineRule="auto"/>
        <w:ind w:firstLine="420"/>
        <w:jc w:val="left"/>
      </w:pPr>
      <w:r>
        <w:t>评</w:t>
      </w:r>
      <w:r>
        <w:rPr>
          <w:rFonts w:hint="eastAsia"/>
        </w:rPr>
        <w:t>审</w:t>
      </w:r>
      <w:r>
        <w:t>因素的得分是所有</w:t>
      </w:r>
      <w:r>
        <w:rPr>
          <w:rFonts w:hint="eastAsia"/>
          <w:lang w:eastAsia="zh-CN"/>
        </w:rPr>
        <w:t>小组成员</w:t>
      </w:r>
      <w:r>
        <w:t>打分的算数平均值（不得扣除最高分和最低分）。</w:t>
      </w:r>
    </w:p>
    <w:tbl>
      <w:tblPr>
        <w:tblStyle w:val="17"/>
        <w:tblW w:w="8541"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680"/>
        <w:gridCol w:w="957"/>
        <w:gridCol w:w="6"/>
        <w:gridCol w:w="1688"/>
        <w:gridCol w:w="1178"/>
        <w:gridCol w:w="4032"/>
      </w:tblGrid>
      <w:tr w14:paraId="1F54FFF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0" w:hRule="atLeast"/>
          <w:jc w:val="center"/>
        </w:trPr>
        <w:tc>
          <w:tcPr>
            <w:tcW w:w="68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D79AFA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序号</w:t>
            </w:r>
          </w:p>
        </w:tc>
        <w:tc>
          <w:tcPr>
            <w:tcW w:w="3829" w:type="dxa"/>
            <w:gridSpan w:val="4"/>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849BAEA">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评分项</w:t>
            </w:r>
          </w:p>
        </w:tc>
        <w:tc>
          <w:tcPr>
            <w:tcW w:w="403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3806896">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权重（%）</w:t>
            </w:r>
          </w:p>
        </w:tc>
      </w:tr>
      <w:tr w14:paraId="234CED0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05" w:hRule="atLeast"/>
          <w:jc w:val="center"/>
        </w:trPr>
        <w:tc>
          <w:tcPr>
            <w:tcW w:w="68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90AB63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1</w:t>
            </w:r>
          </w:p>
        </w:tc>
        <w:tc>
          <w:tcPr>
            <w:tcW w:w="3829" w:type="dxa"/>
            <w:gridSpan w:val="4"/>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7A363B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eastAsia="宋体"/>
                <w:color w:val="000000"/>
                <w:kern w:val="0"/>
                <w:szCs w:val="21"/>
                <w:lang w:eastAsia="zh-CN"/>
              </w:rPr>
            </w:pPr>
            <w:r>
              <w:rPr>
                <w:color w:val="000000"/>
                <w:kern w:val="0"/>
                <w:szCs w:val="21"/>
              </w:rPr>
              <w:t>价格</w:t>
            </w:r>
            <w:r>
              <w:rPr>
                <w:rFonts w:hint="eastAsia"/>
                <w:color w:val="000000"/>
                <w:kern w:val="0"/>
                <w:szCs w:val="21"/>
                <w:lang w:eastAsia="zh-CN"/>
              </w:rPr>
              <w:t>部分</w:t>
            </w:r>
          </w:p>
        </w:tc>
        <w:tc>
          <w:tcPr>
            <w:tcW w:w="403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1F1236D">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40</w:t>
            </w:r>
          </w:p>
        </w:tc>
      </w:tr>
      <w:tr w14:paraId="15ABC59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4" w:hRule="atLeast"/>
          <w:jc w:val="center"/>
        </w:trPr>
        <w:tc>
          <w:tcPr>
            <w:tcW w:w="680" w:type="dxa"/>
            <w:vMerge w:val="restart"/>
            <w:tcBorders>
              <w:top w:val="single" w:color="auto" w:sz="8" w:space="0"/>
              <w:left w:val="single" w:color="auto" w:sz="8" w:space="0"/>
              <w:right w:val="single" w:color="auto" w:sz="8" w:space="0"/>
            </w:tcBorders>
            <w:noWrap w:val="0"/>
            <w:tcMar>
              <w:top w:w="0" w:type="dxa"/>
              <w:left w:w="108" w:type="dxa"/>
              <w:bottom w:w="0" w:type="dxa"/>
              <w:right w:w="108" w:type="dxa"/>
            </w:tcMar>
            <w:vAlign w:val="center"/>
          </w:tcPr>
          <w:p w14:paraId="41CD648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5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2845316">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序号</w:t>
            </w:r>
          </w:p>
        </w:tc>
        <w:tc>
          <w:tcPr>
            <w:tcW w:w="1694" w:type="dxa"/>
            <w:gridSpan w:val="2"/>
            <w:tcBorders>
              <w:top w:val="single" w:color="auto" w:sz="8" w:space="0"/>
              <w:left w:val="nil"/>
              <w:bottom w:val="single" w:color="auto" w:sz="8" w:space="0"/>
              <w:right w:val="single" w:color="auto" w:sz="8" w:space="0"/>
            </w:tcBorders>
            <w:noWrap w:val="0"/>
            <w:vAlign w:val="center"/>
          </w:tcPr>
          <w:p w14:paraId="6EBEFD8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评审因素</w:t>
            </w:r>
          </w:p>
        </w:tc>
        <w:tc>
          <w:tcPr>
            <w:tcW w:w="1178" w:type="dxa"/>
            <w:tcBorders>
              <w:top w:val="single" w:color="auto" w:sz="8" w:space="0"/>
              <w:left w:val="nil"/>
              <w:bottom w:val="single" w:color="auto" w:sz="8" w:space="0"/>
              <w:right w:val="single" w:color="auto" w:sz="8" w:space="0"/>
            </w:tcBorders>
            <w:noWrap w:val="0"/>
            <w:vAlign w:val="center"/>
          </w:tcPr>
          <w:p w14:paraId="5EFEE8F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权重（%）</w:t>
            </w:r>
          </w:p>
        </w:tc>
        <w:tc>
          <w:tcPr>
            <w:tcW w:w="403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13D30C7">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评分准则</w:t>
            </w:r>
          </w:p>
        </w:tc>
      </w:tr>
      <w:tr w14:paraId="087544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981624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5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A77821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1</w:t>
            </w:r>
          </w:p>
        </w:tc>
        <w:tc>
          <w:tcPr>
            <w:tcW w:w="1694" w:type="dxa"/>
            <w:gridSpan w:val="2"/>
            <w:tcBorders>
              <w:top w:val="single" w:color="auto" w:sz="8" w:space="0"/>
              <w:left w:val="nil"/>
              <w:bottom w:val="single" w:color="auto" w:sz="8" w:space="0"/>
              <w:right w:val="single" w:color="auto" w:sz="8" w:space="0"/>
            </w:tcBorders>
            <w:noWrap w:val="0"/>
            <w:vAlign w:val="center"/>
          </w:tcPr>
          <w:p w14:paraId="23FE921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价格</w:t>
            </w:r>
          </w:p>
        </w:tc>
        <w:tc>
          <w:tcPr>
            <w:tcW w:w="1178" w:type="dxa"/>
            <w:tcBorders>
              <w:top w:val="single" w:color="auto" w:sz="8" w:space="0"/>
              <w:left w:val="nil"/>
              <w:bottom w:val="single" w:color="auto" w:sz="8" w:space="0"/>
              <w:right w:val="single" w:color="auto" w:sz="8" w:space="0"/>
            </w:tcBorders>
            <w:noWrap w:val="0"/>
            <w:vAlign w:val="center"/>
          </w:tcPr>
          <w:p w14:paraId="636DFA3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40</w:t>
            </w:r>
          </w:p>
        </w:tc>
        <w:tc>
          <w:tcPr>
            <w:tcW w:w="403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917120A">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szCs w:val="21"/>
              </w:rPr>
            </w:pPr>
            <w:r>
              <w:rPr>
                <w:color w:val="000000"/>
                <w:szCs w:val="21"/>
              </w:rPr>
              <w:t>采用低价优先法计算，即满足</w:t>
            </w:r>
            <w:r>
              <w:rPr>
                <w:rFonts w:hint="eastAsia"/>
                <w:color w:val="000000"/>
                <w:szCs w:val="21"/>
                <w:lang w:eastAsia="zh-CN"/>
              </w:rPr>
              <w:t>采购文件</w:t>
            </w:r>
            <w:r>
              <w:rPr>
                <w:color w:val="000000"/>
                <w:szCs w:val="21"/>
              </w:rPr>
              <w:t>要求且投标价格最低的投标报价为</w:t>
            </w:r>
            <w:r>
              <w:rPr>
                <w:rFonts w:hint="eastAsia"/>
                <w:color w:val="000000"/>
                <w:szCs w:val="21"/>
                <w:lang w:eastAsia="zh-CN"/>
              </w:rPr>
              <w:t>评审</w:t>
            </w:r>
            <w:r>
              <w:rPr>
                <w:color w:val="000000"/>
                <w:szCs w:val="21"/>
              </w:rPr>
              <w:t>基准价，其价格分为满分。其他投标人的价格分统一按照下列公式计算：</w:t>
            </w:r>
          </w:p>
          <w:p w14:paraId="2F3A5BBC">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Style w:val="20"/>
                <w:color w:val="000000"/>
                <w:kern w:val="0"/>
              </w:rPr>
            </w:pPr>
            <w:r>
              <w:rPr>
                <w:color w:val="000000"/>
                <w:szCs w:val="21"/>
              </w:rPr>
              <w:t>投标报价得分=(</w:t>
            </w:r>
            <w:r>
              <w:rPr>
                <w:rFonts w:hint="eastAsia"/>
                <w:color w:val="000000"/>
                <w:szCs w:val="21"/>
                <w:lang w:eastAsia="zh-CN"/>
              </w:rPr>
              <w:t>评审</w:t>
            </w:r>
            <w:r>
              <w:rPr>
                <w:color w:val="000000"/>
                <w:szCs w:val="21"/>
              </w:rPr>
              <w:t>基准</w:t>
            </w:r>
            <w:r>
              <w:rPr>
                <w:rFonts w:hint="eastAsia" w:ascii="宋体" w:hAnsi="宋体" w:eastAsia="宋体" w:cs="宋体"/>
                <w:szCs w:val="21"/>
              </w:rPr>
              <w:t>价／投标报价)×100</w:t>
            </w:r>
          </w:p>
        </w:tc>
      </w:tr>
      <w:tr w14:paraId="51EFD4E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87" w:hRule="atLeast"/>
          <w:jc w:val="center"/>
        </w:trPr>
        <w:tc>
          <w:tcPr>
            <w:tcW w:w="68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E5AA17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2</w:t>
            </w:r>
          </w:p>
        </w:tc>
        <w:tc>
          <w:tcPr>
            <w:tcW w:w="3829" w:type="dxa"/>
            <w:gridSpan w:val="4"/>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2E28C8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技术部分</w:t>
            </w:r>
          </w:p>
        </w:tc>
        <w:tc>
          <w:tcPr>
            <w:tcW w:w="403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04F893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eastAsia="宋体"/>
                <w:color w:val="000000"/>
                <w:kern w:val="0"/>
                <w:szCs w:val="21"/>
                <w:lang w:val="en-US" w:eastAsia="zh-CN"/>
              </w:rPr>
            </w:pPr>
            <w:r>
              <w:rPr>
                <w:rFonts w:hint="eastAsia"/>
                <w:color w:val="000000"/>
                <w:kern w:val="0"/>
                <w:szCs w:val="21"/>
                <w:lang w:val="en-US" w:eastAsia="zh-CN"/>
              </w:rPr>
              <w:t>40</w:t>
            </w:r>
          </w:p>
        </w:tc>
      </w:tr>
      <w:tr w14:paraId="0B1EA5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C72CF6C">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E791AC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序号</w:t>
            </w:r>
          </w:p>
        </w:tc>
        <w:tc>
          <w:tcPr>
            <w:tcW w:w="168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4BDA72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评审因素</w:t>
            </w:r>
          </w:p>
        </w:tc>
        <w:tc>
          <w:tcPr>
            <w:tcW w:w="117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7D6C23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权重（%）</w:t>
            </w:r>
          </w:p>
        </w:tc>
        <w:tc>
          <w:tcPr>
            <w:tcW w:w="403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762DD8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评分准则</w:t>
            </w:r>
          </w:p>
        </w:tc>
      </w:tr>
      <w:tr w14:paraId="3576AE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continue"/>
            <w:tcBorders>
              <w:top w:val="nil"/>
              <w:left w:val="single" w:color="auto" w:sz="8" w:space="0"/>
              <w:bottom w:val="single" w:color="auto" w:sz="8" w:space="0"/>
              <w:right w:val="single" w:color="auto" w:sz="8" w:space="0"/>
            </w:tcBorders>
            <w:noWrap w:val="0"/>
            <w:vAlign w:val="center"/>
          </w:tcPr>
          <w:p w14:paraId="0F7C5F7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EED9AE9">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1</w:t>
            </w:r>
          </w:p>
        </w:tc>
        <w:tc>
          <w:tcPr>
            <w:tcW w:w="168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DA2ADC7">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项目总体概述及理解</w:t>
            </w:r>
          </w:p>
        </w:tc>
        <w:tc>
          <w:tcPr>
            <w:tcW w:w="117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7C18F4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eastAsia="宋体"/>
                <w:color w:val="000000"/>
                <w:kern w:val="0"/>
                <w:szCs w:val="21"/>
                <w:lang w:val="en-US" w:eastAsia="zh-CN"/>
              </w:rPr>
            </w:pPr>
            <w:r>
              <w:rPr>
                <w:rFonts w:hint="eastAsia"/>
                <w:color w:val="000000"/>
                <w:szCs w:val="21"/>
                <w:lang w:val="en-US" w:eastAsia="zh-CN"/>
              </w:rPr>
              <w:t>10</w:t>
            </w:r>
          </w:p>
        </w:tc>
        <w:tc>
          <w:tcPr>
            <w:tcW w:w="403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CBC1174">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（一）评分内容：</w:t>
            </w:r>
          </w:p>
          <w:p w14:paraId="1B34F050">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对投标人提</w:t>
            </w:r>
            <w:r>
              <w:rPr>
                <w:rFonts w:hint="eastAsia"/>
                <w:color w:val="000000"/>
                <w:kern w:val="0"/>
                <w:szCs w:val="21"/>
                <w:highlight w:val="none"/>
              </w:rPr>
              <w:t>供的</w:t>
            </w:r>
            <w:r>
              <w:rPr>
                <w:rFonts w:hint="eastAsia"/>
                <w:color w:val="000000"/>
                <w:kern w:val="0"/>
                <w:szCs w:val="21"/>
                <w:highlight w:val="none"/>
                <w:lang w:eastAsia="zh-CN"/>
              </w:rPr>
              <w:t>雨棚建设</w:t>
            </w:r>
            <w:r>
              <w:rPr>
                <w:rFonts w:hint="eastAsia"/>
                <w:color w:val="000000"/>
                <w:kern w:val="0"/>
                <w:szCs w:val="21"/>
                <w:highlight w:val="none"/>
              </w:rPr>
              <w:t>项</w:t>
            </w:r>
            <w:r>
              <w:rPr>
                <w:rFonts w:hint="eastAsia"/>
                <w:color w:val="000000"/>
                <w:kern w:val="0"/>
                <w:szCs w:val="21"/>
              </w:rPr>
              <w:t>目总体概述及理解进行评价，包括但不限于以下内容：</w:t>
            </w:r>
          </w:p>
          <w:p w14:paraId="7C7BC442">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（1）本项目总体工程内容的概述及理解；</w:t>
            </w:r>
          </w:p>
          <w:p w14:paraId="50D5155F">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（2）技术方案的优化选择；</w:t>
            </w:r>
          </w:p>
          <w:p w14:paraId="32812D74">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（二）评分标准：</w:t>
            </w:r>
          </w:p>
          <w:p w14:paraId="7766721B">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内容满足以上任意两项要求的，得</w:t>
            </w:r>
            <w:r>
              <w:rPr>
                <w:rFonts w:hint="eastAsia" w:ascii="宋体" w:hAnsi="宋体" w:eastAsia="宋体" w:cs="宋体"/>
                <w:szCs w:val="21"/>
                <w:lang w:val="en-US" w:eastAsia="zh-CN"/>
              </w:rPr>
              <w:t>6</w:t>
            </w:r>
            <w:r>
              <w:rPr>
                <w:rFonts w:hint="eastAsia" w:ascii="宋体" w:hAnsi="宋体" w:eastAsia="宋体" w:cs="宋体"/>
                <w:szCs w:val="21"/>
              </w:rPr>
              <w:t>0分；内容满足以上任意一项要求的，得</w:t>
            </w:r>
            <w:r>
              <w:rPr>
                <w:rFonts w:hint="eastAsia" w:ascii="宋体" w:hAnsi="宋体" w:eastAsia="宋体" w:cs="宋体"/>
                <w:szCs w:val="21"/>
                <w:lang w:val="en-US" w:eastAsia="zh-CN"/>
              </w:rPr>
              <w:t>3</w:t>
            </w:r>
            <w:r>
              <w:rPr>
                <w:rFonts w:hint="eastAsia" w:ascii="宋体" w:hAnsi="宋体" w:eastAsia="宋体" w:cs="宋体"/>
                <w:szCs w:val="21"/>
              </w:rPr>
              <w:t>0</w:t>
            </w:r>
            <w:r>
              <w:rPr>
                <w:rFonts w:hint="eastAsia"/>
                <w:color w:val="000000"/>
                <w:kern w:val="0"/>
                <w:szCs w:val="21"/>
              </w:rPr>
              <w:t>分；未满足不得分。</w:t>
            </w:r>
          </w:p>
          <w:p w14:paraId="5858A846">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在此基础上，</w:t>
            </w:r>
            <w:r>
              <w:rPr>
                <w:rFonts w:hint="eastAsia"/>
                <w:color w:val="000000"/>
                <w:kern w:val="0"/>
                <w:szCs w:val="21"/>
                <w:lang w:eastAsia="zh-CN"/>
              </w:rPr>
              <w:t>采购评审小组</w:t>
            </w:r>
            <w:r>
              <w:rPr>
                <w:rFonts w:hint="eastAsia"/>
                <w:color w:val="000000"/>
                <w:kern w:val="0"/>
                <w:szCs w:val="21"/>
              </w:rPr>
              <w:t>根据各投标人的具体响应情况按照以下评审标准进一步评审：</w:t>
            </w:r>
          </w:p>
          <w:p w14:paraId="4138D65C">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color w:val="000000"/>
                <w:kern w:val="0"/>
                <w:szCs w:val="21"/>
              </w:rPr>
              <w:t>（</w:t>
            </w:r>
            <w:r>
              <w:rPr>
                <w:rFonts w:hint="eastAsia" w:ascii="宋体" w:hAnsi="宋体" w:eastAsia="宋体" w:cs="宋体"/>
                <w:szCs w:val="21"/>
              </w:rPr>
              <w:t>1）投标文件响应内容详实具体；</w:t>
            </w:r>
          </w:p>
          <w:p w14:paraId="58200225">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（2）投标文件响应内容贴合实际情况；</w:t>
            </w:r>
          </w:p>
          <w:p w14:paraId="7357490B">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（3）投标文件响应内容针对性强；</w:t>
            </w:r>
          </w:p>
          <w:p w14:paraId="2B9CD81A">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（4）投标文件响应内容科学合理；</w:t>
            </w:r>
          </w:p>
          <w:p w14:paraId="1CD900E2">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ascii="宋体" w:hAnsi="宋体" w:eastAsia="宋体" w:cs="宋体"/>
                <w:szCs w:val="21"/>
              </w:rPr>
              <w:t>（5）投标</w:t>
            </w:r>
            <w:r>
              <w:rPr>
                <w:rFonts w:hint="eastAsia"/>
                <w:color w:val="000000"/>
                <w:kern w:val="0"/>
                <w:szCs w:val="21"/>
              </w:rPr>
              <w:t>文件响应内容可操作性强，能有效保障本项目实施。</w:t>
            </w:r>
          </w:p>
          <w:p w14:paraId="4197250A">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color w:val="000000"/>
                <w:kern w:val="0"/>
                <w:szCs w:val="21"/>
              </w:rPr>
              <w:t>满足以上五项要求的评价为优</w:t>
            </w:r>
            <w:r>
              <w:rPr>
                <w:rFonts w:hint="eastAsia"/>
                <w:color w:val="000000"/>
                <w:kern w:val="0"/>
                <w:szCs w:val="21"/>
                <w:lang w:eastAsia="zh-CN"/>
              </w:rPr>
              <w:t>，</w:t>
            </w:r>
            <w:r>
              <w:rPr>
                <w:rFonts w:hint="eastAsia" w:ascii="宋体" w:hAnsi="宋体" w:eastAsia="宋体" w:cs="宋体"/>
                <w:szCs w:val="21"/>
              </w:rPr>
              <w:t>加40分；</w:t>
            </w:r>
          </w:p>
          <w:p w14:paraId="5F8FF26A">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满足以上四项要求的评价为良</w:t>
            </w:r>
            <w:r>
              <w:rPr>
                <w:rFonts w:hint="eastAsia" w:ascii="宋体" w:hAnsi="宋体" w:eastAsia="宋体" w:cs="宋体"/>
                <w:szCs w:val="21"/>
                <w:lang w:eastAsia="zh-CN"/>
              </w:rPr>
              <w:t>，</w:t>
            </w:r>
            <w:r>
              <w:rPr>
                <w:rFonts w:hint="eastAsia" w:ascii="宋体" w:hAnsi="宋体" w:eastAsia="宋体" w:cs="宋体"/>
                <w:szCs w:val="21"/>
              </w:rPr>
              <w:t>加20分；</w:t>
            </w:r>
          </w:p>
          <w:p w14:paraId="6FB6997D">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ascii="宋体" w:hAnsi="宋体" w:eastAsia="宋体" w:cs="宋体"/>
                <w:szCs w:val="21"/>
              </w:rPr>
              <w:t>满足以上三项要求的评价为中</w:t>
            </w:r>
            <w:r>
              <w:rPr>
                <w:rFonts w:hint="eastAsia" w:ascii="宋体" w:hAnsi="宋体" w:eastAsia="宋体" w:cs="宋体"/>
                <w:szCs w:val="21"/>
                <w:lang w:eastAsia="zh-CN"/>
              </w:rPr>
              <w:t>，</w:t>
            </w:r>
            <w:r>
              <w:rPr>
                <w:rFonts w:hint="eastAsia" w:ascii="宋体" w:hAnsi="宋体" w:eastAsia="宋体" w:cs="宋体"/>
                <w:szCs w:val="21"/>
              </w:rPr>
              <w:t>加10分</w:t>
            </w:r>
            <w:r>
              <w:rPr>
                <w:rFonts w:hint="eastAsia"/>
                <w:color w:val="000000"/>
                <w:kern w:val="0"/>
                <w:szCs w:val="21"/>
              </w:rPr>
              <w:t>；</w:t>
            </w:r>
          </w:p>
          <w:p w14:paraId="2434E171">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其他情况评价为差</w:t>
            </w:r>
            <w:r>
              <w:rPr>
                <w:rFonts w:hint="eastAsia"/>
                <w:color w:val="000000"/>
                <w:kern w:val="0"/>
                <w:szCs w:val="21"/>
                <w:lang w:eastAsia="zh-CN"/>
              </w:rPr>
              <w:t>，</w:t>
            </w:r>
            <w:r>
              <w:rPr>
                <w:rFonts w:hint="eastAsia"/>
                <w:color w:val="000000"/>
                <w:kern w:val="0"/>
                <w:szCs w:val="21"/>
              </w:rPr>
              <w:t>不加分。</w:t>
            </w:r>
          </w:p>
        </w:tc>
      </w:tr>
      <w:tr w14:paraId="5FB61F1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continue"/>
            <w:tcBorders>
              <w:top w:val="nil"/>
              <w:left w:val="single" w:color="auto" w:sz="8" w:space="0"/>
              <w:bottom w:val="single" w:color="auto" w:sz="8" w:space="0"/>
              <w:right w:val="single" w:color="auto" w:sz="8" w:space="0"/>
            </w:tcBorders>
            <w:noWrap w:val="0"/>
            <w:vAlign w:val="center"/>
          </w:tcPr>
          <w:p w14:paraId="2ADAB0F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A48017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2</w:t>
            </w:r>
          </w:p>
        </w:tc>
        <w:tc>
          <w:tcPr>
            <w:tcW w:w="168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786A1D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施工技术、施工工艺及</w:t>
            </w:r>
            <w:r>
              <w:rPr>
                <w:rFonts w:hint="eastAsia"/>
                <w:color w:val="000000"/>
                <w:kern w:val="0"/>
                <w:szCs w:val="21"/>
              </w:rPr>
              <w:t>对施工材料的理解</w:t>
            </w:r>
          </w:p>
        </w:tc>
        <w:tc>
          <w:tcPr>
            <w:tcW w:w="117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BB7F89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eastAsia="宋体"/>
                <w:color w:val="000000"/>
                <w:kern w:val="0"/>
                <w:szCs w:val="21"/>
                <w:lang w:eastAsia="zh-CN"/>
              </w:rPr>
            </w:pPr>
            <w:r>
              <w:rPr>
                <w:rFonts w:hint="eastAsia"/>
                <w:color w:val="000000"/>
                <w:szCs w:val="21"/>
              </w:rPr>
              <w:t>1</w:t>
            </w:r>
            <w:r>
              <w:rPr>
                <w:rFonts w:hint="eastAsia"/>
                <w:color w:val="000000"/>
                <w:szCs w:val="21"/>
                <w:lang w:val="en-US" w:eastAsia="zh-CN"/>
              </w:rPr>
              <w:t>5</w:t>
            </w:r>
          </w:p>
        </w:tc>
        <w:tc>
          <w:tcPr>
            <w:tcW w:w="403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419EF5B">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（一）评分内容：</w:t>
            </w:r>
          </w:p>
          <w:p w14:paraId="783A0B76">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对投标人提</w:t>
            </w:r>
            <w:r>
              <w:rPr>
                <w:rFonts w:hint="eastAsia" w:ascii="宋体" w:hAnsi="宋体" w:eastAsia="宋体" w:cs="宋体"/>
                <w:szCs w:val="21"/>
              </w:rPr>
              <w:t>供的</w:t>
            </w:r>
            <w:r>
              <w:rPr>
                <w:rFonts w:hint="eastAsia" w:ascii="宋体" w:hAnsi="宋体" w:eastAsia="宋体" w:cs="宋体"/>
                <w:szCs w:val="21"/>
                <w:lang w:eastAsia="zh-CN"/>
              </w:rPr>
              <w:t>雨棚</w:t>
            </w:r>
            <w:r>
              <w:rPr>
                <w:rFonts w:hint="eastAsia" w:ascii="宋体" w:hAnsi="宋体" w:eastAsia="宋体" w:cs="宋体"/>
                <w:szCs w:val="21"/>
              </w:rPr>
              <w:t>施工组织计划、施工技术、施工工艺及相关的合理化建议进行评价，包括但不限于</w:t>
            </w:r>
            <w:r>
              <w:rPr>
                <w:rFonts w:hint="eastAsia"/>
                <w:color w:val="000000"/>
                <w:kern w:val="0"/>
                <w:szCs w:val="21"/>
              </w:rPr>
              <w:t>以下内容：</w:t>
            </w:r>
          </w:p>
          <w:p w14:paraId="62B02D2F">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1</w:t>
            </w:r>
            <w:r>
              <w:rPr>
                <w:rFonts w:hint="eastAsia" w:ascii="宋体" w:hAnsi="宋体" w:eastAsia="宋体" w:cs="宋体"/>
                <w:szCs w:val="21"/>
              </w:rPr>
              <w:t>）施工技术；</w:t>
            </w:r>
          </w:p>
          <w:p w14:paraId="4BFC367E">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ascii="宋体" w:hAnsi="宋体" w:eastAsia="宋体" w:cs="宋体"/>
                <w:szCs w:val="21"/>
              </w:rPr>
              <w:t>（</w:t>
            </w:r>
            <w:r>
              <w:rPr>
                <w:rFonts w:hint="eastAsia" w:ascii="宋体" w:hAnsi="宋体" w:eastAsia="宋体" w:cs="宋体"/>
                <w:szCs w:val="21"/>
                <w:lang w:val="en-US" w:eastAsia="zh-CN"/>
              </w:rPr>
              <w:t>2</w:t>
            </w:r>
            <w:r>
              <w:rPr>
                <w:rFonts w:hint="eastAsia" w:ascii="宋体" w:hAnsi="宋体" w:eastAsia="宋体" w:cs="宋体"/>
                <w:szCs w:val="21"/>
              </w:rPr>
              <w:t>）施</w:t>
            </w:r>
            <w:r>
              <w:rPr>
                <w:rFonts w:hint="eastAsia"/>
                <w:color w:val="000000"/>
                <w:kern w:val="0"/>
                <w:szCs w:val="21"/>
              </w:rPr>
              <w:t>工工艺；</w:t>
            </w:r>
          </w:p>
          <w:p w14:paraId="67B37025">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color w:val="000000"/>
                <w:kern w:val="0"/>
                <w:szCs w:val="21"/>
              </w:rPr>
              <w:t>（</w:t>
            </w:r>
            <w:r>
              <w:rPr>
                <w:rFonts w:hint="eastAsia" w:ascii="宋体" w:hAnsi="宋体" w:eastAsia="宋体" w:cs="宋体"/>
                <w:szCs w:val="21"/>
                <w:lang w:val="en-US" w:eastAsia="zh-CN"/>
              </w:rPr>
              <w:t>3</w:t>
            </w:r>
            <w:r>
              <w:rPr>
                <w:rFonts w:hint="eastAsia" w:ascii="宋体" w:hAnsi="宋体" w:eastAsia="宋体" w:cs="宋体"/>
                <w:szCs w:val="21"/>
              </w:rPr>
              <w:t>）对施工材料的理解。</w:t>
            </w:r>
          </w:p>
          <w:p w14:paraId="4BDEC40E">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（二）评分标准：</w:t>
            </w:r>
          </w:p>
          <w:p w14:paraId="60A78534">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内容满足以上任意三项要求的，得</w:t>
            </w:r>
            <w:r>
              <w:rPr>
                <w:rFonts w:hint="eastAsia" w:ascii="宋体" w:hAnsi="宋体" w:eastAsia="宋体" w:cs="宋体"/>
                <w:szCs w:val="21"/>
                <w:lang w:val="en-US" w:eastAsia="zh-CN"/>
              </w:rPr>
              <w:t>60</w:t>
            </w:r>
            <w:r>
              <w:rPr>
                <w:rFonts w:hint="eastAsia" w:ascii="宋体" w:hAnsi="宋体" w:eastAsia="宋体" w:cs="宋体"/>
                <w:szCs w:val="21"/>
              </w:rPr>
              <w:t>分；内容满足以上任意两项要求的，得</w:t>
            </w:r>
            <w:r>
              <w:rPr>
                <w:rFonts w:hint="eastAsia" w:ascii="宋体" w:hAnsi="宋体" w:eastAsia="宋体" w:cs="宋体"/>
                <w:szCs w:val="21"/>
                <w:lang w:val="en-US" w:eastAsia="zh-CN"/>
              </w:rPr>
              <w:t>4</w:t>
            </w:r>
            <w:r>
              <w:rPr>
                <w:rFonts w:hint="eastAsia" w:ascii="宋体" w:hAnsi="宋体" w:eastAsia="宋体" w:cs="宋体"/>
                <w:szCs w:val="21"/>
              </w:rPr>
              <w:t>0分；内容满足以上任意一项要求的，得</w:t>
            </w:r>
            <w:r>
              <w:rPr>
                <w:rFonts w:hint="eastAsia" w:ascii="宋体" w:hAnsi="宋体" w:eastAsia="宋体" w:cs="宋体"/>
                <w:szCs w:val="21"/>
                <w:lang w:val="en-US" w:eastAsia="zh-CN"/>
              </w:rPr>
              <w:t>20</w:t>
            </w:r>
            <w:r>
              <w:rPr>
                <w:rFonts w:hint="eastAsia" w:ascii="宋体" w:hAnsi="宋体" w:eastAsia="宋体" w:cs="宋体"/>
                <w:szCs w:val="21"/>
              </w:rPr>
              <w:t>分；未满足不得分。</w:t>
            </w:r>
          </w:p>
          <w:p w14:paraId="7DAAD4D7">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在此基础上，</w:t>
            </w:r>
            <w:r>
              <w:rPr>
                <w:rFonts w:hint="eastAsia" w:ascii="宋体" w:hAnsi="宋体" w:eastAsia="宋体" w:cs="宋体"/>
                <w:szCs w:val="21"/>
                <w:lang w:eastAsia="zh-CN"/>
              </w:rPr>
              <w:t>采购评审小组</w:t>
            </w:r>
            <w:r>
              <w:rPr>
                <w:rFonts w:hint="eastAsia" w:ascii="宋体" w:hAnsi="宋体" w:eastAsia="宋体" w:cs="宋体"/>
                <w:szCs w:val="21"/>
              </w:rPr>
              <w:t>根据各投标人的具体响应情况按照以下评审标准进一步评审：</w:t>
            </w:r>
          </w:p>
          <w:p w14:paraId="14A36C55">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1</w:t>
            </w:r>
            <w:r>
              <w:rPr>
                <w:rFonts w:hint="eastAsia" w:ascii="宋体" w:hAnsi="宋体" w:eastAsia="宋体" w:cs="宋体"/>
                <w:szCs w:val="21"/>
              </w:rPr>
              <w:t>）施工技术、施工工艺以及对施工材料的理解与本工程实施内容完全相符；</w:t>
            </w:r>
          </w:p>
          <w:p w14:paraId="67D32464">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2</w:t>
            </w:r>
            <w:r>
              <w:rPr>
                <w:rFonts w:hint="eastAsia" w:ascii="宋体" w:hAnsi="宋体" w:eastAsia="宋体" w:cs="宋体"/>
                <w:szCs w:val="21"/>
              </w:rPr>
              <w:t>）有具体、详细的人员安排及明确的分工；</w:t>
            </w:r>
          </w:p>
          <w:p w14:paraId="260D422F">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ascii="宋体" w:hAnsi="宋体" w:eastAsia="宋体" w:cs="宋体"/>
                <w:szCs w:val="21"/>
              </w:rPr>
              <w:t>（</w:t>
            </w:r>
            <w:r>
              <w:rPr>
                <w:rFonts w:hint="eastAsia" w:ascii="宋体" w:hAnsi="宋体" w:eastAsia="宋体" w:cs="宋体"/>
                <w:szCs w:val="21"/>
                <w:lang w:val="en-US" w:eastAsia="zh-CN"/>
              </w:rPr>
              <w:t>3</w:t>
            </w:r>
            <w:r>
              <w:rPr>
                <w:rFonts w:hint="eastAsia" w:ascii="宋体" w:hAnsi="宋体" w:eastAsia="宋体" w:cs="宋体"/>
                <w:szCs w:val="21"/>
              </w:rPr>
              <w:t>）施工技术可操作性强，能有效保障本项目实</w:t>
            </w:r>
            <w:r>
              <w:rPr>
                <w:rFonts w:hint="eastAsia"/>
                <w:color w:val="000000"/>
                <w:kern w:val="0"/>
                <w:szCs w:val="21"/>
              </w:rPr>
              <w:t>施。</w:t>
            </w:r>
          </w:p>
          <w:p w14:paraId="340C2C9C">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color w:val="000000"/>
                <w:kern w:val="0"/>
                <w:szCs w:val="21"/>
              </w:rPr>
              <w:t>满足以上三项要求的评价为良</w:t>
            </w:r>
            <w:r>
              <w:rPr>
                <w:rFonts w:hint="eastAsia"/>
                <w:color w:val="000000"/>
                <w:kern w:val="0"/>
                <w:szCs w:val="21"/>
                <w:lang w:eastAsia="zh-CN"/>
              </w:rPr>
              <w:t>，</w:t>
            </w:r>
            <w:r>
              <w:rPr>
                <w:rFonts w:hint="eastAsia" w:ascii="宋体" w:hAnsi="宋体" w:eastAsia="宋体" w:cs="宋体"/>
                <w:szCs w:val="21"/>
              </w:rPr>
              <w:t>加</w:t>
            </w:r>
            <w:r>
              <w:rPr>
                <w:rFonts w:hint="eastAsia" w:ascii="宋体" w:hAnsi="宋体" w:eastAsia="宋体" w:cs="宋体"/>
                <w:szCs w:val="21"/>
                <w:lang w:val="en-US" w:eastAsia="zh-CN"/>
              </w:rPr>
              <w:t>40</w:t>
            </w:r>
            <w:r>
              <w:rPr>
                <w:rFonts w:hint="eastAsia" w:ascii="宋体" w:hAnsi="宋体" w:eastAsia="宋体" w:cs="宋体"/>
                <w:szCs w:val="21"/>
              </w:rPr>
              <w:t>分；</w:t>
            </w:r>
          </w:p>
          <w:p w14:paraId="4BD6CE98">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满足以上两项要求的评价为中</w:t>
            </w:r>
            <w:r>
              <w:rPr>
                <w:rFonts w:hint="eastAsia" w:ascii="宋体" w:hAnsi="宋体" w:eastAsia="宋体" w:cs="宋体"/>
                <w:szCs w:val="21"/>
                <w:lang w:eastAsia="zh-CN"/>
              </w:rPr>
              <w:t>，</w:t>
            </w:r>
            <w:r>
              <w:rPr>
                <w:rFonts w:hint="eastAsia" w:ascii="宋体" w:hAnsi="宋体" w:eastAsia="宋体" w:cs="宋体"/>
                <w:szCs w:val="21"/>
              </w:rPr>
              <w:t>加</w:t>
            </w:r>
            <w:r>
              <w:rPr>
                <w:rFonts w:hint="eastAsia" w:ascii="宋体" w:hAnsi="宋体" w:eastAsia="宋体" w:cs="宋体"/>
                <w:szCs w:val="21"/>
                <w:lang w:val="en-US" w:eastAsia="zh-CN"/>
              </w:rPr>
              <w:t>20</w:t>
            </w:r>
            <w:r>
              <w:rPr>
                <w:rFonts w:hint="eastAsia" w:ascii="宋体" w:hAnsi="宋体" w:eastAsia="宋体" w:cs="宋体"/>
                <w:szCs w:val="21"/>
              </w:rPr>
              <w:t>分；</w:t>
            </w:r>
          </w:p>
          <w:p w14:paraId="463DFF66">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ascii="宋体" w:hAnsi="宋体" w:eastAsia="宋体" w:cs="宋体"/>
                <w:szCs w:val="21"/>
              </w:rPr>
              <w:t>其他情况评价为差</w:t>
            </w:r>
            <w:r>
              <w:rPr>
                <w:rFonts w:hint="eastAsia" w:ascii="宋体" w:hAnsi="宋体" w:eastAsia="宋体" w:cs="宋体"/>
                <w:szCs w:val="21"/>
                <w:lang w:eastAsia="zh-CN"/>
              </w:rPr>
              <w:t>，</w:t>
            </w:r>
            <w:r>
              <w:rPr>
                <w:rFonts w:hint="eastAsia" w:ascii="宋体" w:hAnsi="宋体" w:eastAsia="宋体" w:cs="宋体"/>
                <w:szCs w:val="21"/>
              </w:rPr>
              <w:t>不加分。</w:t>
            </w:r>
          </w:p>
        </w:tc>
      </w:tr>
      <w:tr w14:paraId="388E4F9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continue"/>
            <w:tcBorders>
              <w:top w:val="nil"/>
              <w:left w:val="single" w:color="auto" w:sz="8" w:space="0"/>
              <w:bottom w:val="single" w:color="auto" w:sz="8" w:space="0"/>
              <w:right w:val="single" w:color="auto" w:sz="8" w:space="0"/>
            </w:tcBorders>
            <w:noWrap w:val="0"/>
            <w:vAlign w:val="center"/>
          </w:tcPr>
          <w:p w14:paraId="4F9C7F4C">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69034C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eastAsia="宋体"/>
                <w:color w:val="000000"/>
                <w:kern w:val="0"/>
                <w:szCs w:val="21"/>
                <w:lang w:eastAsia="zh-CN"/>
              </w:rPr>
            </w:pPr>
            <w:r>
              <w:rPr>
                <w:rFonts w:hint="eastAsia"/>
                <w:color w:val="000000"/>
                <w:kern w:val="0"/>
                <w:szCs w:val="21"/>
                <w:lang w:val="en-US" w:eastAsia="zh-CN"/>
              </w:rPr>
              <w:t>3</w:t>
            </w:r>
          </w:p>
        </w:tc>
        <w:tc>
          <w:tcPr>
            <w:tcW w:w="168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CFB0C9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施工质量（安全、工期）保障措施及相关的</w:t>
            </w:r>
            <w:r>
              <w:rPr>
                <w:rFonts w:hint="eastAsia"/>
                <w:color w:val="000000"/>
                <w:kern w:val="0"/>
                <w:szCs w:val="21"/>
              </w:rPr>
              <w:t>履</w:t>
            </w:r>
            <w:r>
              <w:rPr>
                <w:color w:val="000000"/>
                <w:kern w:val="0"/>
                <w:szCs w:val="21"/>
              </w:rPr>
              <w:t>约承诺</w:t>
            </w:r>
          </w:p>
        </w:tc>
        <w:tc>
          <w:tcPr>
            <w:tcW w:w="117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9C1232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eastAsia="宋体"/>
                <w:color w:val="000000"/>
                <w:kern w:val="0"/>
                <w:szCs w:val="21"/>
                <w:lang w:val="en-US" w:eastAsia="zh-CN"/>
              </w:rPr>
            </w:pPr>
            <w:r>
              <w:rPr>
                <w:rFonts w:hint="eastAsia"/>
                <w:color w:val="000000"/>
                <w:szCs w:val="21"/>
                <w:lang w:val="en-US" w:eastAsia="zh-CN"/>
              </w:rPr>
              <w:t>15</w:t>
            </w:r>
          </w:p>
        </w:tc>
        <w:tc>
          <w:tcPr>
            <w:tcW w:w="403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BF58D56">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（一）评分内容：</w:t>
            </w:r>
          </w:p>
          <w:p w14:paraId="4A07EFE0">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对投标人的施工质量（安全、环保、工期）保障措施进行评价，包括但不限于以下内容：</w:t>
            </w:r>
          </w:p>
          <w:p w14:paraId="61AAEF3E">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color w:val="000000"/>
                <w:kern w:val="0"/>
                <w:szCs w:val="21"/>
              </w:rPr>
              <w:t>（</w:t>
            </w:r>
            <w:r>
              <w:rPr>
                <w:rFonts w:hint="eastAsia" w:ascii="宋体" w:hAnsi="宋体" w:eastAsia="宋体" w:cs="宋体"/>
                <w:szCs w:val="21"/>
              </w:rPr>
              <w:t>1）施工安全保障措施；</w:t>
            </w:r>
          </w:p>
          <w:p w14:paraId="55008F4A">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2</w:t>
            </w:r>
            <w:r>
              <w:rPr>
                <w:rFonts w:hint="eastAsia" w:ascii="宋体" w:hAnsi="宋体" w:eastAsia="宋体" w:cs="宋体"/>
                <w:szCs w:val="21"/>
              </w:rPr>
              <w:t>）施工工期保障措施。</w:t>
            </w:r>
          </w:p>
          <w:p w14:paraId="59D32C74">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ascii="宋体" w:hAnsi="宋体" w:eastAsia="宋体" w:cs="宋体"/>
                <w:szCs w:val="21"/>
              </w:rPr>
              <w:t>（二）评</w:t>
            </w:r>
            <w:r>
              <w:rPr>
                <w:rFonts w:hint="eastAsia"/>
                <w:color w:val="000000"/>
                <w:kern w:val="0"/>
                <w:szCs w:val="21"/>
              </w:rPr>
              <w:t>分标准：</w:t>
            </w:r>
          </w:p>
          <w:p w14:paraId="0805FBEC">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color w:val="000000"/>
                <w:kern w:val="0"/>
                <w:szCs w:val="21"/>
              </w:rPr>
              <w:t>内容满足以</w:t>
            </w:r>
            <w:r>
              <w:rPr>
                <w:rFonts w:hint="eastAsia" w:ascii="宋体" w:hAnsi="宋体" w:eastAsia="宋体" w:cs="宋体"/>
                <w:szCs w:val="21"/>
              </w:rPr>
              <w:t>上任意两项要求的，得</w:t>
            </w:r>
            <w:r>
              <w:rPr>
                <w:rFonts w:hint="eastAsia" w:ascii="宋体" w:hAnsi="宋体" w:eastAsia="宋体" w:cs="宋体"/>
                <w:szCs w:val="21"/>
                <w:lang w:val="en-US" w:eastAsia="zh-CN"/>
              </w:rPr>
              <w:t>6</w:t>
            </w:r>
            <w:r>
              <w:rPr>
                <w:rFonts w:hint="eastAsia" w:ascii="宋体" w:hAnsi="宋体" w:eastAsia="宋体" w:cs="宋体"/>
                <w:szCs w:val="21"/>
              </w:rPr>
              <w:t>0分；内容满足以上任意一项要求的，得</w:t>
            </w:r>
            <w:r>
              <w:rPr>
                <w:rFonts w:hint="eastAsia" w:ascii="宋体" w:hAnsi="宋体" w:eastAsia="宋体" w:cs="宋体"/>
                <w:szCs w:val="21"/>
                <w:lang w:val="en-US" w:eastAsia="zh-CN"/>
              </w:rPr>
              <w:t>3</w:t>
            </w:r>
            <w:r>
              <w:rPr>
                <w:rFonts w:hint="eastAsia" w:ascii="宋体" w:hAnsi="宋体" w:eastAsia="宋体" w:cs="宋体"/>
                <w:szCs w:val="21"/>
              </w:rPr>
              <w:t>0分；未满足不得分。</w:t>
            </w:r>
          </w:p>
          <w:p w14:paraId="43703ACA">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在此基础上，</w:t>
            </w:r>
            <w:r>
              <w:rPr>
                <w:rFonts w:hint="eastAsia"/>
                <w:color w:val="000000"/>
                <w:kern w:val="0"/>
                <w:szCs w:val="21"/>
                <w:lang w:eastAsia="zh-CN"/>
              </w:rPr>
              <w:t>采购评审小组</w:t>
            </w:r>
            <w:r>
              <w:rPr>
                <w:rFonts w:hint="eastAsia"/>
                <w:color w:val="000000"/>
                <w:kern w:val="0"/>
                <w:szCs w:val="21"/>
              </w:rPr>
              <w:t>根据各投标人的具体响应内容按照量化的评审因素指标进一步评审：</w:t>
            </w:r>
          </w:p>
          <w:p w14:paraId="29A2A9F1">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（1）施工质量障措施内容完善全面；</w:t>
            </w:r>
          </w:p>
          <w:p w14:paraId="7EA5912D">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（2）施工质量障措施内容具体；</w:t>
            </w:r>
          </w:p>
          <w:p w14:paraId="1C57DC82">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（3）施工质量障措施内容针对性强；</w:t>
            </w:r>
          </w:p>
          <w:p w14:paraId="5E0DE098">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（4）施工质量障措施内容科学合理；</w:t>
            </w:r>
          </w:p>
          <w:p w14:paraId="40966F44">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color w:val="000000"/>
                <w:kern w:val="0"/>
                <w:szCs w:val="21"/>
              </w:rPr>
              <w:t>（5）施工质量障措施内容可操作性强。</w:t>
            </w:r>
          </w:p>
          <w:p w14:paraId="31ABEDA5">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color w:val="000000"/>
                <w:kern w:val="0"/>
                <w:szCs w:val="21"/>
              </w:rPr>
              <w:t>满足以上五项要求的，</w:t>
            </w:r>
            <w:r>
              <w:rPr>
                <w:rFonts w:hint="eastAsia" w:ascii="宋体" w:hAnsi="宋体" w:eastAsia="宋体" w:cs="宋体"/>
                <w:szCs w:val="21"/>
              </w:rPr>
              <w:t>加40分；</w:t>
            </w:r>
          </w:p>
          <w:p w14:paraId="020DE8D4">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满足以上四项要求的，加30分；</w:t>
            </w:r>
          </w:p>
          <w:p w14:paraId="26901259">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满足以上三项要求的，加20分；</w:t>
            </w:r>
          </w:p>
          <w:p w14:paraId="01B0F642">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满足以上两项要求的，加10分；</w:t>
            </w:r>
          </w:p>
          <w:p w14:paraId="4AEEE1B7">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rFonts w:hint="eastAsia" w:ascii="宋体" w:hAnsi="宋体" w:eastAsia="宋体" w:cs="宋体"/>
                <w:szCs w:val="21"/>
              </w:rPr>
              <w:t>其他情况评价为差，不加分</w:t>
            </w:r>
            <w:r>
              <w:rPr>
                <w:rFonts w:hint="eastAsia"/>
                <w:color w:val="000000"/>
                <w:kern w:val="0"/>
                <w:szCs w:val="21"/>
              </w:rPr>
              <w:t>。</w:t>
            </w:r>
          </w:p>
        </w:tc>
      </w:tr>
      <w:tr w14:paraId="1BF2A8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3" w:hRule="atLeast"/>
          <w:jc w:val="center"/>
        </w:trPr>
        <w:tc>
          <w:tcPr>
            <w:tcW w:w="68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56B3C16">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3</w:t>
            </w:r>
          </w:p>
        </w:tc>
        <w:tc>
          <w:tcPr>
            <w:tcW w:w="3829" w:type="dxa"/>
            <w:gridSpan w:val="4"/>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1C04B1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综合实力部分</w:t>
            </w:r>
          </w:p>
        </w:tc>
        <w:tc>
          <w:tcPr>
            <w:tcW w:w="403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7A86B3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eastAsia="宋体"/>
                <w:color w:val="000000"/>
                <w:kern w:val="0"/>
                <w:szCs w:val="21"/>
                <w:lang w:val="en-US" w:eastAsia="zh-CN"/>
              </w:rPr>
            </w:pPr>
            <w:r>
              <w:rPr>
                <w:rFonts w:hint="eastAsia"/>
                <w:color w:val="000000"/>
                <w:szCs w:val="21"/>
                <w:lang w:val="en-US" w:eastAsia="zh-CN"/>
              </w:rPr>
              <w:t>10</w:t>
            </w:r>
          </w:p>
        </w:tc>
      </w:tr>
      <w:tr w14:paraId="73AF974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restart"/>
            <w:tcBorders>
              <w:top w:val="single" w:color="auto" w:sz="8" w:space="0"/>
              <w:left w:val="single" w:color="auto" w:sz="8" w:space="0"/>
              <w:right w:val="single" w:color="auto" w:sz="8" w:space="0"/>
            </w:tcBorders>
            <w:noWrap w:val="0"/>
            <w:tcMar>
              <w:top w:w="0" w:type="dxa"/>
              <w:left w:w="108" w:type="dxa"/>
              <w:bottom w:w="0" w:type="dxa"/>
              <w:right w:w="108" w:type="dxa"/>
            </w:tcMar>
            <w:vAlign w:val="center"/>
          </w:tcPr>
          <w:p w14:paraId="4D2A401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1800C59">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序号</w:t>
            </w:r>
          </w:p>
        </w:tc>
        <w:tc>
          <w:tcPr>
            <w:tcW w:w="168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48C13E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评分准则</w:t>
            </w:r>
          </w:p>
        </w:tc>
        <w:tc>
          <w:tcPr>
            <w:tcW w:w="117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ACBFA50">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权重（%）</w:t>
            </w:r>
          </w:p>
        </w:tc>
        <w:tc>
          <w:tcPr>
            <w:tcW w:w="403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5E7C597">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评分准则</w:t>
            </w:r>
          </w:p>
        </w:tc>
      </w:tr>
      <w:tr w14:paraId="5FE6BC8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continue"/>
            <w:tcBorders>
              <w:left w:val="single" w:color="auto" w:sz="8" w:space="0"/>
              <w:right w:val="single" w:color="auto" w:sz="8" w:space="0"/>
            </w:tcBorders>
            <w:noWrap w:val="0"/>
            <w:vAlign w:val="center"/>
          </w:tcPr>
          <w:p w14:paraId="2EDCE45A">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040A06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eastAsia="宋体"/>
                <w:color w:val="000000"/>
                <w:kern w:val="0"/>
                <w:szCs w:val="21"/>
                <w:lang w:val="en-US" w:eastAsia="zh-CN"/>
              </w:rPr>
            </w:pPr>
            <w:r>
              <w:rPr>
                <w:rFonts w:hint="eastAsia"/>
                <w:color w:val="000000"/>
                <w:kern w:val="0"/>
                <w:szCs w:val="21"/>
                <w:lang w:val="en-US" w:eastAsia="zh-CN"/>
              </w:rPr>
              <w:t>1</w:t>
            </w:r>
          </w:p>
        </w:tc>
        <w:tc>
          <w:tcPr>
            <w:tcW w:w="168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11E319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投标人同类项目业绩情况</w:t>
            </w:r>
          </w:p>
        </w:tc>
        <w:tc>
          <w:tcPr>
            <w:tcW w:w="117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3F6BE3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default" w:eastAsia="宋体"/>
                <w:color w:val="000000"/>
                <w:kern w:val="0"/>
                <w:szCs w:val="21"/>
                <w:lang w:val="en-US" w:eastAsia="zh-CN"/>
              </w:rPr>
            </w:pPr>
            <w:r>
              <w:rPr>
                <w:rFonts w:hint="eastAsia"/>
                <w:color w:val="000000"/>
                <w:szCs w:val="21"/>
                <w:lang w:val="en-US" w:eastAsia="zh-CN"/>
              </w:rPr>
              <w:t>5</w:t>
            </w:r>
          </w:p>
        </w:tc>
        <w:tc>
          <w:tcPr>
            <w:tcW w:w="403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7667C26">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考察投标人近三年（2023年6月1日至本项目投标截止之日，以项目验收或履约评价时间为准）同类项目[同类项目专指施工内容涉及</w:t>
            </w:r>
            <w:r>
              <w:rPr>
                <w:rFonts w:hint="eastAsia" w:ascii="宋体" w:hAnsi="宋体" w:eastAsia="宋体" w:cs="宋体"/>
                <w:szCs w:val="21"/>
                <w:lang w:val="en-US" w:eastAsia="zh-CN"/>
              </w:rPr>
              <w:t>玻璃雨棚建设项目</w:t>
            </w:r>
            <w:r>
              <w:rPr>
                <w:rFonts w:hint="eastAsia" w:ascii="宋体" w:hAnsi="宋体" w:eastAsia="宋体" w:cs="宋体"/>
                <w:szCs w:val="21"/>
              </w:rPr>
              <w:t>]业绩情况：有3个的，得100分；2个的，得60分；1个的，得30分；没有的不得分。</w:t>
            </w:r>
          </w:p>
          <w:p w14:paraId="72880CCE">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rPr>
            </w:pPr>
            <w:r>
              <w:rPr>
                <w:rFonts w:hint="eastAsia" w:ascii="宋体" w:hAnsi="宋体" w:eastAsia="宋体" w:cs="宋体"/>
                <w:szCs w:val="21"/>
              </w:rPr>
              <w:t>评分依据：</w:t>
            </w:r>
          </w:p>
          <w:p w14:paraId="01C52AF8">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szCs w:val="21"/>
              </w:rPr>
            </w:pPr>
            <w:r>
              <w:rPr>
                <w:color w:val="000000"/>
                <w:szCs w:val="21"/>
              </w:rPr>
              <w:t>1.要求同时提供合同关键信息</w:t>
            </w:r>
            <w:r>
              <w:rPr>
                <w:rFonts w:hint="eastAsia" w:ascii="宋体" w:hAnsi="宋体" w:cs="宋体"/>
                <w:szCs w:val="21"/>
              </w:rPr>
              <w:t>（合同首页、工程内容规模、甲乙双方盖章）</w:t>
            </w:r>
            <w:r>
              <w:rPr>
                <w:color w:val="000000"/>
                <w:szCs w:val="21"/>
              </w:rPr>
              <w:t>和项目验收合格评价证明文件作为得分依据，项目验收合格评价证明文件需加盖合同甲方公章（或甲方业务章）。</w:t>
            </w:r>
          </w:p>
          <w:p w14:paraId="50342751">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szCs w:val="21"/>
              </w:rPr>
            </w:pPr>
            <w:r>
              <w:rPr>
                <w:color w:val="000000"/>
                <w:szCs w:val="21"/>
              </w:rPr>
              <w:t>2.通过合同关键信息无法判断是否得分的，还须同时提供能证明得分的其它证明资料，如项目报告或合同甲方出具的证明文件等。</w:t>
            </w:r>
          </w:p>
          <w:p w14:paraId="18EADF79">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rPr>
            </w:pPr>
            <w:r>
              <w:rPr>
                <w:color w:val="000000"/>
                <w:szCs w:val="21"/>
              </w:rPr>
              <w:t>3.以上资料均要求提供扫描件，原件备查。评分中出现无证明资料或</w:t>
            </w:r>
            <w:r>
              <w:rPr>
                <w:rFonts w:hint="eastAsia"/>
                <w:color w:val="000000"/>
                <w:szCs w:val="21"/>
                <w:lang w:eastAsia="zh-CN"/>
              </w:rPr>
              <w:t>小组成员</w:t>
            </w:r>
            <w:r>
              <w:rPr>
                <w:color w:val="000000"/>
                <w:szCs w:val="21"/>
              </w:rPr>
              <w:t>无法凭所提供资料判断是否得分的情况，一律作不得分处理。</w:t>
            </w:r>
          </w:p>
        </w:tc>
      </w:tr>
      <w:tr w14:paraId="0CAE44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tcBorders>
              <w:left w:val="single" w:color="auto" w:sz="8" w:space="0"/>
              <w:right w:val="single" w:color="auto" w:sz="8" w:space="0"/>
            </w:tcBorders>
            <w:noWrap w:val="0"/>
            <w:vAlign w:val="center"/>
          </w:tcPr>
          <w:p w14:paraId="179C30A7">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93C371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eastAsia="宋体"/>
                <w:color w:val="000000"/>
                <w:kern w:val="0"/>
                <w:szCs w:val="21"/>
                <w:lang w:val="en-US" w:eastAsia="zh-CN"/>
              </w:rPr>
            </w:pPr>
            <w:r>
              <w:rPr>
                <w:rFonts w:hint="eastAsia"/>
                <w:color w:val="000000"/>
                <w:kern w:val="0"/>
                <w:szCs w:val="21"/>
                <w:lang w:val="en-US" w:eastAsia="zh-CN"/>
              </w:rPr>
              <w:t>2</w:t>
            </w:r>
          </w:p>
        </w:tc>
        <w:tc>
          <w:tcPr>
            <w:tcW w:w="168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1835B7A">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eastAsia="宋体"/>
                <w:color w:val="000000"/>
                <w:szCs w:val="21"/>
                <w:lang w:eastAsia="zh-CN"/>
              </w:rPr>
            </w:pPr>
            <w:r>
              <w:rPr>
                <w:rFonts w:hint="eastAsia"/>
                <w:color w:val="000000"/>
                <w:szCs w:val="21"/>
                <w:highlight w:val="none"/>
                <w:lang w:eastAsia="zh-CN"/>
              </w:rPr>
              <w:t>资质</w:t>
            </w:r>
          </w:p>
        </w:tc>
        <w:tc>
          <w:tcPr>
            <w:tcW w:w="117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CDF1D4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eastAsia="宋体"/>
                <w:color w:val="000000"/>
                <w:szCs w:val="21"/>
                <w:lang w:eastAsia="zh-CN"/>
              </w:rPr>
            </w:pPr>
            <w:r>
              <w:rPr>
                <w:rFonts w:hint="eastAsia"/>
                <w:color w:val="000000"/>
                <w:szCs w:val="21"/>
                <w:lang w:val="en-US" w:eastAsia="zh-CN"/>
              </w:rPr>
              <w:t>5</w:t>
            </w:r>
          </w:p>
        </w:tc>
        <w:tc>
          <w:tcPr>
            <w:tcW w:w="403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8ADF357">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ascii="宋体" w:hAnsi="宋体" w:cs="宋体"/>
                <w:szCs w:val="21"/>
              </w:rPr>
            </w:pPr>
            <w:r>
              <w:rPr>
                <w:rFonts w:hint="eastAsia" w:ascii="宋体" w:hAnsi="宋体" w:cs="宋体"/>
                <w:szCs w:val="21"/>
              </w:rPr>
              <w:t>（一）评分内容：</w:t>
            </w:r>
          </w:p>
          <w:p w14:paraId="4B7C2ECF">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Cs w:val="21"/>
                <w:lang w:eastAsia="zh-CN"/>
              </w:rPr>
            </w:pPr>
            <w:r>
              <w:rPr>
                <w:rFonts w:hint="eastAsia"/>
                <w:color w:val="000000"/>
                <w:szCs w:val="21"/>
              </w:rPr>
              <w:t>1.</w:t>
            </w:r>
            <w:r>
              <w:rPr>
                <w:rFonts w:hint="eastAsia" w:ascii="宋体" w:hAnsi="宋体" w:cs="宋体"/>
                <w:szCs w:val="21"/>
                <w:lang w:val="en-US" w:eastAsia="zh-CN"/>
              </w:rPr>
              <w:t>具有建设行政主管部门颁发的有效期内的钢结构工程专业承包二级‌及以上资质，有一项，</w:t>
            </w:r>
            <w:r>
              <w:rPr>
                <w:rFonts w:hint="eastAsia" w:ascii="宋体" w:hAnsi="宋体" w:cs="宋体"/>
                <w:szCs w:val="21"/>
              </w:rPr>
              <w:t>得60分</w:t>
            </w:r>
            <w:r>
              <w:rPr>
                <w:rFonts w:hint="eastAsia" w:ascii="宋体" w:hAnsi="宋体" w:cs="宋体"/>
                <w:szCs w:val="21"/>
                <w:lang w:eastAsia="zh-CN"/>
              </w:rPr>
              <w:t>。</w:t>
            </w:r>
          </w:p>
          <w:p w14:paraId="7A6D5501">
            <w:pPr>
              <w:pStyle w:val="2"/>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kern w:val="2"/>
                <w:sz w:val="21"/>
                <w:szCs w:val="21"/>
                <w:lang w:val="en-US" w:eastAsia="zh-CN" w:bidi="ar-SA"/>
              </w:rPr>
            </w:pPr>
            <w:r>
              <w:rPr>
                <w:rFonts w:hint="eastAsia" w:ascii="Calibri" w:hAnsi="Calibri" w:eastAsia="宋体" w:cs="Times New Roman"/>
                <w:color w:val="000000"/>
                <w:kern w:val="2"/>
                <w:sz w:val="21"/>
                <w:szCs w:val="21"/>
                <w:lang w:val="en-US" w:eastAsia="zh-CN" w:bidi="ar-SA"/>
              </w:rPr>
              <w:t>2.</w:t>
            </w:r>
            <w:r>
              <w:rPr>
                <w:rFonts w:hint="eastAsia" w:ascii="宋体" w:hAnsi="宋体" w:eastAsia="宋体" w:cs="宋体"/>
                <w:kern w:val="2"/>
                <w:sz w:val="21"/>
                <w:szCs w:val="21"/>
                <w:lang w:val="en-US" w:eastAsia="zh-CN" w:bidi="ar-SA"/>
              </w:rPr>
              <w:t>本项目拟投入的项目经理须具备二级或以上建造师执业资格（建筑工程专业）和持有项目负责人安全生产考核合格证(B类)（或建筑施工企业项目负责人安全生产考核合格证书）。</w:t>
            </w:r>
            <w:r>
              <w:rPr>
                <w:rFonts w:hint="eastAsia" w:ascii="宋体" w:hAnsi="宋体" w:cs="宋体"/>
                <w:kern w:val="2"/>
                <w:sz w:val="21"/>
                <w:szCs w:val="21"/>
                <w:lang w:val="en-US" w:eastAsia="zh-CN" w:bidi="ar-SA"/>
              </w:rPr>
              <w:t>具有资质</w:t>
            </w:r>
            <w:r>
              <w:rPr>
                <w:rFonts w:hint="eastAsia"/>
                <w:color w:val="000000"/>
                <w:kern w:val="0"/>
                <w:szCs w:val="21"/>
              </w:rPr>
              <w:t>得</w:t>
            </w:r>
            <w:r>
              <w:rPr>
                <w:rFonts w:hint="eastAsia" w:ascii="宋体" w:hAnsi="宋体" w:eastAsia="宋体" w:cs="宋体"/>
                <w:kern w:val="2"/>
                <w:sz w:val="21"/>
                <w:szCs w:val="21"/>
                <w:lang w:val="en-US" w:eastAsia="zh-CN" w:bidi="ar-SA"/>
              </w:rPr>
              <w:t>40</w:t>
            </w:r>
            <w:r>
              <w:rPr>
                <w:rFonts w:hint="eastAsia"/>
                <w:color w:val="000000"/>
                <w:kern w:val="0"/>
                <w:szCs w:val="21"/>
              </w:rPr>
              <w:t>分</w:t>
            </w:r>
            <w:r>
              <w:rPr>
                <w:rFonts w:hint="eastAsia"/>
                <w:color w:val="000000"/>
                <w:kern w:val="0"/>
                <w:szCs w:val="21"/>
                <w:lang w:eastAsia="zh-CN"/>
              </w:rPr>
              <w:t>，</w:t>
            </w:r>
            <w:r>
              <w:rPr>
                <w:rFonts w:hint="eastAsia" w:ascii="宋体" w:hAnsi="宋体" w:eastAsia="宋体" w:cs="宋体"/>
                <w:kern w:val="2"/>
                <w:sz w:val="21"/>
                <w:szCs w:val="21"/>
                <w:lang w:val="en-US" w:eastAsia="zh-CN" w:bidi="ar-SA"/>
              </w:rPr>
              <w:t>没有不得分</w:t>
            </w:r>
            <w:r>
              <w:rPr>
                <w:rFonts w:hint="eastAsia" w:ascii="宋体" w:hAnsi="宋体" w:cs="宋体"/>
                <w:kern w:val="2"/>
                <w:sz w:val="21"/>
                <w:szCs w:val="21"/>
                <w:lang w:val="en-US" w:eastAsia="zh-CN" w:bidi="ar-SA"/>
              </w:rPr>
              <w:t>。</w:t>
            </w:r>
          </w:p>
          <w:p w14:paraId="130B8BED">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ascii="宋体" w:hAnsi="宋体" w:cs="宋体"/>
                <w:szCs w:val="21"/>
              </w:rPr>
            </w:pPr>
            <w:r>
              <w:rPr>
                <w:rFonts w:hint="eastAsia" w:ascii="宋体" w:hAnsi="宋体" w:cs="宋体"/>
                <w:szCs w:val="21"/>
              </w:rPr>
              <w:t>（二）评分依据:</w:t>
            </w:r>
          </w:p>
          <w:p w14:paraId="4C84675C">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ascii="宋体" w:hAnsi="宋体" w:cs="宋体"/>
                <w:szCs w:val="21"/>
              </w:rPr>
            </w:pPr>
            <w:r>
              <w:rPr>
                <w:rFonts w:hint="eastAsia" w:ascii="宋体" w:hAnsi="宋体" w:cs="宋体"/>
                <w:szCs w:val="21"/>
              </w:rPr>
              <w:t>1.要求提供有效的相关证明资料（</w:t>
            </w:r>
            <w:r>
              <w:rPr>
                <w:rFonts w:hint="eastAsia" w:ascii="宋体" w:hAnsi="宋体" w:cs="宋体"/>
                <w:szCs w:val="21"/>
                <w:lang w:eastAsia="zh-CN"/>
              </w:rPr>
              <w:t>资质证书、</w:t>
            </w:r>
            <w:r>
              <w:rPr>
                <w:rFonts w:hint="eastAsia" w:ascii="宋体" w:hAnsi="宋体" w:cs="宋体"/>
                <w:szCs w:val="21"/>
              </w:rPr>
              <w:t>职称证书、社保证明）作为得分依据。</w:t>
            </w:r>
          </w:p>
          <w:p w14:paraId="52939FCE">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ascii="宋体" w:hAnsi="宋体" w:cs="宋体"/>
                <w:szCs w:val="21"/>
              </w:rPr>
            </w:pPr>
            <w:r>
              <w:rPr>
                <w:rFonts w:hint="eastAsia" w:ascii="宋体" w:hAnsi="宋体" w:cs="宋体"/>
                <w:szCs w:val="21"/>
              </w:rPr>
              <w:t>2.社保证明资料：通过投标人缴纳的近一个月的社保证明作为本单位员工的证明依据。如依法不需要缴纳社会保险的，提供相应文件证明亦视为符合要求；如因社保部门原因无法提供社保证明的，提供劳动合同及社保部门官方通知证明（或官网公告截图）亦视为符合要求。</w:t>
            </w:r>
          </w:p>
        </w:tc>
      </w:tr>
      <w:tr w14:paraId="5359A55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FCC855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4</w:t>
            </w:r>
          </w:p>
        </w:tc>
        <w:tc>
          <w:tcPr>
            <w:tcW w:w="3829" w:type="dxa"/>
            <w:gridSpan w:val="4"/>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F40164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诚信部分</w:t>
            </w:r>
          </w:p>
        </w:tc>
        <w:tc>
          <w:tcPr>
            <w:tcW w:w="403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B03B5DE">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rFonts w:hint="eastAsia"/>
                <w:color w:val="000000"/>
                <w:szCs w:val="21"/>
              </w:rPr>
              <w:t>5</w:t>
            </w:r>
          </w:p>
        </w:tc>
      </w:tr>
      <w:tr w14:paraId="2FA414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restart"/>
            <w:tcBorders>
              <w:top w:val="single" w:color="auto" w:sz="8" w:space="0"/>
              <w:left w:val="single" w:color="auto" w:sz="8" w:space="0"/>
              <w:right w:val="single" w:color="auto" w:sz="8" w:space="0"/>
            </w:tcBorders>
            <w:noWrap w:val="0"/>
            <w:tcMar>
              <w:top w:w="0" w:type="dxa"/>
              <w:left w:w="108" w:type="dxa"/>
              <w:bottom w:w="0" w:type="dxa"/>
              <w:right w:w="108" w:type="dxa"/>
            </w:tcMar>
            <w:vAlign w:val="center"/>
          </w:tcPr>
          <w:p w14:paraId="7ED4B29A">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F5E4FC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序号</w:t>
            </w:r>
          </w:p>
        </w:tc>
        <w:tc>
          <w:tcPr>
            <w:tcW w:w="1688" w:type="dxa"/>
            <w:tcBorders>
              <w:top w:val="single" w:color="auto" w:sz="8" w:space="0"/>
              <w:left w:val="nil"/>
              <w:right w:val="single" w:color="auto" w:sz="8" w:space="0"/>
            </w:tcBorders>
            <w:noWrap w:val="0"/>
            <w:vAlign w:val="center"/>
          </w:tcPr>
          <w:p w14:paraId="7CA7B06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评审因素</w:t>
            </w:r>
          </w:p>
        </w:tc>
        <w:tc>
          <w:tcPr>
            <w:tcW w:w="1178" w:type="dxa"/>
            <w:tcBorders>
              <w:top w:val="single" w:color="auto" w:sz="8" w:space="0"/>
              <w:left w:val="nil"/>
              <w:right w:val="single" w:color="auto" w:sz="8" w:space="0"/>
            </w:tcBorders>
            <w:noWrap w:val="0"/>
            <w:vAlign w:val="center"/>
          </w:tcPr>
          <w:p w14:paraId="06FBF27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权重（%）</w:t>
            </w:r>
          </w:p>
        </w:tc>
        <w:tc>
          <w:tcPr>
            <w:tcW w:w="4032" w:type="dxa"/>
            <w:tcBorders>
              <w:top w:val="single" w:color="auto" w:sz="8" w:space="0"/>
              <w:left w:val="nil"/>
              <w:right w:val="single" w:color="auto" w:sz="8" w:space="0"/>
            </w:tcBorders>
            <w:noWrap w:val="0"/>
            <w:tcMar>
              <w:top w:w="0" w:type="dxa"/>
              <w:left w:w="108" w:type="dxa"/>
              <w:bottom w:w="0" w:type="dxa"/>
              <w:right w:w="108" w:type="dxa"/>
            </w:tcMar>
            <w:vAlign w:val="center"/>
          </w:tcPr>
          <w:p w14:paraId="685059B8">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评分准则</w:t>
            </w:r>
          </w:p>
        </w:tc>
      </w:tr>
      <w:tr w14:paraId="514D64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continue"/>
            <w:tcBorders>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3950D60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single" w:color="auto" w:sz="8" w:space="0"/>
              <w:left w:val="nil"/>
              <w:bottom w:val="single" w:color="auto" w:sz="4" w:space="0"/>
              <w:right w:val="single" w:color="auto" w:sz="8" w:space="0"/>
            </w:tcBorders>
            <w:noWrap w:val="0"/>
            <w:tcMar>
              <w:top w:w="0" w:type="dxa"/>
              <w:left w:w="108" w:type="dxa"/>
              <w:bottom w:w="0" w:type="dxa"/>
              <w:right w:w="108" w:type="dxa"/>
            </w:tcMar>
            <w:vAlign w:val="center"/>
          </w:tcPr>
          <w:p w14:paraId="1F4E943E">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1</w:t>
            </w:r>
          </w:p>
        </w:tc>
        <w:tc>
          <w:tcPr>
            <w:tcW w:w="1688" w:type="dxa"/>
            <w:tcBorders>
              <w:top w:val="single" w:color="auto" w:sz="8" w:space="0"/>
              <w:left w:val="nil"/>
              <w:bottom w:val="single" w:color="auto" w:sz="4" w:space="0"/>
              <w:right w:val="single" w:color="auto" w:sz="8" w:space="0"/>
            </w:tcBorders>
            <w:noWrap w:val="0"/>
            <w:vAlign w:val="center"/>
          </w:tcPr>
          <w:p w14:paraId="1C59604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color w:val="000000"/>
                <w:kern w:val="0"/>
                <w:szCs w:val="21"/>
              </w:rPr>
              <w:t>诚信</w:t>
            </w:r>
          </w:p>
        </w:tc>
        <w:tc>
          <w:tcPr>
            <w:tcW w:w="1178" w:type="dxa"/>
            <w:tcBorders>
              <w:top w:val="single" w:color="auto" w:sz="8" w:space="0"/>
              <w:left w:val="nil"/>
              <w:bottom w:val="single" w:color="auto" w:sz="4" w:space="0"/>
              <w:right w:val="single" w:color="auto" w:sz="8" w:space="0"/>
            </w:tcBorders>
            <w:noWrap w:val="0"/>
            <w:vAlign w:val="center"/>
          </w:tcPr>
          <w:p w14:paraId="3F6C54AA">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r>
              <w:rPr>
                <w:rFonts w:hint="eastAsia"/>
                <w:color w:val="000000"/>
                <w:szCs w:val="21"/>
              </w:rPr>
              <w:t>5</w:t>
            </w:r>
          </w:p>
        </w:tc>
        <w:tc>
          <w:tcPr>
            <w:tcW w:w="403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2ECE4D4">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color w:val="000000"/>
                <w:kern w:val="0"/>
                <w:szCs w:val="21"/>
                <w:highlight w:val="yellow"/>
              </w:rPr>
            </w:pPr>
            <w:r>
              <w:rPr>
                <w:color w:val="000000"/>
                <w:szCs w:val="21"/>
                <w:highlight w:val="none"/>
              </w:rPr>
              <w:t>投标人在参与采购活动中存在诚信相关问题且在</w:t>
            </w:r>
            <w:r>
              <w:rPr>
                <w:rFonts w:hint="eastAsia"/>
                <w:color w:val="000000"/>
                <w:szCs w:val="21"/>
                <w:highlight w:val="none"/>
                <w:lang w:eastAsia="zh-CN"/>
              </w:rPr>
              <w:t>有关</w:t>
            </w:r>
            <w:r>
              <w:rPr>
                <w:color w:val="000000"/>
                <w:szCs w:val="21"/>
                <w:highlight w:val="none"/>
              </w:rPr>
              <w:t>部门相关处理措施实施期限内的，本项不得分，否则得满分。投标人无需提供任何证明材料，由工作人员向</w:t>
            </w:r>
            <w:r>
              <w:rPr>
                <w:rFonts w:hint="eastAsia"/>
                <w:color w:val="000000"/>
                <w:szCs w:val="21"/>
                <w:highlight w:val="none"/>
                <w:lang w:eastAsia="zh-CN"/>
              </w:rPr>
              <w:t>采购评审小组</w:t>
            </w:r>
            <w:r>
              <w:rPr>
                <w:color w:val="000000"/>
                <w:szCs w:val="21"/>
                <w:highlight w:val="none"/>
              </w:rPr>
              <w:t>提供相关信息。</w:t>
            </w:r>
            <w:r>
              <w:rPr>
                <w:rFonts w:hint="eastAsia" w:ascii="宋体" w:hAnsi="宋体" w:cs="宋体"/>
                <w:color w:val="auto"/>
                <w:szCs w:val="21"/>
                <w:highlight w:val="none"/>
              </w:rPr>
              <w:t>查询渠道：通过“信用中国”（www.creditchina.gov.cn，</w:t>
            </w:r>
            <w:r>
              <w:rPr>
                <w:rFonts w:hint="eastAsia" w:ascii="宋体" w:hAnsi="宋体" w:cs="宋体"/>
                <w:color w:val="auto"/>
                <w:kern w:val="0"/>
                <w:szCs w:val="21"/>
                <w:highlight w:val="none"/>
                <w:lang w:bidi="ar"/>
              </w:rPr>
              <w:t>或者</w:t>
            </w:r>
            <w:r>
              <w:rPr>
                <w:rFonts w:hint="eastAsia" w:ascii="宋体" w:hAnsi="宋体" w:cs="宋体"/>
                <w:color w:val="auto"/>
                <w:szCs w:val="21"/>
                <w:highlight w:val="none"/>
              </w:rPr>
              <w:t>下载信用信息报告）、“中国政府采购网”（www.ccgp.gov.cn）、以及“深圳市政府采购监管网”（http://zfcg.sz.gov.cn）查询供应商信用信息，信用信息以开标当日的查询结果为准。</w:t>
            </w:r>
          </w:p>
        </w:tc>
      </w:tr>
      <w:tr w14:paraId="140B022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center"/>
          </w:tcPr>
          <w:p w14:paraId="73A5828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val="en-US" w:eastAsia="zh-CN"/>
              </w:rPr>
            </w:pPr>
            <w:r>
              <w:rPr>
                <w:rFonts w:hint="eastAsia"/>
                <w:color w:val="000000"/>
                <w:kern w:val="0"/>
                <w:szCs w:val="21"/>
                <w:lang w:val="en-US" w:eastAsia="zh-CN"/>
              </w:rPr>
              <w:t>5</w:t>
            </w:r>
          </w:p>
        </w:tc>
        <w:tc>
          <w:tcPr>
            <w:tcW w:w="3829" w:type="dxa"/>
            <w:gridSpan w:val="4"/>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524F53B5">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eastAsia="zh-CN"/>
              </w:rPr>
            </w:pPr>
            <w:r>
              <w:rPr>
                <w:rFonts w:hint="eastAsia"/>
                <w:color w:val="000000"/>
                <w:kern w:val="0"/>
                <w:szCs w:val="21"/>
                <w:lang w:eastAsia="zh-CN"/>
              </w:rPr>
              <w:t>售后</w:t>
            </w:r>
          </w:p>
        </w:tc>
        <w:tc>
          <w:tcPr>
            <w:tcW w:w="4032" w:type="dxa"/>
            <w:tcBorders>
              <w:top w:val="single" w:color="auto" w:sz="8" w:space="0"/>
              <w:left w:val="single" w:color="auto" w:sz="4" w:space="0"/>
              <w:bottom w:val="single" w:color="auto" w:sz="8" w:space="0"/>
              <w:right w:val="single" w:color="auto" w:sz="8" w:space="0"/>
            </w:tcBorders>
            <w:noWrap w:val="0"/>
            <w:tcMar>
              <w:top w:w="0" w:type="dxa"/>
              <w:left w:w="108" w:type="dxa"/>
              <w:bottom w:w="0" w:type="dxa"/>
              <w:right w:w="108" w:type="dxa"/>
            </w:tcMar>
            <w:vAlign w:val="center"/>
          </w:tcPr>
          <w:p w14:paraId="03814C6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eastAsia="宋体"/>
                <w:color w:val="000000"/>
                <w:szCs w:val="21"/>
                <w:highlight w:val="none"/>
                <w:lang w:val="en-US" w:eastAsia="zh-CN"/>
              </w:rPr>
            </w:pPr>
            <w:r>
              <w:rPr>
                <w:rFonts w:hint="eastAsia"/>
                <w:color w:val="000000"/>
                <w:szCs w:val="21"/>
                <w:highlight w:val="none"/>
                <w:lang w:val="en-US" w:eastAsia="zh-CN"/>
              </w:rPr>
              <w:t>5</w:t>
            </w:r>
          </w:p>
        </w:tc>
      </w:tr>
      <w:tr w14:paraId="56030F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restart"/>
            <w:tcBorders>
              <w:top w:val="single" w:color="auto" w:sz="4" w:space="0"/>
              <w:left w:val="single" w:color="auto" w:sz="8" w:space="0"/>
              <w:right w:val="single" w:color="auto" w:sz="8" w:space="0"/>
            </w:tcBorders>
            <w:noWrap w:val="0"/>
            <w:tcMar>
              <w:top w:w="0" w:type="dxa"/>
              <w:left w:w="108" w:type="dxa"/>
              <w:bottom w:w="0" w:type="dxa"/>
              <w:right w:w="108" w:type="dxa"/>
            </w:tcMar>
            <w:vAlign w:val="center"/>
          </w:tcPr>
          <w:p w14:paraId="2AC1BD5D">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single" w:color="auto" w:sz="4" w:space="0"/>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2D274C3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ascii="Calibri" w:hAnsi="Calibri" w:eastAsia="宋体" w:cs="Times New Roman"/>
                <w:color w:val="000000"/>
                <w:kern w:val="0"/>
                <w:sz w:val="21"/>
                <w:szCs w:val="21"/>
                <w:lang w:val="en-US" w:eastAsia="zh-CN" w:bidi="ar-SA"/>
              </w:rPr>
            </w:pPr>
            <w:r>
              <w:rPr>
                <w:color w:val="000000"/>
                <w:kern w:val="0"/>
                <w:szCs w:val="21"/>
              </w:rPr>
              <w:t>序号</w:t>
            </w:r>
          </w:p>
        </w:tc>
        <w:tc>
          <w:tcPr>
            <w:tcW w:w="1688" w:type="dxa"/>
            <w:tcBorders>
              <w:top w:val="single" w:color="auto" w:sz="4" w:space="0"/>
              <w:left w:val="nil"/>
              <w:bottom w:val="single" w:color="auto" w:sz="8" w:space="0"/>
              <w:right w:val="single" w:color="auto" w:sz="8" w:space="0"/>
            </w:tcBorders>
            <w:shd w:val="clear" w:color="auto" w:fill="auto"/>
            <w:noWrap w:val="0"/>
            <w:vAlign w:val="center"/>
          </w:tcPr>
          <w:p w14:paraId="49EE459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ascii="Calibri" w:hAnsi="Calibri" w:eastAsia="宋体" w:cs="Times New Roman"/>
                <w:color w:val="000000"/>
                <w:kern w:val="0"/>
                <w:sz w:val="21"/>
                <w:szCs w:val="21"/>
                <w:lang w:val="en-US" w:eastAsia="zh-CN" w:bidi="ar-SA"/>
              </w:rPr>
            </w:pPr>
            <w:r>
              <w:rPr>
                <w:color w:val="000000"/>
                <w:kern w:val="0"/>
                <w:szCs w:val="21"/>
              </w:rPr>
              <w:t>评审因素</w:t>
            </w:r>
          </w:p>
        </w:tc>
        <w:tc>
          <w:tcPr>
            <w:tcW w:w="1178" w:type="dxa"/>
            <w:tcBorders>
              <w:top w:val="single" w:color="auto" w:sz="4" w:space="0"/>
              <w:left w:val="nil"/>
              <w:bottom w:val="single" w:color="auto" w:sz="8" w:space="0"/>
              <w:right w:val="single" w:color="auto" w:sz="8" w:space="0"/>
            </w:tcBorders>
            <w:shd w:val="clear" w:color="auto" w:fill="auto"/>
            <w:noWrap w:val="0"/>
            <w:vAlign w:val="center"/>
          </w:tcPr>
          <w:p w14:paraId="2F96924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Calibri" w:hAnsi="Calibri" w:eastAsia="宋体" w:cs="Times New Roman"/>
                <w:color w:val="000000"/>
                <w:kern w:val="0"/>
                <w:sz w:val="21"/>
                <w:szCs w:val="21"/>
                <w:lang w:val="en-US" w:eastAsia="zh-CN" w:bidi="ar-SA"/>
              </w:rPr>
            </w:pPr>
            <w:r>
              <w:rPr>
                <w:color w:val="000000"/>
                <w:kern w:val="0"/>
                <w:szCs w:val="21"/>
              </w:rPr>
              <w:t>权重（%）</w:t>
            </w:r>
          </w:p>
        </w:tc>
        <w:tc>
          <w:tcPr>
            <w:tcW w:w="4032" w:type="dxa"/>
            <w:tcBorders>
              <w:top w:val="single" w:color="auto" w:sz="8" w:space="0"/>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14:paraId="0E912742">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ascii="Calibri" w:hAnsi="Calibri" w:eastAsia="宋体" w:cs="Times New Roman"/>
                <w:color w:val="000000"/>
                <w:kern w:val="0"/>
                <w:sz w:val="21"/>
                <w:szCs w:val="21"/>
                <w:lang w:val="en-US" w:eastAsia="zh-CN" w:bidi="ar-SA"/>
              </w:rPr>
            </w:pPr>
            <w:r>
              <w:rPr>
                <w:color w:val="000000"/>
                <w:kern w:val="0"/>
                <w:szCs w:val="21"/>
              </w:rPr>
              <w:t>评分准则</w:t>
            </w:r>
          </w:p>
        </w:tc>
      </w:tr>
      <w:tr w14:paraId="6CF362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680"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4952EF16">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color w:val="000000"/>
                <w:kern w:val="0"/>
                <w:szCs w:val="21"/>
              </w:rPr>
            </w:pPr>
          </w:p>
        </w:tc>
        <w:tc>
          <w:tcPr>
            <w:tcW w:w="963" w:type="dxa"/>
            <w:gridSpan w:val="2"/>
            <w:tcBorders>
              <w:top w:val="single" w:color="auto" w:sz="8" w:space="0"/>
              <w:left w:val="nil"/>
              <w:right w:val="single" w:color="auto" w:sz="8" w:space="0"/>
            </w:tcBorders>
            <w:noWrap w:val="0"/>
            <w:tcMar>
              <w:top w:w="0" w:type="dxa"/>
              <w:left w:w="108" w:type="dxa"/>
              <w:bottom w:w="0" w:type="dxa"/>
              <w:right w:w="108" w:type="dxa"/>
            </w:tcMar>
            <w:vAlign w:val="center"/>
          </w:tcPr>
          <w:p w14:paraId="1864D5F7">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val="en-US" w:eastAsia="zh-CN"/>
              </w:rPr>
            </w:pPr>
          </w:p>
          <w:p w14:paraId="524AA17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val="en-US" w:eastAsia="zh-CN"/>
              </w:rPr>
            </w:pPr>
          </w:p>
          <w:p w14:paraId="4CB3E57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val="en-US" w:eastAsia="zh-CN"/>
              </w:rPr>
            </w:pPr>
            <w:r>
              <w:rPr>
                <w:rFonts w:hint="eastAsia"/>
                <w:color w:val="000000"/>
                <w:kern w:val="0"/>
                <w:szCs w:val="21"/>
                <w:lang w:val="en-US" w:eastAsia="zh-CN"/>
              </w:rPr>
              <w:t>1</w:t>
            </w:r>
          </w:p>
        </w:tc>
        <w:tc>
          <w:tcPr>
            <w:tcW w:w="1688" w:type="dxa"/>
            <w:tcBorders>
              <w:top w:val="single" w:color="auto" w:sz="8" w:space="0"/>
              <w:left w:val="nil"/>
              <w:right w:val="single" w:color="auto" w:sz="8" w:space="0"/>
            </w:tcBorders>
            <w:noWrap w:val="0"/>
            <w:vAlign w:val="center"/>
          </w:tcPr>
          <w:p w14:paraId="2E06140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eastAsia="zh-CN"/>
              </w:rPr>
            </w:pPr>
          </w:p>
          <w:p w14:paraId="15DAE02E">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eastAsia="zh-CN"/>
              </w:rPr>
            </w:pPr>
          </w:p>
          <w:p w14:paraId="180D315E">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eastAsia="zh-CN"/>
              </w:rPr>
            </w:pPr>
            <w:r>
              <w:rPr>
                <w:rFonts w:hint="eastAsia"/>
                <w:color w:val="000000"/>
                <w:kern w:val="0"/>
                <w:szCs w:val="21"/>
                <w:lang w:eastAsia="zh-CN"/>
              </w:rPr>
              <w:t>售后</w:t>
            </w:r>
          </w:p>
        </w:tc>
        <w:tc>
          <w:tcPr>
            <w:tcW w:w="1178" w:type="dxa"/>
            <w:tcBorders>
              <w:top w:val="single" w:color="auto" w:sz="8" w:space="0"/>
              <w:left w:val="nil"/>
              <w:right w:val="single" w:color="auto" w:sz="8" w:space="0"/>
            </w:tcBorders>
            <w:noWrap w:val="0"/>
            <w:vAlign w:val="center"/>
          </w:tcPr>
          <w:p w14:paraId="43AC159E">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val="en-US" w:eastAsia="zh-CN"/>
              </w:rPr>
            </w:pPr>
          </w:p>
          <w:p w14:paraId="33124836">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val="en-US" w:eastAsia="zh-CN"/>
              </w:rPr>
            </w:pPr>
          </w:p>
          <w:p w14:paraId="00FE4B33">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color w:val="000000"/>
                <w:kern w:val="0"/>
                <w:szCs w:val="21"/>
                <w:lang w:val="en-US" w:eastAsia="zh-CN"/>
              </w:rPr>
            </w:pPr>
            <w:r>
              <w:rPr>
                <w:rFonts w:hint="eastAsia"/>
                <w:color w:val="000000"/>
                <w:kern w:val="0"/>
                <w:szCs w:val="21"/>
                <w:lang w:val="en-US" w:eastAsia="zh-CN"/>
              </w:rPr>
              <w:t>5</w:t>
            </w:r>
          </w:p>
        </w:tc>
        <w:tc>
          <w:tcPr>
            <w:tcW w:w="4032" w:type="dxa"/>
            <w:tcBorders>
              <w:top w:val="single" w:color="auto" w:sz="8" w:space="0"/>
              <w:left w:val="nil"/>
              <w:right w:val="single" w:color="auto" w:sz="8" w:space="0"/>
            </w:tcBorders>
            <w:noWrap w:val="0"/>
            <w:tcMar>
              <w:top w:w="0" w:type="dxa"/>
              <w:left w:w="108" w:type="dxa"/>
              <w:bottom w:w="0" w:type="dxa"/>
              <w:right w:w="108" w:type="dxa"/>
            </w:tcMar>
            <w:vAlign w:val="center"/>
          </w:tcPr>
          <w:p w14:paraId="00502AC3">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default"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质保期限</w:t>
            </w:r>
            <w:r>
              <w:rPr>
                <w:rFonts w:hint="eastAsia" w:ascii="宋体" w:hAnsi="宋体" w:eastAsia="宋体" w:cs="宋体"/>
                <w:szCs w:val="21"/>
                <w:lang w:eastAsia="zh-CN"/>
              </w:rPr>
              <w:t>：</w:t>
            </w:r>
            <w:r>
              <w:rPr>
                <w:rFonts w:hint="default" w:ascii="宋体" w:hAnsi="宋体" w:eastAsia="宋体" w:cs="宋体"/>
                <w:szCs w:val="21"/>
              </w:rPr>
              <w:t>满足2年</w:t>
            </w:r>
            <w:r>
              <w:rPr>
                <w:rFonts w:hint="eastAsia" w:ascii="宋体" w:hAnsi="宋体" w:cs="宋体"/>
                <w:szCs w:val="21"/>
                <w:lang w:eastAsia="zh-CN"/>
              </w:rPr>
              <w:t>非人为因素造成损坏</w:t>
            </w:r>
            <w:r>
              <w:rPr>
                <w:rFonts w:hint="default" w:ascii="宋体" w:hAnsi="宋体" w:eastAsia="宋体" w:cs="宋体"/>
                <w:szCs w:val="21"/>
              </w:rPr>
              <w:t>免费质保得</w:t>
            </w:r>
            <w:r>
              <w:rPr>
                <w:rFonts w:hint="eastAsia" w:ascii="宋体" w:hAnsi="宋体" w:cs="宋体"/>
                <w:szCs w:val="21"/>
                <w:lang w:val="en-US" w:eastAsia="zh-CN"/>
              </w:rPr>
              <w:t>6</w:t>
            </w:r>
            <w:r>
              <w:rPr>
                <w:rFonts w:hint="eastAsia" w:ascii="宋体" w:hAnsi="宋体" w:eastAsia="宋体" w:cs="宋体"/>
                <w:szCs w:val="21"/>
                <w:lang w:val="en-US" w:eastAsia="zh-CN"/>
              </w:rPr>
              <w:t>0</w:t>
            </w:r>
            <w:r>
              <w:rPr>
                <w:rFonts w:hint="default" w:ascii="宋体" w:hAnsi="宋体" w:eastAsia="宋体" w:cs="宋体"/>
                <w:szCs w:val="21"/>
              </w:rPr>
              <w:t>分；</w:t>
            </w:r>
          </w:p>
          <w:p w14:paraId="2A7044E4">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eastAsia="宋体"/>
                <w:lang w:val="en-US" w:eastAsia="zh-CN"/>
              </w:rPr>
            </w:pPr>
            <w:r>
              <w:rPr>
                <w:rFonts w:hint="eastAsia" w:ascii="宋体" w:hAnsi="宋体" w:eastAsia="宋体" w:cs="宋体"/>
                <w:szCs w:val="21"/>
                <w:lang w:val="en-US" w:eastAsia="zh-CN"/>
              </w:rPr>
              <w:t>2.</w:t>
            </w:r>
            <w:r>
              <w:rPr>
                <w:rFonts w:hint="eastAsia" w:ascii="宋体" w:hAnsi="宋体" w:eastAsia="宋体" w:cs="宋体"/>
                <w:szCs w:val="21"/>
              </w:rPr>
              <w:t>售后服务响应时间</w:t>
            </w:r>
            <w:r>
              <w:rPr>
                <w:rFonts w:hint="eastAsia" w:ascii="宋体" w:hAnsi="宋体" w:eastAsia="宋体" w:cs="宋体"/>
                <w:szCs w:val="21"/>
                <w:lang w:eastAsia="zh-CN"/>
              </w:rPr>
              <w:t>：</w:t>
            </w:r>
            <w:r>
              <w:rPr>
                <w:rFonts w:hint="eastAsia" w:ascii="宋体" w:hAnsi="宋体" w:eastAsia="宋体" w:cs="宋体"/>
                <w:szCs w:val="21"/>
              </w:rPr>
              <w:t>接到报修后4小时内响应得</w:t>
            </w:r>
            <w:r>
              <w:rPr>
                <w:rFonts w:hint="eastAsia" w:ascii="宋体" w:hAnsi="宋体" w:cs="宋体"/>
                <w:szCs w:val="21"/>
                <w:lang w:val="en-US" w:eastAsia="zh-CN"/>
              </w:rPr>
              <w:t>4</w:t>
            </w:r>
            <w:r>
              <w:rPr>
                <w:rFonts w:hint="eastAsia" w:ascii="宋体" w:hAnsi="宋体" w:eastAsia="宋体" w:cs="宋体"/>
                <w:szCs w:val="21"/>
                <w:lang w:val="en-US" w:eastAsia="zh-CN"/>
              </w:rPr>
              <w:t>0</w:t>
            </w:r>
            <w:r>
              <w:rPr>
                <w:rFonts w:hint="eastAsia" w:ascii="宋体" w:hAnsi="宋体" w:eastAsia="宋体" w:cs="宋体"/>
                <w:szCs w:val="21"/>
              </w:rPr>
              <w:t>分；</w:t>
            </w:r>
          </w:p>
        </w:tc>
      </w:tr>
    </w:tbl>
    <w:p w14:paraId="5D09E0B1">
      <w:pPr>
        <w:pStyle w:val="16"/>
        <w:jc w:val="center"/>
        <w:outlineLvl w:val="1"/>
        <w:rPr>
          <w:rFonts w:hint="eastAsia" w:ascii="黑体" w:hAnsi="黑体" w:eastAsia="黑体" w:cs="Times New Roman"/>
          <w:color w:val="auto"/>
          <w:sz w:val="40"/>
          <w:szCs w:val="40"/>
          <w:highlight w:val="none"/>
        </w:rPr>
      </w:pPr>
    </w:p>
    <w:p w14:paraId="14A857FA">
      <w:pPr>
        <w:pStyle w:val="16"/>
        <w:jc w:val="center"/>
        <w:outlineLvl w:val="1"/>
        <w:rPr>
          <w:rFonts w:hint="default" w:ascii="黑体" w:hAnsi="黑体" w:eastAsia="黑体" w:cs="Times New Roman"/>
          <w:color w:val="auto"/>
          <w:sz w:val="40"/>
          <w:szCs w:val="40"/>
          <w:highlight w:val="none"/>
          <w:lang w:val="en-US" w:eastAsia="zh-CN"/>
        </w:rPr>
      </w:pPr>
      <w:r>
        <w:rPr>
          <w:rFonts w:hint="eastAsia" w:ascii="黑体" w:hAnsi="黑体" w:eastAsia="黑体" w:cs="Times New Roman"/>
          <w:color w:val="auto"/>
          <w:sz w:val="40"/>
          <w:szCs w:val="40"/>
          <w:highlight w:val="none"/>
          <w:lang w:eastAsia="zh-CN"/>
        </w:rPr>
        <w:t>其他关键信息</w:t>
      </w:r>
    </w:p>
    <w:p w14:paraId="2F93C407">
      <w:pPr>
        <w:pStyle w:val="16"/>
        <w:spacing w:line="360" w:lineRule="auto"/>
        <w:jc w:val="both"/>
        <w:outlineLvl w:val="1"/>
        <w:rPr>
          <w:rFonts w:hint="eastAsia" w:ascii="Calibri" w:hAnsi="Calibri" w:eastAsia="宋体" w:cs="Times New Roman"/>
          <w:b/>
          <w:kern w:val="2"/>
          <w:sz w:val="21"/>
          <w:szCs w:val="21"/>
          <w:lang w:val="en-US" w:eastAsia="zh-CN" w:bidi="ar-SA"/>
        </w:rPr>
      </w:pPr>
      <w:r>
        <w:rPr>
          <w:rFonts w:hint="eastAsia" w:ascii="Calibri" w:hAnsi="Calibri" w:eastAsia="宋体" w:cs="Times New Roman"/>
          <w:b/>
          <w:kern w:val="2"/>
          <w:sz w:val="21"/>
          <w:szCs w:val="21"/>
          <w:lang w:val="en-US" w:eastAsia="zh-CN" w:bidi="ar-SA"/>
        </w:rPr>
        <w:t>（一）定标方法</w:t>
      </w:r>
    </w:p>
    <w:p w14:paraId="3740CC06">
      <w:pPr>
        <w:adjustRightInd w:val="0"/>
        <w:snapToGrid w:val="0"/>
        <w:spacing w:line="360" w:lineRule="auto"/>
        <w:ind w:firstLine="420" w:firstLineChars="200"/>
        <w:jc w:val="left"/>
        <w:rPr>
          <w:rFonts w:hint="eastAsia" w:eastAsia="宋体" w:cs="Times New Roman"/>
        </w:rPr>
      </w:pPr>
      <w:r>
        <w:rPr>
          <w:rFonts w:hint="eastAsia" w:eastAsia="宋体" w:cs="Times New Roman"/>
          <w:lang w:eastAsia="zh-CN"/>
        </w:rPr>
        <w:t>评审</w:t>
      </w:r>
      <w:r>
        <w:rPr>
          <w:rFonts w:hint="eastAsia" w:eastAsia="宋体" w:cs="Times New Roman"/>
        </w:rPr>
        <w:t>结果按评审后得分由高到低顺序排列。得分相同的，按投标报价由低到高顺序排列。得分且投标报价相同的并列。投标文件满足</w:t>
      </w:r>
      <w:r>
        <w:rPr>
          <w:rFonts w:hint="eastAsia" w:eastAsia="宋体" w:cs="Times New Roman"/>
          <w:lang w:eastAsia="zh-CN"/>
        </w:rPr>
        <w:t>采购文件</w:t>
      </w:r>
      <w:r>
        <w:rPr>
          <w:rFonts w:hint="eastAsia" w:eastAsia="宋体" w:cs="Times New Roman"/>
        </w:rPr>
        <w:t>全部实质性要求，且按照评审因素的量化指标评审得分最高的投标人为排名第一的中标候选人（排名第二的投标人为第一递补中标候选人、排名第三的投标人为第二递补中标候选人）。中标候选人并列的，采取随机抽取的方式确定，具体操作办法及流程由</w:t>
      </w:r>
      <w:r>
        <w:rPr>
          <w:rFonts w:hint="eastAsia" w:cs="Times New Roman"/>
          <w:lang w:eastAsia="zh-CN"/>
        </w:rPr>
        <w:t>采购评审小组</w:t>
      </w:r>
      <w:r>
        <w:rPr>
          <w:rFonts w:hint="eastAsia" w:eastAsia="宋体" w:cs="Times New Roman"/>
        </w:rPr>
        <w:t>确定。如排名第一的中标候选人被认定投标或中标无效，符合法定情形时，依法顺次替补；合格供应商不符合法定数量时，应当重新开展采购活动。</w:t>
      </w:r>
    </w:p>
    <w:p w14:paraId="068B1DA5">
      <w:pPr>
        <w:spacing w:line="360" w:lineRule="auto"/>
        <w:jc w:val="left"/>
        <w:rPr>
          <w:rFonts w:ascii="宋体" w:hAnsi="宋体" w:cs="宋体"/>
          <w:sz w:val="22"/>
        </w:rPr>
      </w:pPr>
      <w:r>
        <w:rPr>
          <w:rFonts w:hint="eastAsia"/>
          <w:b/>
        </w:rPr>
        <w:t>（二）关于享受优惠政策的主体及价格扣除比例</w:t>
      </w:r>
    </w:p>
    <w:p w14:paraId="34B3148A">
      <w:pPr>
        <w:adjustRightInd w:val="0"/>
        <w:snapToGrid w:val="0"/>
        <w:spacing w:line="360" w:lineRule="auto"/>
        <w:ind w:firstLine="420" w:firstLineChars="200"/>
        <w:jc w:val="left"/>
        <w:rPr>
          <w:szCs w:val="21"/>
        </w:rPr>
      </w:pPr>
      <w:r>
        <w:rPr>
          <w:szCs w:val="21"/>
        </w:rPr>
        <w:t>（1）投标人提供的工程全部均由优惠主体承建，则对其投标总价给予</w:t>
      </w:r>
      <w:r>
        <w:rPr>
          <w:b/>
          <w:bCs/>
          <w:szCs w:val="21"/>
          <w:u w:val="single"/>
        </w:rPr>
        <w:t xml:space="preserve"> 5 %</w:t>
      </w:r>
      <w:r>
        <w:rPr>
          <w:szCs w:val="21"/>
        </w:rPr>
        <w:t>的扣除，用扣除后的价格参与评审。满足多项优惠政策的企业，不重复享受多项价格扣除政策。</w:t>
      </w:r>
    </w:p>
    <w:p w14:paraId="36481FD5">
      <w:pPr>
        <w:adjustRightInd w:val="0"/>
        <w:snapToGrid w:val="0"/>
        <w:spacing w:line="360" w:lineRule="auto"/>
        <w:ind w:firstLine="420" w:firstLineChars="200"/>
        <w:jc w:val="left"/>
        <w:rPr>
          <w:szCs w:val="21"/>
        </w:rPr>
      </w:pPr>
      <w:r>
        <w:rPr>
          <w:szCs w:val="21"/>
        </w:rPr>
        <w:t>备注：（a）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优惠主体承建工程施工单位为中小企业。</w:t>
      </w:r>
    </w:p>
    <w:p w14:paraId="6D307FC1">
      <w:pPr>
        <w:adjustRightInd w:val="0"/>
        <w:snapToGrid w:val="0"/>
        <w:spacing w:line="360" w:lineRule="auto"/>
        <w:ind w:firstLine="420" w:firstLineChars="200"/>
        <w:jc w:val="left"/>
        <w:rPr>
          <w:szCs w:val="21"/>
        </w:rPr>
      </w:pPr>
      <w:r>
        <w:rPr>
          <w:szCs w:val="21"/>
        </w:rPr>
        <w:t>（2）根据《工业和信息化部、国家统计局、国家发展和改革委员会、财政部关于印发中小企业划型标准规定的通知》（工信部联企业〔2011〕300 号），本项目采购标的（服务需求）对应的中小企业划分标准所属行业为</w:t>
      </w:r>
      <w:r>
        <w:rPr>
          <w:b/>
          <w:bCs/>
          <w:szCs w:val="21"/>
          <w:u w:val="single"/>
        </w:rPr>
        <w:t>建筑业</w:t>
      </w:r>
      <w:r>
        <w:rPr>
          <w:szCs w:val="21"/>
        </w:rPr>
        <w:t>。</w:t>
      </w:r>
    </w:p>
    <w:p w14:paraId="78E80F2B">
      <w:pPr>
        <w:adjustRightInd w:val="0"/>
        <w:snapToGrid w:val="0"/>
        <w:spacing w:line="360" w:lineRule="auto"/>
        <w:ind w:firstLine="420" w:firstLineChars="200"/>
        <w:jc w:val="left"/>
        <w:rPr>
          <w:szCs w:val="21"/>
        </w:rPr>
      </w:pPr>
      <w:r>
        <w:rPr>
          <w:szCs w:val="21"/>
        </w:rPr>
        <w:t>（3）小型企业、微型企业、残疾人福利性单位作为优惠主体的认定资料为《中小企业声明函》、《残疾人福利性单位声明函》；监狱企业作为优惠主体的认定资料为省级以上监狱管理局、戒毒管理局出具的监狱企业证明文件。</w:t>
      </w:r>
      <w:r>
        <w:rPr>
          <w:szCs w:val="21"/>
          <w:highlight w:val="none"/>
        </w:rPr>
        <w:t>声明函样式见本</w:t>
      </w:r>
      <w:r>
        <w:rPr>
          <w:rFonts w:hint="eastAsia"/>
          <w:szCs w:val="21"/>
          <w:highlight w:val="none"/>
          <w:lang w:eastAsia="zh-CN"/>
        </w:rPr>
        <w:t>采购文件</w:t>
      </w:r>
      <w:r>
        <w:rPr>
          <w:szCs w:val="21"/>
          <w:highlight w:val="none"/>
        </w:rPr>
        <w:t>第一册第</w:t>
      </w:r>
      <w:r>
        <w:rPr>
          <w:rFonts w:hint="eastAsia"/>
          <w:szCs w:val="21"/>
          <w:highlight w:val="none"/>
          <w:lang w:eastAsia="zh-CN"/>
        </w:rPr>
        <w:t>三</w:t>
      </w:r>
      <w:r>
        <w:rPr>
          <w:szCs w:val="21"/>
          <w:highlight w:val="none"/>
        </w:rPr>
        <w:t>章“投标文件格式”中“六、投标人情况介绍及相关资质材料”）。</w:t>
      </w:r>
      <w:r>
        <w:rPr>
          <w:szCs w:val="21"/>
        </w:rPr>
        <w:t>监狱企业或者代理提供监狱企业货物的供应商如须享受优惠政策，除上述资料外，还须提供省级以上监狱管理局、戒毒管理局出具的监狱企业证明文件。</w:t>
      </w:r>
    </w:p>
    <w:p w14:paraId="4218BD42">
      <w:pPr>
        <w:adjustRightInd w:val="0"/>
        <w:snapToGrid w:val="0"/>
        <w:spacing w:line="360" w:lineRule="auto"/>
        <w:ind w:firstLine="420" w:firstLineChars="200"/>
        <w:jc w:val="left"/>
        <w:rPr>
          <w:szCs w:val="21"/>
        </w:rPr>
      </w:pPr>
      <w:r>
        <w:rPr>
          <w:szCs w:val="21"/>
        </w:rPr>
        <w:t>（4）享受价格扣除获得政府采购合同的，小微企业不得将合同分包给大中型企业。</w:t>
      </w:r>
    </w:p>
    <w:p w14:paraId="3C7C69AE">
      <w:pPr>
        <w:rPr>
          <w:szCs w:val="21"/>
        </w:rPr>
      </w:pPr>
      <w:r>
        <w:rPr>
          <w:szCs w:val="21"/>
        </w:rPr>
        <w:br w:type="page"/>
      </w:r>
    </w:p>
    <w:p w14:paraId="6C6D3AE3">
      <w:pPr>
        <w:pStyle w:val="3"/>
        <w:keepNext w:val="0"/>
        <w:keepLines w:val="0"/>
        <w:pageBreakBefore/>
        <w:spacing w:line="360" w:lineRule="auto"/>
        <w:jc w:val="center"/>
        <w:rPr>
          <w:rFonts w:hint="eastAsia" w:ascii="黑体" w:hAnsi="黑体" w:eastAsia="黑体" w:cs="Times New Roman"/>
          <w:b w:val="0"/>
          <w:bCs w:val="0"/>
          <w:color w:val="auto"/>
          <w:kern w:val="2"/>
          <w:sz w:val="44"/>
          <w:szCs w:val="44"/>
          <w:lang w:val="en-US" w:eastAsia="zh-CN" w:bidi="ar-SA"/>
        </w:rPr>
      </w:pPr>
      <w:bookmarkStart w:id="7" w:name="_Toc82421270"/>
      <w:bookmarkStart w:id="8" w:name="_Toc82421163"/>
      <w:bookmarkStart w:id="9" w:name="_Toc22085"/>
      <w:bookmarkStart w:id="10" w:name="PO_mulu"/>
      <w:r>
        <w:rPr>
          <w:rFonts w:hint="eastAsia" w:ascii="黑体" w:hAnsi="黑体" w:eastAsia="黑体" w:cs="Times New Roman"/>
          <w:b w:val="0"/>
          <w:bCs w:val="0"/>
          <w:color w:val="auto"/>
          <w:kern w:val="2"/>
          <w:sz w:val="44"/>
          <w:szCs w:val="44"/>
          <w:lang w:val="en-US" w:eastAsia="zh-CN" w:bidi="ar-SA"/>
        </w:rPr>
        <w:t>目   录</w:t>
      </w:r>
      <w:bookmarkEnd w:id="7"/>
      <w:bookmarkEnd w:id="8"/>
      <w:bookmarkEnd w:id="9"/>
    </w:p>
    <w:p w14:paraId="4CF0201D">
      <w:pPr>
        <w:spacing w:line="360" w:lineRule="auto"/>
        <w:rPr>
          <w:b/>
          <w:color w:val="000000"/>
          <w:sz w:val="24"/>
        </w:rPr>
      </w:pPr>
      <w:r>
        <w:rPr>
          <w:rFonts w:hint="eastAsia"/>
          <w:b/>
          <w:color w:val="000000"/>
          <w:sz w:val="24"/>
        </w:rPr>
        <w:t>第一册  专用条款</w:t>
      </w:r>
    </w:p>
    <w:p w14:paraId="4B902AFA">
      <w:pPr>
        <w:spacing w:line="360" w:lineRule="auto"/>
        <w:rPr>
          <w:sz w:val="24"/>
        </w:rPr>
      </w:pPr>
      <w:r>
        <w:rPr>
          <w:rFonts w:hint="eastAsia"/>
          <w:color w:val="FF0000"/>
          <w:sz w:val="24"/>
        </w:rPr>
        <w:t xml:space="preserve">         </w:t>
      </w:r>
      <w:r>
        <w:rPr>
          <w:rFonts w:hint="eastAsia"/>
          <w:sz w:val="24"/>
        </w:rPr>
        <w:t>关键信息</w:t>
      </w:r>
    </w:p>
    <w:p w14:paraId="62A3DDA8">
      <w:pPr>
        <w:spacing w:line="360" w:lineRule="auto"/>
        <w:ind w:left="630" w:leftChars="300" w:firstLine="504" w:firstLineChars="240"/>
        <w:rPr>
          <w:rFonts w:ascii="宋体" w:hAnsi="宋体"/>
          <w:szCs w:val="21"/>
        </w:rPr>
      </w:pPr>
      <w:r>
        <w:rPr>
          <w:rFonts w:hint="eastAsia" w:ascii="宋体" w:hAnsi="宋体"/>
          <w:szCs w:val="21"/>
        </w:rPr>
        <w:t xml:space="preserve">第一章  </w:t>
      </w:r>
      <w:r>
        <w:rPr>
          <w:rFonts w:hint="eastAsia" w:ascii="宋体" w:hAnsi="宋体"/>
          <w:szCs w:val="21"/>
          <w:lang w:eastAsia="zh-CN"/>
        </w:rPr>
        <w:t>自行采购</w:t>
      </w:r>
      <w:r>
        <w:rPr>
          <w:rFonts w:hint="eastAsia" w:ascii="宋体" w:hAnsi="宋体"/>
          <w:szCs w:val="21"/>
        </w:rPr>
        <w:t>公告</w:t>
      </w:r>
    </w:p>
    <w:p w14:paraId="00C51B38">
      <w:pPr>
        <w:spacing w:line="360" w:lineRule="auto"/>
        <w:ind w:left="630" w:leftChars="300" w:firstLine="504" w:firstLineChars="240"/>
        <w:rPr>
          <w:rFonts w:ascii="宋体" w:hAnsi="宋体"/>
          <w:szCs w:val="21"/>
        </w:rPr>
      </w:pPr>
      <w:r>
        <w:rPr>
          <w:rFonts w:hint="eastAsia" w:ascii="宋体" w:hAnsi="宋体"/>
          <w:szCs w:val="21"/>
        </w:rPr>
        <w:t>第二章  招标项目需求</w:t>
      </w:r>
    </w:p>
    <w:p w14:paraId="00FD18A5">
      <w:pPr>
        <w:spacing w:line="360" w:lineRule="auto"/>
        <w:ind w:left="630" w:leftChars="300" w:firstLine="504" w:firstLineChars="240"/>
        <w:rPr>
          <w:rFonts w:hint="eastAsia" w:ascii="宋体" w:hAnsi="宋体"/>
          <w:szCs w:val="21"/>
        </w:rPr>
      </w:pPr>
      <w:r>
        <w:rPr>
          <w:rFonts w:hint="eastAsia" w:ascii="宋体" w:hAnsi="宋体"/>
          <w:szCs w:val="21"/>
        </w:rPr>
        <w:t xml:space="preserve">第三章  </w:t>
      </w:r>
      <w:r>
        <w:rPr>
          <w:rFonts w:hint="eastAsia" w:ascii="宋体" w:hAnsi="宋体"/>
          <w:szCs w:val="21"/>
          <w:lang w:eastAsia="zh-CN"/>
        </w:rPr>
        <w:t>合同</w:t>
      </w:r>
      <w:r>
        <w:rPr>
          <w:rFonts w:hint="eastAsia" w:ascii="宋体" w:hAnsi="宋体"/>
          <w:szCs w:val="21"/>
        </w:rPr>
        <w:t>格式</w:t>
      </w:r>
    </w:p>
    <w:p w14:paraId="27DA04EC">
      <w:pPr>
        <w:spacing w:line="360" w:lineRule="auto"/>
        <w:ind w:left="630" w:leftChars="300" w:firstLine="504" w:firstLineChars="240"/>
        <w:rPr>
          <w:rFonts w:hint="eastAsia" w:ascii="宋体" w:hAnsi="宋体"/>
          <w:szCs w:val="21"/>
        </w:rPr>
      </w:pPr>
      <w:r>
        <w:rPr>
          <w:rFonts w:hint="eastAsia" w:ascii="宋体" w:hAnsi="宋体"/>
          <w:szCs w:val="21"/>
        </w:rPr>
        <w:t>第</w:t>
      </w:r>
      <w:r>
        <w:rPr>
          <w:rFonts w:hint="eastAsia" w:ascii="宋体" w:hAnsi="宋体"/>
          <w:szCs w:val="21"/>
          <w:lang w:eastAsia="zh-CN"/>
        </w:rPr>
        <w:t>四</w:t>
      </w:r>
      <w:r>
        <w:rPr>
          <w:rFonts w:hint="eastAsia" w:ascii="宋体" w:hAnsi="宋体"/>
          <w:szCs w:val="21"/>
        </w:rPr>
        <w:t>章  投标文件格式</w:t>
      </w:r>
    </w:p>
    <w:p w14:paraId="0971734B">
      <w:pPr>
        <w:spacing w:line="360" w:lineRule="auto"/>
        <w:rPr>
          <w:b/>
          <w:color w:val="000000"/>
          <w:sz w:val="24"/>
        </w:rPr>
      </w:pPr>
    </w:p>
    <w:p w14:paraId="3DBE1DE9">
      <w:pPr>
        <w:spacing w:line="360" w:lineRule="auto"/>
        <w:rPr>
          <w:b/>
          <w:color w:val="000000"/>
          <w:sz w:val="24"/>
        </w:rPr>
      </w:pPr>
      <w:r>
        <w:rPr>
          <w:rFonts w:hint="eastAsia"/>
          <w:b/>
          <w:color w:val="000000"/>
          <w:sz w:val="24"/>
        </w:rPr>
        <w:t>第二册  通用条款</w:t>
      </w:r>
    </w:p>
    <w:p w14:paraId="3D247F4E">
      <w:pPr>
        <w:numPr>
          <w:ilvl w:val="1"/>
          <w:numId w:val="0"/>
        </w:numPr>
        <w:tabs>
          <w:tab w:val="left" w:pos="360"/>
        </w:tabs>
        <w:spacing w:line="360" w:lineRule="auto"/>
        <w:ind w:firstLine="1079" w:firstLineChars="514"/>
        <w:rPr>
          <w:szCs w:val="21"/>
        </w:rPr>
      </w:pPr>
      <w:r>
        <w:rPr>
          <w:rFonts w:hint="eastAsia"/>
          <w:szCs w:val="21"/>
        </w:rPr>
        <w:t>第一章  总则</w:t>
      </w:r>
    </w:p>
    <w:p w14:paraId="76EF91DB">
      <w:pPr>
        <w:numPr>
          <w:ilvl w:val="1"/>
          <w:numId w:val="0"/>
        </w:numPr>
        <w:tabs>
          <w:tab w:val="left" w:pos="360"/>
        </w:tabs>
        <w:spacing w:line="360" w:lineRule="auto"/>
        <w:ind w:firstLine="1079" w:firstLineChars="514"/>
        <w:rPr>
          <w:rFonts w:hint="eastAsia" w:eastAsia="宋体"/>
          <w:szCs w:val="21"/>
          <w:lang w:eastAsia="zh-CN"/>
        </w:rPr>
      </w:pPr>
      <w:r>
        <w:rPr>
          <w:rFonts w:hint="eastAsia"/>
          <w:szCs w:val="21"/>
        </w:rPr>
        <w:t xml:space="preserve">第二章  </w:t>
      </w:r>
      <w:r>
        <w:rPr>
          <w:rFonts w:hint="eastAsia"/>
          <w:szCs w:val="21"/>
          <w:lang w:eastAsia="zh-CN"/>
        </w:rPr>
        <w:t>采购文件</w:t>
      </w:r>
    </w:p>
    <w:p w14:paraId="205B6E37">
      <w:pPr>
        <w:numPr>
          <w:ilvl w:val="1"/>
          <w:numId w:val="0"/>
        </w:numPr>
        <w:tabs>
          <w:tab w:val="left" w:pos="360"/>
        </w:tabs>
        <w:spacing w:line="360" w:lineRule="auto"/>
        <w:ind w:firstLine="1079" w:firstLineChars="514"/>
        <w:rPr>
          <w:szCs w:val="21"/>
        </w:rPr>
      </w:pPr>
      <w:r>
        <w:rPr>
          <w:rFonts w:hint="eastAsia"/>
          <w:szCs w:val="21"/>
        </w:rPr>
        <w:t>第三章  投标文件的编制</w:t>
      </w:r>
    </w:p>
    <w:p w14:paraId="6A1D7FFC">
      <w:pPr>
        <w:numPr>
          <w:ilvl w:val="1"/>
          <w:numId w:val="0"/>
        </w:numPr>
        <w:tabs>
          <w:tab w:val="left" w:pos="360"/>
        </w:tabs>
        <w:spacing w:line="360" w:lineRule="auto"/>
        <w:ind w:firstLine="1079" w:firstLineChars="514"/>
        <w:rPr>
          <w:szCs w:val="21"/>
        </w:rPr>
      </w:pPr>
      <w:r>
        <w:rPr>
          <w:rFonts w:hint="eastAsia"/>
          <w:szCs w:val="21"/>
        </w:rPr>
        <w:t>第四章  投标文件的递交</w:t>
      </w:r>
    </w:p>
    <w:p w14:paraId="4E1EDE3A">
      <w:pPr>
        <w:numPr>
          <w:ilvl w:val="1"/>
          <w:numId w:val="0"/>
        </w:numPr>
        <w:tabs>
          <w:tab w:val="left" w:pos="360"/>
        </w:tabs>
        <w:spacing w:line="360" w:lineRule="auto"/>
        <w:ind w:firstLine="1079" w:firstLineChars="514"/>
        <w:rPr>
          <w:szCs w:val="21"/>
        </w:rPr>
      </w:pPr>
      <w:r>
        <w:rPr>
          <w:rFonts w:hint="eastAsia"/>
          <w:szCs w:val="21"/>
        </w:rPr>
        <w:t>第五章  开标</w:t>
      </w:r>
    </w:p>
    <w:p w14:paraId="05994BDF">
      <w:pPr>
        <w:numPr>
          <w:ilvl w:val="1"/>
          <w:numId w:val="0"/>
        </w:numPr>
        <w:tabs>
          <w:tab w:val="left" w:pos="360"/>
        </w:tabs>
        <w:spacing w:line="360" w:lineRule="auto"/>
        <w:ind w:firstLine="1079" w:firstLineChars="514"/>
        <w:rPr>
          <w:szCs w:val="21"/>
        </w:rPr>
      </w:pPr>
      <w:r>
        <w:rPr>
          <w:rFonts w:hint="eastAsia"/>
          <w:szCs w:val="21"/>
        </w:rPr>
        <w:t xml:space="preserve">第六章  </w:t>
      </w:r>
      <w:r>
        <w:rPr>
          <w:rFonts w:hint="eastAsia"/>
          <w:szCs w:val="21"/>
          <w:lang w:eastAsia="zh-CN"/>
        </w:rPr>
        <w:t>评审</w:t>
      </w:r>
      <w:r>
        <w:rPr>
          <w:rFonts w:hint="eastAsia"/>
          <w:szCs w:val="21"/>
        </w:rPr>
        <w:t>要求</w:t>
      </w:r>
    </w:p>
    <w:p w14:paraId="31C99F0F">
      <w:pPr>
        <w:numPr>
          <w:ilvl w:val="1"/>
          <w:numId w:val="0"/>
        </w:numPr>
        <w:tabs>
          <w:tab w:val="left" w:pos="360"/>
        </w:tabs>
        <w:spacing w:line="360" w:lineRule="auto"/>
        <w:ind w:firstLine="1079" w:firstLineChars="514"/>
        <w:rPr>
          <w:szCs w:val="21"/>
        </w:rPr>
      </w:pPr>
      <w:r>
        <w:rPr>
          <w:rFonts w:hint="eastAsia"/>
          <w:szCs w:val="21"/>
        </w:rPr>
        <w:t xml:space="preserve">第七章  </w:t>
      </w:r>
      <w:r>
        <w:rPr>
          <w:rFonts w:hint="eastAsia"/>
          <w:szCs w:val="21"/>
          <w:lang w:eastAsia="zh-CN"/>
        </w:rPr>
        <w:t>评审</w:t>
      </w:r>
      <w:r>
        <w:rPr>
          <w:rFonts w:hint="eastAsia"/>
          <w:szCs w:val="21"/>
        </w:rPr>
        <w:t>程序及</w:t>
      </w:r>
      <w:r>
        <w:rPr>
          <w:rFonts w:hint="eastAsia"/>
          <w:szCs w:val="21"/>
          <w:lang w:eastAsia="zh-CN"/>
        </w:rPr>
        <w:t>评审</w:t>
      </w:r>
      <w:r>
        <w:rPr>
          <w:rFonts w:hint="eastAsia"/>
          <w:szCs w:val="21"/>
        </w:rPr>
        <w:t>方法</w:t>
      </w:r>
    </w:p>
    <w:p w14:paraId="5F8F75A1">
      <w:pPr>
        <w:numPr>
          <w:ilvl w:val="1"/>
          <w:numId w:val="0"/>
        </w:numPr>
        <w:tabs>
          <w:tab w:val="left" w:pos="360"/>
        </w:tabs>
        <w:spacing w:line="360" w:lineRule="auto"/>
        <w:ind w:firstLine="1079" w:firstLineChars="514"/>
        <w:rPr>
          <w:szCs w:val="21"/>
        </w:rPr>
      </w:pPr>
      <w:r>
        <w:rPr>
          <w:rFonts w:hint="eastAsia"/>
          <w:szCs w:val="21"/>
        </w:rPr>
        <w:t>第八章  定标及公示</w:t>
      </w:r>
    </w:p>
    <w:p w14:paraId="5C92A567">
      <w:pPr>
        <w:numPr>
          <w:ilvl w:val="1"/>
          <w:numId w:val="0"/>
        </w:numPr>
        <w:tabs>
          <w:tab w:val="left" w:pos="360"/>
        </w:tabs>
        <w:spacing w:line="360" w:lineRule="auto"/>
        <w:ind w:firstLine="1079" w:firstLineChars="514"/>
        <w:rPr>
          <w:szCs w:val="21"/>
        </w:rPr>
      </w:pPr>
      <w:r>
        <w:rPr>
          <w:rFonts w:hint="eastAsia"/>
          <w:szCs w:val="21"/>
        </w:rPr>
        <w:t>第九章  合同的授予与备案</w:t>
      </w:r>
    </w:p>
    <w:p w14:paraId="4414BED7">
      <w:pPr>
        <w:numPr>
          <w:ilvl w:val="1"/>
          <w:numId w:val="0"/>
        </w:numPr>
        <w:tabs>
          <w:tab w:val="left" w:pos="360"/>
        </w:tabs>
        <w:spacing w:line="360" w:lineRule="auto"/>
        <w:ind w:firstLine="1079" w:firstLineChars="514"/>
        <w:rPr>
          <w:szCs w:val="21"/>
        </w:rPr>
      </w:pPr>
      <w:r>
        <w:rPr>
          <w:rFonts w:hint="eastAsia"/>
          <w:szCs w:val="21"/>
        </w:rPr>
        <w:t>第十章  质疑处理</w:t>
      </w:r>
    </w:p>
    <w:bookmarkEnd w:id="10"/>
    <w:p w14:paraId="64EDE27D">
      <w:pPr>
        <w:adjustRightInd w:val="0"/>
        <w:snapToGrid w:val="0"/>
        <w:spacing w:line="360" w:lineRule="auto"/>
        <w:ind w:firstLine="420" w:firstLineChars="200"/>
        <w:jc w:val="left"/>
        <w:rPr>
          <w:szCs w:val="21"/>
        </w:rPr>
      </w:pPr>
    </w:p>
    <w:p w14:paraId="1A2F46E2">
      <w:pPr>
        <w:rPr>
          <w:rFonts w:hint="eastAsia" w:ascii="黑体" w:hAnsi="黑体" w:eastAsia="黑体" w:cs="Times New Roman"/>
          <w:bCs w:val="0"/>
          <w:kern w:val="2"/>
          <w:sz w:val="32"/>
          <w:szCs w:val="32"/>
          <w:lang w:val="en-US" w:eastAsia="zh-CN" w:bidi="ar-SA"/>
        </w:rPr>
      </w:pPr>
    </w:p>
    <w:p w14:paraId="714CEE5B">
      <w:pPr>
        <w:pStyle w:val="3"/>
        <w:keepNext w:val="0"/>
        <w:keepLines w:val="0"/>
        <w:pageBreakBefore/>
        <w:spacing w:line="360" w:lineRule="auto"/>
        <w:jc w:val="center"/>
        <w:rPr>
          <w:rFonts w:hint="eastAsia" w:ascii="黑体" w:hAnsi="黑体" w:eastAsia="黑体" w:cs="Times New Roman"/>
          <w:b w:val="0"/>
          <w:bCs w:val="0"/>
          <w:color w:val="auto"/>
          <w:kern w:val="2"/>
          <w:sz w:val="44"/>
          <w:szCs w:val="44"/>
          <w:lang w:val="en-US" w:eastAsia="zh-CN" w:bidi="ar-SA"/>
        </w:rPr>
      </w:pPr>
      <w:r>
        <w:rPr>
          <w:rFonts w:hint="eastAsia" w:ascii="黑体" w:hAnsi="黑体" w:eastAsia="黑体" w:cs="Times New Roman"/>
          <w:b w:val="0"/>
          <w:bCs w:val="0"/>
          <w:color w:val="auto"/>
          <w:kern w:val="2"/>
          <w:sz w:val="44"/>
          <w:szCs w:val="44"/>
          <w:lang w:val="en-US" w:eastAsia="zh-CN" w:bidi="ar-SA"/>
        </w:rPr>
        <w:t>第一册  专用条款</w:t>
      </w:r>
    </w:p>
    <w:p w14:paraId="211BD56B">
      <w:pPr>
        <w:pStyle w:val="6"/>
        <w:pageBreakBefore w:val="0"/>
        <w:kinsoku/>
        <w:wordWrap/>
        <w:overflowPunct/>
        <w:topLinePunct w:val="0"/>
        <w:autoSpaceDN/>
        <w:bidi w:val="0"/>
        <w:snapToGrid/>
        <w:spacing w:before="231" w:beforeLines="50" w:after="231" w:afterLines="50" w:line="560" w:lineRule="exact"/>
        <w:rPr>
          <w:rFonts w:hint="eastAsia" w:ascii="方正小标宋简体" w:hAnsi="方正小标宋简体" w:eastAsia="方正小标宋简体" w:cs="方正小标宋简体"/>
          <w:b w:val="0"/>
          <w:bCs/>
          <w:kern w:val="2"/>
          <w:sz w:val="32"/>
          <w:szCs w:val="32"/>
          <w:u w:val="none"/>
          <w:lang w:val="en-US" w:eastAsia="zh-CN" w:bidi="ar-SA"/>
        </w:rPr>
      </w:pPr>
      <w:r>
        <w:rPr>
          <w:rFonts w:hint="eastAsia" w:ascii="方正小标宋简体" w:hAnsi="方正小标宋简体" w:eastAsia="方正小标宋简体" w:cs="方正小标宋简体"/>
          <w:b w:val="0"/>
          <w:bCs/>
          <w:kern w:val="2"/>
          <w:sz w:val="32"/>
          <w:szCs w:val="32"/>
          <w:u w:val="none"/>
          <w:lang w:val="en-US" w:eastAsia="zh-CN" w:bidi="ar-SA"/>
        </w:rPr>
        <w:t>第一章  自行采购公告</w:t>
      </w:r>
    </w:p>
    <w:p w14:paraId="2457A91C">
      <w:pPr>
        <w:keepNext w:val="0"/>
        <w:keepLines w:val="0"/>
        <w:pageBreakBefore w:val="0"/>
        <w:kinsoku/>
        <w:wordWrap/>
        <w:overflowPunct/>
        <w:topLinePunct w:val="0"/>
        <w:autoSpaceDE w:val="0"/>
        <w:autoSpaceDN/>
        <w:bidi w:val="0"/>
        <w:adjustRightInd/>
        <w:snapToGrid/>
        <w:spacing w:line="560" w:lineRule="exact"/>
        <w:ind w:firstLine="560" w:firstLineChars="200"/>
        <w:jc w:val="left"/>
        <w:textAlignment w:val="auto"/>
        <w:rPr>
          <w:rFonts w:hint="eastAsia" w:ascii="黑体" w:hAnsi="黑体" w:eastAsia="黑体"/>
          <w:sz w:val="28"/>
          <w:szCs w:val="28"/>
        </w:rPr>
      </w:pPr>
      <w:r>
        <w:rPr>
          <w:rFonts w:hint="eastAsia" w:ascii="仿宋_GB2312" w:hAnsi="仿宋_GB2312" w:eastAsia="仿宋_GB2312" w:cs="仿宋_GB2312"/>
          <w:sz w:val="28"/>
          <w:szCs w:val="28"/>
          <w:lang w:val="en-US" w:eastAsia="zh-CN"/>
        </w:rPr>
        <w:t>中英街管理局依据《深圳市盐田区中英街管理局政府采购管理办法》之规定，进行回归广场地下停车场东、西人行出入口玻璃雨棚建设项目采购。现采用公开征集方式采购，欢迎符合资格的供应商参加投标。</w:t>
      </w:r>
      <w:bookmarkStart w:id="92" w:name="_GoBack"/>
      <w:bookmarkEnd w:id="92"/>
    </w:p>
    <w:p w14:paraId="55BEA0D4">
      <w:pPr>
        <w:keepNext w:val="0"/>
        <w:keepLines w:val="0"/>
        <w:pageBreakBefore w:val="0"/>
        <w:widowControl w:val="0"/>
        <w:kinsoku/>
        <w:wordWrap/>
        <w:overflowPunct/>
        <w:topLinePunct w:val="0"/>
        <w:autoSpaceDE w:val="0"/>
        <w:autoSpaceDN/>
        <w:bidi w:val="0"/>
        <w:adjustRightInd/>
        <w:snapToGrid/>
        <w:spacing w:line="560" w:lineRule="exact"/>
        <w:ind w:firstLine="560" w:firstLineChars="200"/>
        <w:jc w:val="left"/>
        <w:textAlignment w:val="auto"/>
        <w:rPr>
          <w:rFonts w:ascii="黑体" w:hAnsi="黑体" w:eastAsia="黑体"/>
          <w:sz w:val="28"/>
          <w:szCs w:val="28"/>
        </w:rPr>
      </w:pPr>
      <w:r>
        <w:rPr>
          <w:rFonts w:hint="eastAsia" w:ascii="黑体" w:hAnsi="黑体" w:eastAsia="黑体"/>
          <w:sz w:val="28"/>
          <w:szCs w:val="28"/>
        </w:rPr>
        <w:t>一、项目基本情况</w:t>
      </w:r>
    </w:p>
    <w:p w14:paraId="52BA8EC4">
      <w:pPr>
        <w:keepNext w:val="0"/>
        <w:keepLines w:val="0"/>
        <w:pageBreakBefore w:val="0"/>
        <w:kinsoku/>
        <w:wordWrap/>
        <w:overflowPunct/>
        <w:topLinePunct w:val="0"/>
        <w:autoSpaceDE w:val="0"/>
        <w:autoSpaceDN/>
        <w:bidi w:val="0"/>
        <w:adjustRightInd/>
        <w:snapToGrid/>
        <w:spacing w:line="560" w:lineRule="exact"/>
        <w:ind w:firstLine="560" w:firstLineChars="200"/>
        <w:jc w:val="left"/>
        <w:textAlignment w:val="auto"/>
        <w:rPr>
          <w:rFonts w:hint="eastAsia" w:ascii="仿宋_GB2312" w:hAnsi="仿宋" w:eastAsia="仿宋_GB2312" w:cs="Times New Roman"/>
          <w:kern w:val="2"/>
          <w:sz w:val="28"/>
          <w:szCs w:val="28"/>
          <w:lang w:val="en-US" w:eastAsia="zh-CN" w:bidi="ar-SA"/>
        </w:rPr>
      </w:pPr>
      <w:r>
        <w:rPr>
          <w:rFonts w:hint="eastAsia" w:ascii="楷体" w:hAnsi="楷体" w:eastAsia="楷体" w:cs="楷体"/>
          <w:sz w:val="28"/>
          <w:szCs w:val="28"/>
          <w:lang w:eastAsia="zh-CN"/>
        </w:rPr>
        <w:t>（一）</w:t>
      </w:r>
      <w:r>
        <w:rPr>
          <w:rFonts w:hint="eastAsia" w:ascii="楷体" w:hAnsi="楷体" w:eastAsia="楷体" w:cs="楷体"/>
          <w:sz w:val="28"/>
          <w:szCs w:val="28"/>
        </w:rPr>
        <w:t>项目名称：</w:t>
      </w:r>
      <w:r>
        <w:rPr>
          <w:rFonts w:hint="eastAsia" w:ascii="仿宋_GB2312" w:hAnsi="仿宋" w:eastAsia="仿宋_GB2312" w:cs="Times New Roman"/>
          <w:kern w:val="2"/>
          <w:sz w:val="28"/>
          <w:szCs w:val="28"/>
          <w:lang w:val="en-US" w:eastAsia="zh-CN" w:bidi="ar-SA"/>
        </w:rPr>
        <w:t>中英街回归广场地下停车场东、西人行出入口玻璃雨棚建设项目</w:t>
      </w:r>
    </w:p>
    <w:p w14:paraId="03A3EE83">
      <w:pPr>
        <w:keepNext w:val="0"/>
        <w:keepLines w:val="0"/>
        <w:pageBreakBefore w:val="0"/>
        <w:kinsoku/>
        <w:wordWrap/>
        <w:overflowPunct/>
        <w:topLinePunct w:val="0"/>
        <w:autoSpaceDE w:val="0"/>
        <w:autoSpaceDN/>
        <w:bidi w:val="0"/>
        <w:adjustRightInd/>
        <w:snapToGrid/>
        <w:spacing w:line="560" w:lineRule="exact"/>
        <w:ind w:firstLine="560" w:firstLineChars="200"/>
        <w:jc w:val="left"/>
        <w:textAlignment w:val="auto"/>
        <w:rPr>
          <w:rFonts w:ascii="仿宋_GB2312" w:hAnsi="仿宋_GB2312" w:eastAsia="仿宋_GB2312" w:cs="仿宋_GB2312"/>
          <w:sz w:val="28"/>
          <w:szCs w:val="28"/>
        </w:rPr>
      </w:pPr>
      <w:r>
        <w:rPr>
          <w:rFonts w:hint="eastAsia" w:ascii="楷体" w:hAnsi="楷体" w:eastAsia="楷体" w:cs="楷体"/>
          <w:sz w:val="28"/>
          <w:szCs w:val="28"/>
          <w:lang w:eastAsia="zh-CN"/>
        </w:rPr>
        <w:t>（二）投标最高限额</w:t>
      </w:r>
      <w:r>
        <w:rPr>
          <w:rFonts w:hint="eastAsia" w:ascii="楷体" w:hAnsi="楷体" w:eastAsia="楷体" w:cs="楷体"/>
          <w:sz w:val="28"/>
          <w:szCs w:val="28"/>
          <w:lang w:val="en-US" w:eastAsia="zh-CN"/>
        </w:rPr>
        <w:t>：</w:t>
      </w:r>
      <w:r>
        <w:rPr>
          <w:rFonts w:hint="eastAsia" w:ascii="仿宋_GB2312" w:hAnsi="仿宋" w:eastAsia="仿宋_GB2312" w:cs="Times New Roman"/>
          <w:kern w:val="2"/>
          <w:sz w:val="28"/>
          <w:szCs w:val="28"/>
          <w:lang w:val="en-US" w:eastAsia="zh-CN" w:bidi="ar-SA"/>
        </w:rPr>
        <w:t>人民币</w:t>
      </w:r>
      <w:r>
        <w:rPr>
          <w:rFonts w:hint="eastAsia" w:ascii="仿宋_GB2312" w:hAnsi="仿宋_GB2312" w:eastAsia="仿宋_GB2312" w:cs="仿宋_GB2312"/>
          <w:sz w:val="28"/>
          <w:szCs w:val="28"/>
          <w:lang w:val="en-US" w:eastAsia="zh-CN"/>
        </w:rPr>
        <w:t>187492.54</w:t>
      </w:r>
      <w:r>
        <w:rPr>
          <w:rFonts w:hint="eastAsia" w:ascii="仿宋_GB2312" w:hAnsi="仿宋_GB2312" w:eastAsia="仿宋_GB2312" w:cs="仿宋_GB2312"/>
          <w:sz w:val="28"/>
          <w:szCs w:val="28"/>
          <w:highlight w:val="none"/>
          <w:lang w:val="en-US" w:eastAsia="zh-CN"/>
        </w:rPr>
        <w:t>元</w:t>
      </w:r>
      <w:r>
        <w:rPr>
          <w:rFonts w:hint="eastAsia" w:ascii="仿宋_GB2312" w:hAnsi="仿宋" w:eastAsia="仿宋_GB2312" w:cs="Times New Roman"/>
          <w:kern w:val="2"/>
          <w:sz w:val="28"/>
          <w:szCs w:val="28"/>
          <w:lang w:val="en-US" w:eastAsia="zh-CN" w:bidi="ar-SA"/>
        </w:rPr>
        <w:t>。</w:t>
      </w:r>
    </w:p>
    <w:p w14:paraId="609F7511">
      <w:pPr>
        <w:keepNext w:val="0"/>
        <w:keepLines w:val="0"/>
        <w:pageBreakBefore w:val="0"/>
        <w:kinsoku/>
        <w:wordWrap/>
        <w:overflowPunct/>
        <w:topLinePunct w:val="0"/>
        <w:autoSpaceDE w:val="0"/>
        <w:autoSpaceDN/>
        <w:bidi w:val="0"/>
        <w:adjustRightInd/>
        <w:snapToGrid/>
        <w:spacing w:line="560" w:lineRule="exact"/>
        <w:ind w:firstLine="560" w:firstLineChars="200"/>
        <w:jc w:val="left"/>
        <w:textAlignment w:val="auto"/>
        <w:rPr>
          <w:rFonts w:ascii="楷体_GB2312" w:hAnsi="方正楷体_GBK" w:eastAsia="楷体_GB2312" w:cs="方正楷体_GBK"/>
          <w:sz w:val="28"/>
          <w:szCs w:val="28"/>
        </w:rPr>
      </w:pPr>
      <w:r>
        <w:rPr>
          <w:rFonts w:hint="eastAsia" w:ascii="楷体" w:hAnsi="楷体" w:eastAsia="楷体" w:cs="楷体"/>
          <w:sz w:val="28"/>
          <w:szCs w:val="28"/>
          <w:lang w:eastAsia="zh-CN"/>
        </w:rPr>
        <w:t>（三）服务内容</w:t>
      </w:r>
      <w:r>
        <w:rPr>
          <w:rFonts w:hint="eastAsia" w:ascii="楷体" w:hAnsi="楷体" w:eastAsia="楷体" w:cs="楷体"/>
          <w:sz w:val="28"/>
          <w:szCs w:val="28"/>
        </w:rPr>
        <w:t>：</w:t>
      </w:r>
    </w:p>
    <w:p w14:paraId="724E84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 w:eastAsia="仿宋_GB2312" w:cs="Times New Roman"/>
          <w:kern w:val="2"/>
          <w:sz w:val="28"/>
          <w:szCs w:val="28"/>
          <w:lang w:val="en-US" w:eastAsia="zh-CN" w:bidi="ar-SA"/>
        </w:rPr>
        <w:t>1.主要建设内容：</w:t>
      </w:r>
    </w:p>
    <w:p w14:paraId="69AF13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_GB2312" w:eastAsia="仿宋_GB2312" w:cs="仿宋_GB2312"/>
          <w:color w:val="auto"/>
          <w:kern w:val="2"/>
          <w:sz w:val="28"/>
          <w:szCs w:val="36"/>
          <w:lang w:val="en-US" w:eastAsia="zh-CN" w:bidi="ar-SA"/>
        </w:rPr>
        <w:t>西人行出入口挡雨棚一个，尺寸为宽3.45米、长6.4米、高2.5米；</w:t>
      </w:r>
    </w:p>
    <w:p w14:paraId="5A3993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_GB2312" w:eastAsia="仿宋_GB2312" w:cs="仿宋_GB2312"/>
          <w:color w:val="auto"/>
          <w:kern w:val="2"/>
          <w:sz w:val="28"/>
          <w:szCs w:val="36"/>
          <w:lang w:val="en-US" w:eastAsia="zh-CN" w:bidi="ar-SA"/>
        </w:rPr>
        <w:t>东人行出入口挡雨棚一个，尺寸为宽10.17米、长9.35米、高2.5米；</w:t>
      </w:r>
    </w:p>
    <w:p w14:paraId="21D00B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_GB2312" w:eastAsia="仿宋_GB2312" w:cs="仿宋_GB2312"/>
          <w:color w:val="auto"/>
          <w:kern w:val="2"/>
          <w:sz w:val="28"/>
          <w:szCs w:val="36"/>
          <w:lang w:val="en-US" w:eastAsia="zh-CN" w:bidi="ar-SA"/>
        </w:rPr>
        <w:t>两个挡雨棚顶部及侧面采用双层8毫米钢化夹胶玻璃，钢结构骨架采用120×80×5毫米钢通，扶手采用80×80×4毫米钢通。</w:t>
      </w:r>
    </w:p>
    <w:p w14:paraId="64CD55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kern w:val="2"/>
          <w:sz w:val="28"/>
          <w:szCs w:val="36"/>
          <w:lang w:val="en-US" w:eastAsia="zh-CN" w:bidi="ar-SA"/>
        </w:rPr>
        <w:t>2.工期要求：总工期为40天（日历日</w:t>
      </w:r>
      <w:r>
        <w:rPr>
          <w:rFonts w:hint="eastAsia" w:ascii="仿宋_GB2312" w:hAnsi="仿宋_GB2312" w:eastAsia="仿宋_GB2312" w:cs="仿宋_GB2312"/>
          <w:sz w:val="28"/>
          <w:szCs w:val="28"/>
          <w:lang w:eastAsia="zh-CN"/>
        </w:rPr>
        <w:t>）以内，具体开工时间以建设方通知为准</w:t>
      </w:r>
      <w:r>
        <w:rPr>
          <w:rFonts w:hint="eastAsia" w:ascii="仿宋_GB2312" w:hAnsi="仿宋_GB2312" w:eastAsia="仿宋_GB2312" w:cs="仿宋_GB2312"/>
          <w:sz w:val="28"/>
          <w:szCs w:val="28"/>
        </w:rPr>
        <w:t>。</w:t>
      </w:r>
    </w:p>
    <w:p w14:paraId="4E7559B9">
      <w:pPr>
        <w:pStyle w:val="2"/>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8"/>
          <w:szCs w:val="36"/>
          <w:lang w:val="en-US" w:eastAsia="zh-CN"/>
        </w:rPr>
      </w:pPr>
      <w:r>
        <w:rPr>
          <w:rFonts w:hint="eastAsia" w:ascii="楷体" w:hAnsi="楷体" w:eastAsia="楷体" w:cs="楷体"/>
          <w:color w:val="auto"/>
          <w:kern w:val="2"/>
          <w:sz w:val="28"/>
          <w:szCs w:val="36"/>
          <w:lang w:val="en-US" w:eastAsia="zh-CN" w:bidi="ar-SA"/>
        </w:rPr>
        <w:t>（四）评定方式：</w:t>
      </w:r>
      <w:r>
        <w:rPr>
          <w:rFonts w:hint="eastAsia" w:ascii="仿宋_GB2312" w:hAnsi="仿宋_GB2312" w:eastAsia="仿宋_GB2312" w:cs="仿宋_GB2312"/>
          <w:color w:val="auto"/>
          <w:sz w:val="28"/>
          <w:szCs w:val="36"/>
          <w:lang w:val="en-US" w:eastAsia="zh-CN"/>
        </w:rPr>
        <w:t>综合评分法。</w:t>
      </w:r>
    </w:p>
    <w:p w14:paraId="184E6504">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sz w:val="28"/>
          <w:szCs w:val="36"/>
          <w:lang w:val="en-US" w:eastAsia="zh-CN"/>
        </w:rPr>
      </w:pPr>
      <w:r>
        <w:rPr>
          <w:rFonts w:hint="eastAsia" w:ascii="楷体" w:hAnsi="楷体" w:eastAsia="楷体" w:cs="楷体"/>
          <w:color w:val="auto"/>
          <w:sz w:val="28"/>
          <w:szCs w:val="36"/>
          <w:highlight w:val="none"/>
          <w:lang w:val="en-US" w:eastAsia="zh-CN"/>
        </w:rPr>
        <w:t>（五）</w:t>
      </w:r>
      <w:r>
        <w:rPr>
          <w:rFonts w:hint="eastAsia" w:ascii="楷体" w:hAnsi="楷体" w:eastAsia="楷体" w:cs="楷体"/>
          <w:color w:val="auto"/>
          <w:kern w:val="2"/>
          <w:sz w:val="28"/>
          <w:szCs w:val="36"/>
          <w:highlight w:val="none"/>
          <w:lang w:val="en-US" w:eastAsia="zh-CN" w:bidi="ar-SA"/>
        </w:rPr>
        <w:t>评定规则：</w:t>
      </w:r>
      <w:r>
        <w:rPr>
          <w:rFonts w:hint="eastAsia" w:ascii="仿宋_GB2312" w:hAnsi="仿宋_GB2312" w:eastAsia="仿宋_GB2312" w:cs="仿宋_GB2312"/>
          <w:color w:val="auto"/>
          <w:kern w:val="2"/>
          <w:sz w:val="28"/>
          <w:szCs w:val="36"/>
          <w:highlight w:val="none"/>
          <w:lang w:val="en-US" w:eastAsia="zh-CN" w:bidi="ar-SA"/>
        </w:rPr>
        <w:t>采用综合评分法。以价格、服务方案、技术、综合实力、诚信、售后等为综合评价指标，择优确定供应商。</w:t>
      </w:r>
    </w:p>
    <w:p w14:paraId="577517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highlight w:val="none"/>
          <w:lang w:val="en-US" w:eastAsia="zh-CN" w:bidi="ar-SA"/>
        </w:rPr>
      </w:pPr>
      <w:r>
        <w:rPr>
          <w:rFonts w:hint="eastAsia" w:ascii="楷体" w:hAnsi="楷体" w:eastAsia="楷体" w:cs="楷体"/>
          <w:color w:val="auto"/>
          <w:sz w:val="28"/>
          <w:szCs w:val="36"/>
          <w:highlight w:val="none"/>
          <w:lang w:val="en-US" w:eastAsia="zh-CN"/>
        </w:rPr>
        <w:t>（六）供应商资格审查：</w:t>
      </w:r>
      <w:r>
        <w:rPr>
          <w:rFonts w:hint="eastAsia" w:ascii="仿宋_GB2312" w:hAnsi="仿宋_GB2312" w:eastAsia="仿宋_GB2312" w:cs="仿宋_GB2312"/>
          <w:color w:val="auto"/>
          <w:kern w:val="2"/>
          <w:sz w:val="28"/>
          <w:szCs w:val="36"/>
          <w:lang w:val="en-US" w:eastAsia="zh-CN" w:bidi="ar-SA"/>
        </w:rPr>
        <w:t>采购评审小组将按照法律法规以及采购文件的要求对项目投标（响应）供应商资格审查。审查内容包括但不限于：投标（响应）供应商是否符合项目资质要求，投标报价是否超预算上限，是否存在因违法行为而被禁止参加政府采购活动情形，不同投标供应商的法定代表人、主要经营负责人、投标授权代表人、项目负责人、主要技术人员是否为同一人、属同一单位或者在同一单位缴纳社会保险，不同投标供应商是否存在直接控股、管理关系。如存在上述情形，供应商资格审查不通过，不得参与本次自行采购活动。</w:t>
      </w:r>
    </w:p>
    <w:p w14:paraId="03F9F72A">
      <w:pPr>
        <w:keepNext w:val="0"/>
        <w:keepLines w:val="0"/>
        <w:pageBreakBefore w:val="0"/>
        <w:widowControl w:val="0"/>
        <w:kinsoku/>
        <w:wordWrap/>
        <w:overflowPunct/>
        <w:topLinePunct w:val="0"/>
        <w:autoSpaceDE w:val="0"/>
        <w:autoSpaceDN/>
        <w:bidi w:val="0"/>
        <w:adjustRightInd/>
        <w:snapToGrid/>
        <w:spacing w:line="560" w:lineRule="exact"/>
        <w:ind w:firstLine="560" w:firstLineChars="200"/>
        <w:jc w:val="left"/>
        <w:textAlignment w:val="auto"/>
        <w:rPr>
          <w:rFonts w:hint="eastAsia" w:ascii="黑体" w:hAnsi="黑体" w:eastAsia="黑体"/>
          <w:sz w:val="28"/>
          <w:szCs w:val="28"/>
          <w:lang w:val="en-US" w:eastAsia="zh-CN"/>
        </w:rPr>
      </w:pPr>
      <w:r>
        <w:rPr>
          <w:rFonts w:hint="eastAsia" w:ascii="黑体" w:hAnsi="黑体" w:eastAsia="黑体"/>
          <w:sz w:val="28"/>
          <w:szCs w:val="28"/>
          <w:lang w:val="en-US" w:eastAsia="zh-CN"/>
        </w:rPr>
        <w:t>二、供应商资格要求</w:t>
      </w:r>
    </w:p>
    <w:p w14:paraId="1E060D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_GB2312" w:eastAsia="仿宋_GB2312" w:cs="仿宋_GB2312"/>
          <w:color w:val="auto"/>
          <w:kern w:val="2"/>
          <w:sz w:val="28"/>
          <w:szCs w:val="36"/>
          <w:lang w:val="en-US" w:eastAsia="zh-CN" w:bidi="ar-SA"/>
        </w:rPr>
        <w:t>1.具有独立法人资格或具有独立承担民事责任的能力的其它组织</w:t>
      </w:r>
      <w:r>
        <w:rPr>
          <w:rFonts w:hint="eastAsia" w:ascii="仿宋_GB2312" w:hAnsi="仿宋_GB2312" w:eastAsia="仿宋_GB2312" w:cs="仿宋_GB2312"/>
          <w:color w:val="FF0000"/>
          <w:kern w:val="2"/>
          <w:sz w:val="28"/>
          <w:szCs w:val="36"/>
          <w:lang w:val="en-US" w:eastAsia="zh-CN" w:bidi="ar-SA"/>
        </w:rPr>
        <w:t>（提供营业执照或事业单位法人证等法人证明扫描件，原件备查）</w:t>
      </w:r>
      <w:r>
        <w:rPr>
          <w:rFonts w:hint="eastAsia" w:ascii="仿宋_GB2312" w:hAnsi="仿宋_GB2312" w:eastAsia="仿宋_GB2312" w:cs="仿宋_GB2312"/>
          <w:color w:val="auto"/>
          <w:kern w:val="2"/>
          <w:sz w:val="28"/>
          <w:szCs w:val="36"/>
          <w:lang w:val="en-US" w:eastAsia="zh-CN" w:bidi="ar-SA"/>
        </w:rPr>
        <w:t>。</w:t>
      </w:r>
    </w:p>
    <w:p w14:paraId="4023FB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_GB2312" w:eastAsia="仿宋_GB2312" w:cs="仿宋_GB2312"/>
          <w:color w:val="auto"/>
          <w:kern w:val="2"/>
          <w:sz w:val="28"/>
          <w:szCs w:val="36"/>
          <w:lang w:val="en-US" w:eastAsia="zh-CN" w:bidi="ar-SA"/>
        </w:rPr>
        <w:t>2.参与本项目投标前三年内，在经营活动中没有重大违法记录</w:t>
      </w:r>
      <w:r>
        <w:rPr>
          <w:rFonts w:hint="eastAsia" w:ascii="仿宋_GB2312" w:hAnsi="仿宋_GB2312" w:eastAsia="仿宋_GB2312" w:cs="仿宋_GB2312"/>
          <w:color w:val="FF0000"/>
          <w:kern w:val="2"/>
          <w:sz w:val="28"/>
          <w:szCs w:val="36"/>
          <w:lang w:val="en-US" w:eastAsia="zh-CN" w:bidi="ar-SA"/>
        </w:rPr>
        <w:t>（由供应商在《投标及履约承诺函》中作出声明）</w:t>
      </w:r>
      <w:r>
        <w:rPr>
          <w:rFonts w:hint="eastAsia" w:ascii="仿宋_GB2312" w:hAnsi="仿宋_GB2312" w:eastAsia="仿宋_GB2312" w:cs="仿宋_GB2312"/>
          <w:color w:val="auto"/>
          <w:kern w:val="2"/>
          <w:sz w:val="28"/>
          <w:szCs w:val="36"/>
          <w:lang w:val="en-US" w:eastAsia="zh-CN" w:bidi="ar-SA"/>
        </w:rPr>
        <w:t>。</w:t>
      </w:r>
    </w:p>
    <w:p w14:paraId="67E37B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_GB2312" w:eastAsia="仿宋_GB2312" w:cs="仿宋_GB2312"/>
          <w:color w:val="auto"/>
          <w:kern w:val="2"/>
          <w:sz w:val="28"/>
          <w:szCs w:val="36"/>
          <w:lang w:val="en-US" w:eastAsia="zh-CN" w:bidi="ar-SA"/>
        </w:rPr>
        <w:t>3.参与本项目采购活动时不存在被有关部门禁止参与政府采购活动且在有效期内的情况</w:t>
      </w:r>
      <w:r>
        <w:rPr>
          <w:rFonts w:hint="eastAsia" w:ascii="仿宋_GB2312" w:hAnsi="仿宋_GB2312" w:eastAsia="仿宋_GB2312" w:cs="仿宋_GB2312"/>
          <w:color w:val="FF0000"/>
          <w:kern w:val="2"/>
          <w:sz w:val="28"/>
          <w:szCs w:val="36"/>
          <w:lang w:val="en-US" w:eastAsia="zh-CN" w:bidi="ar-SA"/>
        </w:rPr>
        <w:t>（由供应商在《投标及履约承诺函》中作出声明）</w:t>
      </w:r>
      <w:r>
        <w:rPr>
          <w:rFonts w:hint="eastAsia" w:ascii="仿宋_GB2312" w:hAnsi="仿宋_GB2312" w:eastAsia="仿宋_GB2312" w:cs="仿宋_GB2312"/>
          <w:color w:val="auto"/>
          <w:kern w:val="2"/>
          <w:sz w:val="28"/>
          <w:szCs w:val="36"/>
          <w:lang w:val="en-US" w:eastAsia="zh-CN" w:bidi="ar-SA"/>
        </w:rPr>
        <w:t>。</w:t>
      </w:r>
    </w:p>
    <w:p w14:paraId="6F6250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_GB2312" w:eastAsia="仿宋_GB2312" w:cs="仿宋_GB2312"/>
          <w:color w:val="auto"/>
          <w:kern w:val="2"/>
          <w:sz w:val="28"/>
          <w:szCs w:val="36"/>
          <w:lang w:val="en-US" w:eastAsia="zh-CN" w:bidi="ar-SA"/>
        </w:rPr>
        <w:t>4.参与本采购项目投标的供应商未被列入失信被执行人、重大税收违法失信主体、政府采购严重违法失信行为记录名单、不存在《深圳市财政局政府采购供应商信用信息管理办法》（深财规〔2023）3号）列明的严重违法失信行为</w:t>
      </w:r>
      <w:r>
        <w:rPr>
          <w:rFonts w:hint="eastAsia" w:ascii="仿宋_GB2312" w:hAnsi="仿宋_GB2312" w:eastAsia="仿宋_GB2312" w:cs="仿宋_GB2312"/>
          <w:color w:val="FF0000"/>
          <w:kern w:val="2"/>
          <w:sz w:val="28"/>
          <w:szCs w:val="36"/>
          <w:lang w:val="en-US" w:eastAsia="zh-CN" w:bidi="ar-SA"/>
        </w:rPr>
        <w:t>（由供应商在《投标及履约承诺函》中作出声明）</w:t>
      </w:r>
      <w:r>
        <w:rPr>
          <w:rFonts w:hint="eastAsia" w:ascii="仿宋_GB2312" w:hAnsi="仿宋_GB2312" w:eastAsia="仿宋_GB2312" w:cs="仿宋_GB2312"/>
          <w:color w:val="auto"/>
          <w:kern w:val="2"/>
          <w:sz w:val="28"/>
          <w:szCs w:val="36"/>
          <w:lang w:val="en-US" w:eastAsia="zh-CN" w:bidi="ar-SA"/>
        </w:rPr>
        <w:t>。</w:t>
      </w:r>
    </w:p>
    <w:p w14:paraId="3FE662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jc w:val="left"/>
        <w:textAlignment w:val="auto"/>
        <w:rPr>
          <w:rFonts w:hint="eastAsia" w:ascii="仿宋_GB2312" w:hAnsi="仿宋_GB2312" w:eastAsia="仿宋_GB2312" w:cs="仿宋_GB2312"/>
          <w:b/>
          <w:bCs/>
          <w:color w:val="auto"/>
          <w:kern w:val="2"/>
          <w:sz w:val="24"/>
          <w:szCs w:val="32"/>
          <w:lang w:val="en-US" w:eastAsia="zh-CN" w:bidi="ar-SA"/>
        </w:rPr>
      </w:pPr>
      <w:r>
        <w:rPr>
          <w:rFonts w:hint="eastAsia" w:ascii="仿宋_GB2312" w:hAnsi="仿宋_GB2312" w:eastAsia="仿宋_GB2312" w:cs="仿宋_GB2312"/>
          <w:b/>
          <w:bCs/>
          <w:color w:val="auto"/>
          <w:kern w:val="2"/>
          <w:sz w:val="24"/>
          <w:szCs w:val="32"/>
          <w:lang w:val="en-US" w:eastAsia="zh-CN" w:bidi="ar-SA"/>
        </w:rPr>
        <w:t>注：“信用中国”、“中国政府采购网”以及“深圳市政府采购监管网”为供应商信用信息的查询渠道，相关信息以开标当日的查询结果为准。</w:t>
      </w:r>
    </w:p>
    <w:p w14:paraId="41D81A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_GB2312" w:eastAsia="仿宋_GB2312" w:cs="仿宋_GB2312"/>
          <w:color w:val="auto"/>
          <w:kern w:val="2"/>
          <w:sz w:val="28"/>
          <w:szCs w:val="36"/>
          <w:lang w:val="en-US" w:eastAsia="zh-CN" w:bidi="ar-SA"/>
        </w:rPr>
        <w:t>5.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仿宋_GB2312" w:hAnsi="仿宋_GB2312" w:eastAsia="仿宋_GB2312" w:cs="仿宋_GB2312"/>
          <w:color w:val="FF0000"/>
          <w:kern w:val="2"/>
          <w:sz w:val="28"/>
          <w:szCs w:val="36"/>
          <w:lang w:val="en-US" w:eastAsia="zh-CN" w:bidi="ar-SA"/>
        </w:rPr>
        <w:t>（由供应商在《投标及履约承诺函》中作出声明并填写附表《供应商基本情况表》）</w:t>
      </w:r>
      <w:r>
        <w:rPr>
          <w:rFonts w:hint="eastAsia" w:ascii="仿宋_GB2312" w:hAnsi="仿宋_GB2312" w:eastAsia="仿宋_GB2312" w:cs="仿宋_GB2312"/>
          <w:color w:val="auto"/>
          <w:kern w:val="2"/>
          <w:sz w:val="28"/>
          <w:szCs w:val="36"/>
          <w:lang w:val="en-US" w:eastAsia="zh-CN" w:bidi="ar-SA"/>
        </w:rPr>
        <w:t>。</w:t>
      </w:r>
    </w:p>
    <w:p w14:paraId="5AF44E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_GB2312" w:eastAsia="仿宋_GB2312" w:cs="仿宋_GB2312"/>
          <w:color w:val="auto"/>
          <w:kern w:val="2"/>
          <w:sz w:val="28"/>
          <w:szCs w:val="36"/>
          <w:lang w:val="en-US" w:eastAsia="zh-CN" w:bidi="ar-SA"/>
        </w:rPr>
        <w:t>6.本项目不接受联合体投标。</w:t>
      </w:r>
    </w:p>
    <w:p w14:paraId="344772EA">
      <w:pPr>
        <w:keepNext w:val="0"/>
        <w:keepLines w:val="0"/>
        <w:pageBreakBefore w:val="0"/>
        <w:widowControl w:val="0"/>
        <w:kinsoku/>
        <w:wordWrap/>
        <w:overflowPunct/>
        <w:topLinePunct w:val="0"/>
        <w:autoSpaceDE w:val="0"/>
        <w:autoSpaceDN/>
        <w:bidi w:val="0"/>
        <w:adjustRightInd/>
        <w:snapToGrid/>
        <w:spacing w:line="560" w:lineRule="exact"/>
        <w:ind w:firstLine="560" w:firstLineChars="200"/>
        <w:jc w:val="left"/>
        <w:textAlignment w:val="auto"/>
        <w:rPr>
          <w:rFonts w:hint="eastAsia" w:ascii="黑体" w:hAnsi="黑体" w:eastAsia="黑体"/>
          <w:sz w:val="28"/>
          <w:szCs w:val="28"/>
          <w:lang w:val="en-US" w:eastAsia="zh-CN"/>
        </w:rPr>
      </w:pPr>
      <w:r>
        <w:rPr>
          <w:rFonts w:hint="eastAsia" w:ascii="黑体" w:hAnsi="黑体" w:eastAsia="黑体"/>
          <w:sz w:val="28"/>
          <w:szCs w:val="28"/>
          <w:lang w:val="en-US" w:eastAsia="zh-CN"/>
        </w:rPr>
        <w:t>三、其他服务要求</w:t>
      </w:r>
    </w:p>
    <w:p w14:paraId="5FAB0C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kern w:val="2"/>
          <w:sz w:val="28"/>
          <w:szCs w:val="36"/>
          <w:lang w:val="en-US" w:eastAsia="zh-CN" w:bidi="ar-SA"/>
        </w:rPr>
      </w:pPr>
      <w:r>
        <w:rPr>
          <w:rFonts w:hint="eastAsia" w:ascii="仿宋_GB2312" w:hAnsi="仿宋_GB2312" w:eastAsia="仿宋_GB2312" w:cs="仿宋_GB2312"/>
          <w:color w:val="auto"/>
          <w:kern w:val="2"/>
          <w:sz w:val="28"/>
          <w:szCs w:val="36"/>
          <w:lang w:val="en-US" w:eastAsia="zh-CN" w:bidi="ar-SA"/>
        </w:rPr>
        <w:t>1.具有</w:t>
      </w:r>
      <w:r>
        <w:rPr>
          <w:rFonts w:hint="eastAsia" w:ascii="仿宋_GB2312" w:hAnsi="仿宋_GB2312" w:eastAsia="仿宋_GB2312" w:cs="仿宋_GB2312"/>
          <w:color w:val="auto"/>
          <w:kern w:val="2"/>
          <w:sz w:val="28"/>
          <w:szCs w:val="36"/>
          <w:highlight w:val="none"/>
          <w:lang w:val="en-US" w:eastAsia="zh-CN" w:bidi="ar-SA"/>
        </w:rPr>
        <w:t>建设行政主管部门颁发的有效期内的</w:t>
      </w:r>
      <w:r>
        <w:rPr>
          <w:rFonts w:hint="eastAsia" w:ascii="仿宋_GB2312" w:hAnsi="仿宋_GB2312" w:eastAsia="仿宋_GB2312" w:cs="仿宋_GB2312"/>
          <w:color w:val="auto"/>
          <w:kern w:val="2"/>
          <w:sz w:val="28"/>
          <w:szCs w:val="36"/>
          <w:lang w:val="en-US" w:eastAsia="zh-CN" w:bidi="ar-SA"/>
        </w:rPr>
        <w:t>钢结构工程专业承包二级‌及以上资质</w:t>
      </w:r>
      <w:r>
        <w:rPr>
          <w:rFonts w:hint="eastAsia" w:ascii="仿宋_GB2312" w:hAnsi="仿宋_GB2312" w:eastAsia="仿宋_GB2312" w:cs="仿宋_GB2312"/>
          <w:color w:val="FF0000"/>
          <w:kern w:val="2"/>
          <w:sz w:val="28"/>
          <w:szCs w:val="36"/>
          <w:lang w:val="en-US" w:eastAsia="zh-CN" w:bidi="ar-SA"/>
        </w:rPr>
        <w:t>(提供有效的资质证书扫描件加盖投标人公章，原件备查)。</w:t>
      </w:r>
    </w:p>
    <w:p w14:paraId="5C5EF2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lang w:val="en-US" w:eastAsia="zh-CN"/>
        </w:rPr>
      </w:pPr>
      <w:r>
        <w:rPr>
          <w:rFonts w:hint="eastAsia" w:ascii="仿宋_GB2312" w:hAnsi="仿宋_GB2312" w:eastAsia="仿宋_GB2312" w:cs="仿宋_GB2312"/>
          <w:color w:val="auto"/>
          <w:kern w:val="2"/>
          <w:sz w:val="28"/>
          <w:szCs w:val="36"/>
          <w:lang w:val="en-US" w:eastAsia="zh-CN" w:bidi="ar-SA"/>
        </w:rPr>
        <w:t>2.具有建设行政主管部门颁发的有效期内的《安全生产许可证》</w:t>
      </w:r>
      <w:r>
        <w:rPr>
          <w:rFonts w:hint="eastAsia" w:ascii="仿宋_GB2312" w:hAnsi="仿宋_GB2312" w:eastAsia="仿宋_GB2312" w:cs="仿宋_GB2312"/>
          <w:color w:val="FF0000"/>
          <w:kern w:val="2"/>
          <w:sz w:val="28"/>
          <w:szCs w:val="36"/>
          <w:lang w:val="en-US" w:eastAsia="zh-CN" w:bidi="ar-SA"/>
        </w:rPr>
        <w:t>(提供有效的证书扫描件加盖投标人公章，原件备查)。</w:t>
      </w:r>
    </w:p>
    <w:p w14:paraId="47E551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ascii="黑体" w:hAnsi="黑体" w:eastAsia="黑体"/>
          <w:sz w:val="28"/>
          <w:szCs w:val="28"/>
        </w:rPr>
      </w:pPr>
      <w:r>
        <w:rPr>
          <w:rFonts w:hint="eastAsia" w:ascii="黑体" w:hAnsi="黑体" w:eastAsia="黑体"/>
          <w:sz w:val="28"/>
          <w:szCs w:val="28"/>
          <w:lang w:eastAsia="zh-CN"/>
        </w:rPr>
        <w:t>四</w:t>
      </w:r>
      <w:r>
        <w:rPr>
          <w:rFonts w:hint="eastAsia" w:ascii="黑体" w:hAnsi="黑体" w:eastAsia="黑体"/>
          <w:sz w:val="28"/>
          <w:szCs w:val="28"/>
        </w:rPr>
        <w:t>、投标与开标注意事项</w:t>
      </w:r>
    </w:p>
    <w:p w14:paraId="58041F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b w:val="0"/>
          <w:color w:val="auto"/>
          <w:sz w:val="28"/>
          <w:szCs w:val="28"/>
          <w:lang w:eastAsia="zh-CN"/>
        </w:rPr>
      </w:pPr>
      <w:r>
        <w:rPr>
          <w:rFonts w:hint="eastAsia" w:ascii="楷体" w:hAnsi="楷体" w:eastAsia="楷体" w:cs="楷体"/>
          <w:sz w:val="28"/>
          <w:szCs w:val="28"/>
          <w:lang w:eastAsia="zh-CN"/>
        </w:rPr>
        <w:t>（一）采购文件获取方式</w:t>
      </w:r>
    </w:p>
    <w:p w14:paraId="292CFC3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lang w:val="en-US" w:eastAsia="zh-CN"/>
        </w:rPr>
        <w:t>供应商可于</w:t>
      </w:r>
      <w:r>
        <w:rPr>
          <w:rFonts w:hint="eastAsia" w:ascii="仿宋_GB2312" w:hAnsi="仿宋_GB2312" w:eastAsia="仿宋_GB2312" w:cs="仿宋_GB2312"/>
          <w:sz w:val="28"/>
          <w:szCs w:val="28"/>
          <w:highlight w:val="none"/>
          <w:lang w:val="en-US" w:eastAsia="zh-CN"/>
        </w:rPr>
        <w:t>2026年10月14日起至2026年10月16日18时</w:t>
      </w:r>
      <w:r>
        <w:rPr>
          <w:rFonts w:hint="eastAsia" w:ascii="仿宋_GB2312" w:hAnsi="仿宋_GB2312" w:eastAsia="仿宋_GB2312" w:cs="仿宋_GB2312"/>
          <w:sz w:val="28"/>
          <w:szCs w:val="28"/>
          <w:highlight w:val="none"/>
        </w:rPr>
        <w:t>整（北京时间）</w:t>
      </w:r>
      <w:r>
        <w:rPr>
          <w:rFonts w:hint="eastAsia" w:ascii="仿宋_GB2312" w:hAnsi="仿宋_GB2312" w:eastAsia="仿宋_GB2312" w:cs="仿宋_GB2312"/>
          <w:sz w:val="28"/>
          <w:szCs w:val="28"/>
          <w:highlight w:val="none"/>
          <w:lang w:val="en-US" w:eastAsia="zh-CN"/>
        </w:rPr>
        <w:t>期间，登录深圳盐田政府在线网站（http://www.yantian.gov.cn/）免费下载采购文件。</w:t>
      </w:r>
    </w:p>
    <w:p w14:paraId="4188DE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楷体" w:hAnsi="楷体" w:eastAsia="楷体" w:cs="楷体"/>
          <w:sz w:val="28"/>
          <w:szCs w:val="28"/>
          <w:highlight w:val="none"/>
          <w:lang w:eastAsia="zh-CN"/>
        </w:rPr>
      </w:pPr>
      <w:r>
        <w:rPr>
          <w:rFonts w:hint="eastAsia" w:ascii="楷体" w:hAnsi="楷体" w:eastAsia="楷体" w:cs="楷体"/>
          <w:sz w:val="28"/>
          <w:szCs w:val="28"/>
          <w:highlight w:val="none"/>
          <w:lang w:val="en-US" w:eastAsia="zh-CN"/>
        </w:rPr>
        <w:t>（二）</w:t>
      </w:r>
      <w:r>
        <w:rPr>
          <w:rFonts w:hint="eastAsia" w:ascii="楷体" w:hAnsi="楷体" w:eastAsia="楷体" w:cs="楷体"/>
          <w:sz w:val="28"/>
          <w:szCs w:val="28"/>
          <w:highlight w:val="none"/>
          <w:lang w:eastAsia="zh-CN"/>
        </w:rPr>
        <w:t>现场踏勘</w:t>
      </w:r>
    </w:p>
    <w:p w14:paraId="56F8406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本项目不安排现场踏勘。</w:t>
      </w:r>
    </w:p>
    <w:p w14:paraId="2410B4E6">
      <w:pPr>
        <w:keepNext w:val="0"/>
        <w:keepLines w:val="0"/>
        <w:pageBreakBefore w:val="0"/>
        <w:kinsoku/>
        <w:wordWrap/>
        <w:overflowPunct/>
        <w:topLinePunct w:val="0"/>
        <w:autoSpaceDE w:val="0"/>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楷体" w:hAnsi="楷体" w:eastAsia="楷体" w:cs="楷体"/>
          <w:sz w:val="28"/>
          <w:szCs w:val="28"/>
          <w:highlight w:val="none"/>
          <w:lang w:val="en-US" w:eastAsia="zh-CN"/>
        </w:rPr>
        <w:t>（三）投标截止时间、开标时间和地点</w:t>
      </w:r>
    </w:p>
    <w:p w14:paraId="3103B9E9">
      <w:pPr>
        <w:keepNext w:val="0"/>
        <w:keepLines w:val="0"/>
        <w:pageBreakBefore w:val="0"/>
        <w:widowControl/>
        <w:kinsoku/>
        <w:wordWrap/>
        <w:overflowPunct/>
        <w:topLinePunct w:val="0"/>
        <w:autoSpaceDE w:val="0"/>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rPr>
        <w:t>1.提交</w:t>
      </w:r>
      <w:r>
        <w:rPr>
          <w:rFonts w:hint="eastAsia" w:ascii="仿宋_GB2312" w:hAnsi="仿宋_GB2312" w:eastAsia="仿宋_GB2312" w:cs="仿宋_GB2312"/>
          <w:sz w:val="28"/>
          <w:szCs w:val="28"/>
          <w:highlight w:val="none"/>
          <w:lang w:eastAsia="zh-CN"/>
        </w:rPr>
        <w:t>投标</w:t>
      </w:r>
      <w:r>
        <w:rPr>
          <w:rFonts w:hint="eastAsia" w:ascii="仿宋_GB2312" w:hAnsi="仿宋_GB2312" w:eastAsia="仿宋_GB2312" w:cs="仿宋_GB2312"/>
          <w:sz w:val="28"/>
          <w:szCs w:val="28"/>
          <w:highlight w:val="none"/>
        </w:rPr>
        <w:t>文件截止时间：202</w:t>
      </w: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年</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17</w:t>
      </w:r>
      <w:r>
        <w:rPr>
          <w:rFonts w:hint="eastAsia" w:ascii="仿宋_GB2312" w:hAnsi="仿宋_GB2312" w:eastAsia="仿宋_GB2312" w:cs="仿宋_GB2312"/>
          <w:sz w:val="28"/>
          <w:szCs w:val="28"/>
          <w:highlight w:val="none"/>
        </w:rPr>
        <w:t>日18</w:t>
      </w:r>
      <w:r>
        <w:rPr>
          <w:rFonts w:hint="eastAsia" w:ascii="仿宋_GB2312" w:hAnsi="仿宋_GB2312" w:eastAsia="仿宋_GB2312" w:cs="仿宋_GB2312"/>
          <w:sz w:val="28"/>
          <w:szCs w:val="28"/>
          <w:highlight w:val="none"/>
          <w:lang w:eastAsia="zh-CN"/>
        </w:rPr>
        <w:t>时</w:t>
      </w:r>
      <w:r>
        <w:rPr>
          <w:rFonts w:hint="eastAsia" w:ascii="仿宋_GB2312" w:hAnsi="仿宋_GB2312" w:eastAsia="仿宋_GB2312" w:cs="仿宋_GB2312"/>
          <w:sz w:val="28"/>
          <w:szCs w:val="28"/>
          <w:highlight w:val="none"/>
        </w:rPr>
        <w:t>整（北京时间）</w:t>
      </w:r>
      <w:r>
        <w:rPr>
          <w:rFonts w:hint="eastAsia" w:ascii="仿宋_GB2312" w:hAnsi="仿宋_GB2312" w:eastAsia="仿宋_GB2312" w:cs="仿宋_GB2312"/>
          <w:sz w:val="28"/>
          <w:szCs w:val="28"/>
          <w:highlight w:val="none"/>
          <w:lang w:eastAsia="zh-CN"/>
        </w:rPr>
        <w:t>。</w:t>
      </w:r>
    </w:p>
    <w:p w14:paraId="3168189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eastAsia="zh-CN"/>
        </w:rPr>
        <w:t>投标</w:t>
      </w:r>
      <w:r>
        <w:rPr>
          <w:rFonts w:hint="eastAsia" w:ascii="仿宋_GB2312" w:hAnsi="仿宋_GB2312" w:eastAsia="仿宋_GB2312" w:cs="仿宋_GB2312"/>
          <w:sz w:val="28"/>
          <w:szCs w:val="28"/>
          <w:highlight w:val="none"/>
        </w:rPr>
        <w:t>文件提交方式：</w:t>
      </w:r>
      <w:r>
        <w:rPr>
          <w:rFonts w:hint="eastAsia" w:ascii="仿宋_GB2312" w:hAnsi="仿宋_GB2312" w:eastAsia="仿宋_GB2312" w:cs="仿宋_GB2312"/>
          <w:sz w:val="28"/>
          <w:szCs w:val="28"/>
          <w:highlight w:val="none"/>
          <w:lang w:eastAsia="zh-CN"/>
        </w:rPr>
        <w:t>投标</w:t>
      </w:r>
      <w:r>
        <w:rPr>
          <w:rFonts w:hint="eastAsia" w:ascii="仿宋_GB2312" w:hAnsi="仿宋_GB2312" w:eastAsia="仿宋_GB2312" w:cs="仿宋_GB2312"/>
          <w:sz w:val="28"/>
          <w:szCs w:val="28"/>
          <w:highlight w:val="none"/>
        </w:rPr>
        <w:t>文件一律密封</w:t>
      </w:r>
      <w:r>
        <w:rPr>
          <w:rFonts w:hint="eastAsia" w:ascii="仿宋_GB2312" w:hAnsi="仿宋_GB2312" w:eastAsia="仿宋_GB2312" w:cs="仿宋_GB2312"/>
          <w:sz w:val="28"/>
          <w:szCs w:val="28"/>
          <w:highlight w:val="none"/>
          <w:lang w:eastAsia="zh-CN"/>
        </w:rPr>
        <w:t>，邮寄或现场提交</w:t>
      </w:r>
      <w:r>
        <w:rPr>
          <w:rFonts w:hint="eastAsia" w:ascii="仿宋_GB2312" w:hAnsi="仿宋_GB2312" w:eastAsia="仿宋_GB2312" w:cs="仿宋_GB2312"/>
          <w:sz w:val="28"/>
          <w:szCs w:val="28"/>
          <w:highlight w:val="none"/>
        </w:rPr>
        <w:t>采购联系人，未作密封的视为无效标。</w:t>
      </w:r>
      <w:r>
        <w:rPr>
          <w:rFonts w:hint="eastAsia" w:ascii="仿宋_GB2312" w:hAnsi="仿宋_GB2312" w:eastAsia="仿宋_GB2312" w:cs="仿宋_GB2312"/>
          <w:sz w:val="28"/>
          <w:szCs w:val="28"/>
          <w:highlight w:val="none"/>
          <w:lang w:val="en-US" w:eastAsia="zh-CN"/>
        </w:rPr>
        <w:t>投标文件应于投标截止时间之前递交，逾期递交的投标文件恕不接受。</w:t>
      </w:r>
    </w:p>
    <w:p w14:paraId="07DCADF5">
      <w:pPr>
        <w:keepNext w:val="0"/>
        <w:keepLines w:val="0"/>
        <w:pageBreakBefore w:val="0"/>
        <w:widowControl/>
        <w:kinsoku/>
        <w:wordWrap/>
        <w:overflowPunct/>
        <w:topLinePunct w:val="0"/>
        <w:autoSpaceDE w:val="0"/>
        <w:autoSpaceDN/>
        <w:bidi w:val="0"/>
        <w:adjustRightInd/>
        <w:snapToGrid/>
        <w:spacing w:line="560" w:lineRule="exact"/>
        <w:ind w:firstLine="560" w:firstLineChars="200"/>
        <w:jc w:val="left"/>
        <w:textAlignment w:val="auto"/>
        <w:rPr>
          <w:rFonts w:ascii="仿宋" w:hAnsi="仿宋" w:eastAsia="仿宋"/>
          <w:sz w:val="28"/>
          <w:szCs w:val="28"/>
          <w:highlight w:val="none"/>
        </w:rPr>
      </w:pPr>
      <w:r>
        <w:rPr>
          <w:rFonts w:hint="eastAsia" w:ascii="仿宋_GB2312" w:hAnsi="仿宋_GB2312" w:eastAsia="仿宋_GB2312" w:cs="仿宋_GB2312"/>
          <w:sz w:val="28"/>
          <w:szCs w:val="28"/>
          <w:highlight w:val="none"/>
        </w:rPr>
        <w:t>3.采购评审时间和地点：定于202</w:t>
      </w: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年</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19</w:t>
      </w:r>
      <w:r>
        <w:rPr>
          <w:rFonts w:hint="eastAsia" w:ascii="仿宋_GB2312" w:hAnsi="仿宋_GB2312" w:eastAsia="仿宋_GB2312" w:cs="仿宋_GB2312"/>
          <w:sz w:val="28"/>
          <w:szCs w:val="28"/>
          <w:highlight w:val="none"/>
        </w:rPr>
        <w:t>日10</w:t>
      </w:r>
      <w:r>
        <w:rPr>
          <w:rFonts w:hint="eastAsia" w:ascii="仿宋_GB2312" w:hAnsi="仿宋_GB2312" w:eastAsia="仿宋_GB2312" w:cs="仿宋_GB2312"/>
          <w:sz w:val="28"/>
          <w:szCs w:val="28"/>
          <w:highlight w:val="none"/>
          <w:lang w:eastAsia="zh-CN"/>
        </w:rPr>
        <w:t>时</w:t>
      </w:r>
      <w:r>
        <w:rPr>
          <w:rFonts w:hint="eastAsia" w:ascii="仿宋_GB2312" w:hAnsi="仿宋_GB2312" w:eastAsia="仿宋_GB2312" w:cs="仿宋_GB2312"/>
          <w:sz w:val="28"/>
          <w:szCs w:val="28"/>
          <w:highlight w:val="none"/>
        </w:rPr>
        <w:t>30分（北京时间）在</w:t>
      </w:r>
      <w:r>
        <w:rPr>
          <w:rFonts w:hint="eastAsia" w:ascii="仿宋_GB2312" w:hAnsi="仿宋_GB2312" w:eastAsia="仿宋_GB2312" w:cs="仿宋_GB2312"/>
          <w:sz w:val="28"/>
          <w:szCs w:val="28"/>
          <w:highlight w:val="none"/>
          <w:lang w:val="en-US" w:eastAsia="zh-CN"/>
        </w:rPr>
        <w:t>中英街管理局3楼</w:t>
      </w:r>
      <w:r>
        <w:rPr>
          <w:rFonts w:hint="eastAsia" w:ascii="仿宋_GB2312" w:hAnsi="仿宋_GB2312" w:eastAsia="仿宋_GB2312" w:cs="仿宋_GB2312"/>
          <w:sz w:val="28"/>
          <w:szCs w:val="28"/>
          <w:highlight w:val="none"/>
        </w:rPr>
        <w:t>会议室进行项目评审。</w:t>
      </w:r>
    </w:p>
    <w:p w14:paraId="6AC24663">
      <w:pPr>
        <w:keepNext w:val="0"/>
        <w:keepLines w:val="0"/>
        <w:pageBreakBefore w:val="0"/>
        <w:kinsoku/>
        <w:wordWrap/>
        <w:overflowPunct/>
        <w:topLinePunct w:val="0"/>
        <w:autoSpaceDE w:val="0"/>
        <w:autoSpaceDN/>
        <w:bidi w:val="0"/>
        <w:adjustRightInd/>
        <w:snapToGrid/>
        <w:spacing w:line="560" w:lineRule="exact"/>
        <w:ind w:firstLine="560" w:firstLineChars="200"/>
        <w:jc w:val="left"/>
        <w:textAlignment w:val="auto"/>
        <w:rPr>
          <w:rFonts w:ascii="黑体" w:hAnsi="黑体" w:eastAsia="黑体"/>
          <w:sz w:val="28"/>
          <w:szCs w:val="28"/>
        </w:rPr>
      </w:pPr>
      <w:r>
        <w:rPr>
          <w:rFonts w:hint="eastAsia" w:ascii="黑体" w:hAnsi="黑体" w:eastAsia="黑体"/>
          <w:sz w:val="28"/>
          <w:szCs w:val="28"/>
          <w:lang w:eastAsia="zh-CN"/>
        </w:rPr>
        <w:t>五</w:t>
      </w:r>
      <w:r>
        <w:rPr>
          <w:rFonts w:hint="eastAsia" w:ascii="黑体" w:hAnsi="黑体" w:eastAsia="黑体"/>
          <w:sz w:val="28"/>
          <w:szCs w:val="28"/>
        </w:rPr>
        <w:t>、公告期限</w:t>
      </w:r>
    </w:p>
    <w:p w14:paraId="0CE9E6E1">
      <w:pPr>
        <w:keepNext w:val="0"/>
        <w:keepLines w:val="0"/>
        <w:pageBreakBefore w:val="0"/>
        <w:kinsoku/>
        <w:wordWrap/>
        <w:overflowPunct/>
        <w:topLinePunct w:val="0"/>
        <w:autoSpaceDE w:val="0"/>
        <w:autoSpaceDN/>
        <w:bidi w:val="0"/>
        <w:adjustRightInd/>
        <w:snapToGrid/>
        <w:spacing w:line="560" w:lineRule="exact"/>
        <w:ind w:firstLine="560" w:firstLineChars="200"/>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自本公告发布之日起</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个工作日。</w:t>
      </w:r>
    </w:p>
    <w:p w14:paraId="57E95338">
      <w:pPr>
        <w:keepNext w:val="0"/>
        <w:keepLines w:val="0"/>
        <w:pageBreakBefore w:val="0"/>
        <w:kinsoku/>
        <w:wordWrap/>
        <w:overflowPunct/>
        <w:topLinePunct w:val="0"/>
        <w:autoSpaceDE w:val="0"/>
        <w:autoSpaceDN/>
        <w:bidi w:val="0"/>
        <w:adjustRightInd/>
        <w:snapToGrid/>
        <w:spacing w:line="560" w:lineRule="exact"/>
        <w:ind w:firstLine="560" w:firstLineChars="200"/>
        <w:jc w:val="left"/>
        <w:textAlignment w:val="auto"/>
        <w:rPr>
          <w:rFonts w:ascii="黑体" w:hAnsi="黑体" w:eastAsia="黑体"/>
          <w:sz w:val="28"/>
          <w:szCs w:val="28"/>
        </w:rPr>
      </w:pPr>
      <w:r>
        <w:rPr>
          <w:rFonts w:hint="eastAsia" w:ascii="黑体" w:hAnsi="黑体" w:eastAsia="黑体"/>
          <w:sz w:val="28"/>
          <w:szCs w:val="28"/>
          <w:lang w:eastAsia="zh-CN"/>
        </w:rPr>
        <w:t>六</w:t>
      </w:r>
      <w:r>
        <w:rPr>
          <w:rFonts w:hint="eastAsia" w:ascii="黑体" w:hAnsi="黑体" w:eastAsia="黑体"/>
          <w:sz w:val="28"/>
          <w:szCs w:val="28"/>
        </w:rPr>
        <w:t>、本单位负责对项目的询问、质疑和投诉进行处理。</w:t>
      </w:r>
    </w:p>
    <w:p w14:paraId="6ADFA00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供应商认为采购文件的内容损害其权益的，应在采购文件公布之日起3个工作日内以书面形式向我局提出，逾期不予受理。</w:t>
      </w:r>
    </w:p>
    <w:p w14:paraId="3CB7760C">
      <w:pPr>
        <w:keepNext w:val="0"/>
        <w:keepLines w:val="0"/>
        <w:pageBreakBefore w:val="0"/>
        <w:widowControl/>
        <w:kinsoku/>
        <w:wordWrap/>
        <w:overflowPunct/>
        <w:topLinePunct w:val="0"/>
        <w:autoSpaceDE w:val="0"/>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联</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系</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人：</w:t>
      </w:r>
      <w:r>
        <w:rPr>
          <w:rFonts w:hint="eastAsia" w:ascii="仿宋_GB2312" w:hAnsi="仿宋_GB2312" w:eastAsia="仿宋_GB2312" w:cs="仿宋_GB2312"/>
          <w:sz w:val="28"/>
          <w:szCs w:val="28"/>
          <w:lang w:val="en-US" w:eastAsia="zh-CN"/>
        </w:rPr>
        <w:t>俞  强</w:t>
      </w:r>
    </w:p>
    <w:p w14:paraId="45EC9F28">
      <w:pPr>
        <w:keepNext w:val="0"/>
        <w:keepLines w:val="0"/>
        <w:pageBreakBefore w:val="0"/>
        <w:widowControl/>
        <w:kinsoku/>
        <w:wordWrap/>
        <w:overflowPunct/>
        <w:topLinePunct w:val="0"/>
        <w:autoSpaceDE w:val="0"/>
        <w:autoSpaceDN/>
        <w:bidi w:val="0"/>
        <w:adjustRightInd/>
        <w:snapToGrid/>
        <w:spacing w:line="560" w:lineRule="exact"/>
        <w:ind w:firstLine="560" w:firstLineChars="200"/>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联系方式：0755-</w:t>
      </w:r>
      <w:r>
        <w:rPr>
          <w:rFonts w:hint="eastAsia" w:ascii="仿宋_GB2312" w:hAnsi="仿宋_GB2312" w:eastAsia="仿宋_GB2312" w:cs="仿宋_GB2312"/>
          <w:sz w:val="28"/>
          <w:szCs w:val="28"/>
          <w:lang w:val="en-US" w:eastAsia="zh-CN"/>
        </w:rPr>
        <w:t>22740819</w:t>
      </w:r>
    </w:p>
    <w:p w14:paraId="0B0D49B7">
      <w:pPr>
        <w:keepNext w:val="0"/>
        <w:keepLines w:val="0"/>
        <w:pageBreakBefore w:val="0"/>
        <w:widowControl/>
        <w:kinsoku/>
        <w:wordWrap/>
        <w:overflowPunct/>
        <w:topLinePunct w:val="0"/>
        <w:autoSpaceDE w:val="0"/>
        <w:autoSpaceDN/>
        <w:bidi w:val="0"/>
        <w:adjustRightInd/>
        <w:snapToGrid/>
        <w:spacing w:line="560" w:lineRule="exact"/>
        <w:ind w:firstLine="560" w:firstLineChars="200"/>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 xml:space="preserve">地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址：</w:t>
      </w:r>
      <w:r>
        <w:rPr>
          <w:rFonts w:hint="eastAsia" w:ascii="仿宋_GB2312" w:hAnsi="仿宋_GB2312" w:eastAsia="仿宋_GB2312" w:cs="仿宋_GB2312"/>
          <w:sz w:val="28"/>
          <w:szCs w:val="28"/>
          <w:lang w:eastAsia="zh-CN"/>
        </w:rPr>
        <w:t>广东省深圳市盐田区碧海路</w:t>
      </w:r>
      <w:r>
        <w:rPr>
          <w:rFonts w:hint="eastAsia" w:ascii="仿宋_GB2312" w:hAnsi="仿宋_GB2312" w:eastAsia="仿宋_GB2312" w:cs="仿宋_GB2312"/>
          <w:sz w:val="28"/>
          <w:szCs w:val="28"/>
          <w:lang w:val="en-US" w:eastAsia="zh-CN"/>
        </w:rPr>
        <w:t>8号</w:t>
      </w:r>
    </w:p>
    <w:p w14:paraId="233DBAE3">
      <w:pPr>
        <w:keepNext w:val="0"/>
        <w:keepLines w:val="0"/>
        <w:pageBreakBefore w:val="0"/>
        <w:kinsoku/>
        <w:wordWrap/>
        <w:overflowPunct/>
        <w:topLinePunct w:val="0"/>
        <w:autoSpaceDE w:val="0"/>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p>
    <w:p w14:paraId="0B850D7C">
      <w:pPr>
        <w:keepNext w:val="0"/>
        <w:keepLines w:val="0"/>
        <w:pageBreakBefore w:val="0"/>
        <w:kinsoku/>
        <w:wordWrap/>
        <w:overflowPunct/>
        <w:topLinePunct w:val="0"/>
        <w:autoSpaceDE w:val="0"/>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p>
    <w:p w14:paraId="29A6FA87">
      <w:pPr>
        <w:keepNext w:val="0"/>
        <w:keepLines w:val="0"/>
        <w:pageBreakBefore w:val="0"/>
        <w:kinsoku/>
        <w:wordWrap/>
        <w:overflowPunct/>
        <w:topLinePunct w:val="0"/>
        <w:autoSpaceDE w:val="0"/>
        <w:autoSpaceDN/>
        <w:bidi w:val="0"/>
        <w:adjustRightInd/>
        <w:snapToGrid/>
        <w:spacing w:line="560" w:lineRule="exact"/>
        <w:ind w:firstLine="4480" w:firstLineChars="16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深圳市盐田区中英街管理局</w:t>
      </w:r>
    </w:p>
    <w:p w14:paraId="3623B405">
      <w:pPr>
        <w:keepNext w:val="0"/>
        <w:keepLines w:val="0"/>
        <w:pageBreakBefore w:val="0"/>
        <w:kinsoku/>
        <w:wordWrap/>
        <w:overflowPunct/>
        <w:topLinePunct w:val="0"/>
        <w:autoSpaceDE w:val="0"/>
        <w:autoSpaceDN/>
        <w:bidi w:val="0"/>
        <w:adjustRightInd/>
        <w:snapToGrid/>
        <w:spacing w:line="560" w:lineRule="exact"/>
        <w:ind w:firstLine="5320" w:firstLineChars="19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2026年10月13日</w:t>
      </w:r>
    </w:p>
    <w:p w14:paraId="06D074F9">
      <w:pPr>
        <w:keepNext w:val="0"/>
        <w:keepLines w:val="0"/>
        <w:pageBreakBefore w:val="0"/>
        <w:kinsoku/>
        <w:wordWrap/>
        <w:overflowPunct/>
        <w:topLinePunct w:val="0"/>
        <w:autoSpaceDN/>
        <w:bidi w:val="0"/>
        <w:adjustRightInd/>
        <w:snapToGrid/>
        <w:spacing w:line="500" w:lineRule="exact"/>
        <w:jc w:val="left"/>
        <w:textAlignment w:val="auto"/>
        <w:rPr>
          <w:rFonts w:hint="eastAsia" w:ascii="黑体" w:hAnsi="黑体" w:eastAsia="黑体" w:cs="Times New Roman"/>
          <w:b w:val="0"/>
          <w:bCs w:val="0"/>
          <w:color w:val="auto"/>
          <w:kern w:val="2"/>
          <w:sz w:val="44"/>
          <w:szCs w:val="44"/>
          <w:lang w:val="en-US" w:eastAsia="zh-CN" w:bidi="ar-SA"/>
        </w:rPr>
      </w:pPr>
      <w:bookmarkStart w:id="11" w:name="_Toc82421273"/>
      <w:bookmarkStart w:id="12" w:name="_Toc82421166"/>
      <w:bookmarkStart w:id="13" w:name="_Toc10028"/>
      <w:r>
        <w:rPr>
          <w:rFonts w:hint="eastAsia" w:ascii="黑体" w:hAnsi="黑体" w:eastAsia="黑体" w:cs="Times New Roman"/>
          <w:b w:val="0"/>
          <w:bCs w:val="0"/>
          <w:color w:val="auto"/>
          <w:kern w:val="2"/>
          <w:sz w:val="44"/>
          <w:szCs w:val="44"/>
          <w:lang w:val="en-US" w:eastAsia="zh-CN" w:bidi="ar-SA"/>
        </w:rPr>
        <w:br w:type="page"/>
      </w:r>
    </w:p>
    <w:p w14:paraId="00084F08">
      <w:pPr>
        <w:pStyle w:val="6"/>
        <w:spacing w:before="231" w:beforeLines="50" w:after="231" w:afterLines="50"/>
        <w:rPr>
          <w:rFonts w:hint="eastAsia" w:ascii="方正小标宋简体" w:hAnsi="方正小标宋简体" w:eastAsia="方正小标宋简体" w:cs="方正小标宋简体"/>
          <w:b w:val="0"/>
          <w:bCs/>
          <w:kern w:val="2"/>
          <w:sz w:val="32"/>
          <w:szCs w:val="32"/>
          <w:u w:val="none"/>
          <w:lang w:val="en-US" w:eastAsia="zh-CN" w:bidi="ar-SA"/>
        </w:rPr>
      </w:pPr>
      <w:r>
        <w:rPr>
          <w:rFonts w:hint="eastAsia" w:ascii="方正小标宋简体" w:hAnsi="方正小标宋简体" w:eastAsia="方正小标宋简体" w:cs="方正小标宋简体"/>
          <w:b w:val="0"/>
          <w:bCs/>
          <w:kern w:val="2"/>
          <w:sz w:val="32"/>
          <w:szCs w:val="32"/>
          <w:u w:val="none"/>
          <w:lang w:val="en-US" w:eastAsia="zh-CN" w:bidi="ar-SA"/>
        </w:rPr>
        <w:t>第二章  招标项目需求</w:t>
      </w:r>
      <w:bookmarkEnd w:id="11"/>
      <w:bookmarkEnd w:id="12"/>
      <w:bookmarkEnd w:id="13"/>
    </w:p>
    <w:p w14:paraId="0F765E95">
      <w:pPr>
        <w:pStyle w:val="6"/>
        <w:keepNext/>
        <w:keepLines/>
        <w:pageBreakBefore w:val="0"/>
        <w:widowControl w:val="0"/>
        <w:kinsoku/>
        <w:wordWrap/>
        <w:overflowPunct/>
        <w:topLinePunct w:val="0"/>
        <w:autoSpaceDE/>
        <w:autoSpaceDN/>
        <w:bidi w:val="0"/>
        <w:adjustRightInd w:val="0"/>
        <w:snapToGrid/>
        <w:spacing w:before="157" w:beforeLines="50" w:after="0" w:line="500" w:lineRule="exact"/>
        <w:ind w:firstLine="560" w:firstLineChars="200"/>
        <w:jc w:val="left"/>
        <w:textAlignment w:val="baseline"/>
        <w:rPr>
          <w:rFonts w:hint="eastAsia" w:ascii="黑体" w:hAnsi="黑体" w:eastAsia="黑体" w:cs="Times New Roman"/>
          <w:b w:val="0"/>
          <w:bCs/>
          <w:kern w:val="2"/>
          <w:sz w:val="28"/>
          <w:szCs w:val="28"/>
          <w:lang w:val="en-US" w:eastAsia="zh-CN" w:bidi="ar-SA"/>
        </w:rPr>
      </w:pPr>
      <w:bookmarkStart w:id="14" w:name="_Toc128884461"/>
      <w:bookmarkStart w:id="15" w:name="_Toc21442"/>
      <w:bookmarkStart w:id="16" w:name="_Toc82421168"/>
      <w:bookmarkStart w:id="17" w:name="_Toc82421275"/>
      <w:r>
        <w:rPr>
          <w:rFonts w:hint="eastAsia" w:ascii="黑体" w:hAnsi="黑体" w:eastAsia="黑体" w:cs="Times New Roman"/>
          <w:b w:val="0"/>
          <w:bCs/>
          <w:kern w:val="2"/>
          <w:sz w:val="28"/>
          <w:szCs w:val="28"/>
          <w:lang w:val="en-US" w:eastAsia="zh-CN" w:bidi="ar-SA"/>
        </w:rPr>
        <w:t>一、项目概况</w:t>
      </w:r>
      <w:bookmarkEnd w:id="14"/>
      <w:bookmarkEnd w:id="15"/>
      <w:bookmarkEnd w:id="16"/>
      <w:bookmarkEnd w:id="17"/>
    </w:p>
    <w:p w14:paraId="10BF2018">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1.项目概况：拟对</w:t>
      </w:r>
      <w:r>
        <w:rPr>
          <w:rFonts w:hint="eastAsia" w:ascii="仿宋_GB2312" w:hAnsi="仿宋_GB2312" w:eastAsia="仿宋_GB2312" w:cs="仿宋_GB2312"/>
          <w:sz w:val="28"/>
          <w:szCs w:val="28"/>
          <w:lang w:val="zh-CN" w:eastAsia="zh-CN"/>
        </w:rPr>
        <w:t>中英街回归广场地下停车场东、西人行出入口建设玻璃雨棚工程</w:t>
      </w:r>
      <w:r>
        <w:rPr>
          <w:rFonts w:hint="eastAsia" w:ascii="仿宋_GB2312" w:hAnsi="仿宋_GB2312" w:eastAsia="仿宋_GB2312" w:cs="仿宋_GB2312"/>
          <w:sz w:val="28"/>
          <w:szCs w:val="28"/>
          <w:lang w:val="en-US" w:eastAsia="zh-CN"/>
        </w:rPr>
        <w:t>。</w:t>
      </w:r>
    </w:p>
    <w:p w14:paraId="78B235F0">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2.采购人：深圳市盐田区中英街管理局</w:t>
      </w:r>
    </w:p>
    <w:p w14:paraId="06068782">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3.工期要求：总工期为40天（日历日）以内，具体开工时间以采购方通知为准。</w:t>
      </w:r>
    </w:p>
    <w:p w14:paraId="22796AE3">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4.预算金额：本项目最高限价：人民币187492.54</w:t>
      </w:r>
      <w:r>
        <w:rPr>
          <w:rFonts w:hint="eastAsia" w:ascii="仿宋_GB2312" w:hAnsi="仿宋_GB2312" w:eastAsia="仿宋_GB2312" w:cs="仿宋_GB2312"/>
          <w:sz w:val="28"/>
          <w:szCs w:val="28"/>
          <w:highlight w:val="none"/>
          <w:lang w:val="en-US" w:eastAsia="zh-CN"/>
        </w:rPr>
        <w:t>元</w:t>
      </w:r>
      <w:r>
        <w:rPr>
          <w:rFonts w:hint="eastAsia" w:ascii="仿宋_GB2312" w:hAnsi="仿宋_GB2312" w:eastAsia="仿宋_GB2312" w:cs="仿宋_GB2312"/>
          <w:sz w:val="28"/>
          <w:szCs w:val="28"/>
          <w:lang w:val="en-US" w:eastAsia="zh-CN"/>
        </w:rPr>
        <w:t>，投标总价超过项目最高限价的按无效投标处理。投标人报价应包含此部分费用且不可变动，不按此安全文明施工费填报的投标人按无效投标处理；招标清单中的增值税应纳税额税（费）率以9%计算，需严格按照此税（费）率计算单位工程费。不按此要求填报的投标人按无效投标处理。另外，最终合同价以中标金额除安全文明施工措施费以外执行5%的下浮率为准，最终结算数以造价单位结算审核造价为准。</w:t>
      </w:r>
      <w:bookmarkStart w:id="18" w:name="_Toc82421169"/>
      <w:bookmarkStart w:id="19" w:name="_Toc82421276"/>
      <w:bookmarkStart w:id="20" w:name="_Toc32025"/>
    </w:p>
    <w:p w14:paraId="7A9A5AD0">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5.合同方式：固定总价合同。</w:t>
      </w:r>
    </w:p>
    <w:p w14:paraId="18129B35">
      <w:pPr>
        <w:keepNext w:val="0"/>
        <w:keepLines w:val="0"/>
        <w:pageBreakBefore w:val="0"/>
        <w:widowControl w:val="0"/>
        <w:kinsoku/>
        <w:wordWrap/>
        <w:overflowPunct/>
        <w:topLinePunct w:val="0"/>
        <w:autoSpaceDE/>
        <w:autoSpaceDN/>
        <w:bidi w:val="0"/>
        <w:adjustRightInd/>
        <w:snapToGrid/>
        <w:spacing w:before="157" w:beforeLines="50" w:line="500" w:lineRule="exact"/>
        <w:ind w:firstLine="560" w:firstLineChars="200"/>
        <w:jc w:val="left"/>
        <w:textAlignment w:val="auto"/>
        <w:rPr>
          <w:rFonts w:hint="eastAsia" w:ascii="黑体" w:hAnsi="黑体" w:eastAsia="黑体" w:cs="Times New Roman"/>
          <w:bCs w:val="0"/>
          <w:kern w:val="2"/>
          <w:sz w:val="28"/>
          <w:szCs w:val="28"/>
          <w:lang w:val="en-US" w:eastAsia="zh-CN" w:bidi="ar-SA"/>
        </w:rPr>
      </w:pPr>
      <w:r>
        <w:rPr>
          <w:rFonts w:hint="eastAsia" w:ascii="黑体" w:hAnsi="黑体" w:eastAsia="黑体" w:cs="Times New Roman"/>
          <w:bCs w:val="0"/>
          <w:kern w:val="2"/>
          <w:sz w:val="28"/>
          <w:szCs w:val="28"/>
          <w:lang w:val="en-US" w:eastAsia="zh-CN" w:bidi="ar-SA"/>
        </w:rPr>
        <w:t>二、项目技术要求</w:t>
      </w:r>
      <w:bookmarkEnd w:id="18"/>
      <w:bookmarkEnd w:id="19"/>
      <w:bookmarkEnd w:id="20"/>
    </w:p>
    <w:p w14:paraId="1D8179F1">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（一）主要工作：</w:t>
      </w:r>
    </w:p>
    <w:p w14:paraId="181C3DF2">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在中英街回归广场地下停车场东、西人行出入口建设两个挡雨棚，尺寸分别为：</w:t>
      </w:r>
    </w:p>
    <w:p w14:paraId="1010A815">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1.西人行出入口挡雨棚一个，尺寸为宽3.45米、长6.4米、高2.5米；</w:t>
      </w:r>
    </w:p>
    <w:p w14:paraId="512979A1">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2.东人行出入口挡雨棚一个，尺寸为宽10.17米、长9.35米、高2.5米；</w:t>
      </w:r>
    </w:p>
    <w:p w14:paraId="410FEB28">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顶部及侧面采用双层8毫米钢化夹胶玻璃，钢结构骨架采用120×80×5毫米钢通，扶手采用80×80×4毫米钢通。详见图纸及工程量清单。</w:t>
      </w:r>
    </w:p>
    <w:p w14:paraId="4B7087FF">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楷体" w:hAnsi="楷体" w:eastAsia="楷体" w:cs="楷体"/>
          <w:sz w:val="28"/>
          <w:szCs w:val="28"/>
          <w:highlight w:val="none"/>
          <w:lang w:val="en-US" w:eastAsia="zh-CN"/>
        </w:rPr>
      </w:pPr>
      <w:r>
        <w:rPr>
          <w:rFonts w:hint="eastAsia" w:ascii="楷体" w:hAnsi="楷体" w:eastAsia="楷体" w:cs="楷体"/>
          <w:sz w:val="28"/>
          <w:szCs w:val="28"/>
          <w:highlight w:val="none"/>
          <w:lang w:val="en-US" w:eastAsia="zh-CN"/>
        </w:rPr>
        <w:t>（二）工程主要材料清单如下：</w:t>
      </w:r>
    </w:p>
    <w:tbl>
      <w:tblPr>
        <w:tblStyle w:val="17"/>
        <w:tblW w:w="0" w:type="auto"/>
        <w:tblInd w:w="93" w:type="dxa"/>
        <w:tblLayout w:type="fixed"/>
        <w:tblCellMar>
          <w:top w:w="0" w:type="dxa"/>
          <w:left w:w="108" w:type="dxa"/>
          <w:bottom w:w="0" w:type="dxa"/>
          <w:right w:w="108" w:type="dxa"/>
        </w:tblCellMar>
      </w:tblPr>
      <w:tblGrid>
        <w:gridCol w:w="1252"/>
        <w:gridCol w:w="7587"/>
      </w:tblGrid>
      <w:tr w14:paraId="7C204D04">
        <w:tblPrEx>
          <w:tblCellMar>
            <w:top w:w="0" w:type="dxa"/>
            <w:left w:w="108" w:type="dxa"/>
            <w:bottom w:w="0" w:type="dxa"/>
            <w:right w:w="108" w:type="dxa"/>
          </w:tblCellMar>
        </w:tblPrEx>
        <w:trPr>
          <w:trHeight w:val="442" w:hRule="atLeast"/>
        </w:trPr>
        <w:tc>
          <w:tcPr>
            <w:tcW w:w="1252" w:type="dxa"/>
            <w:tcBorders>
              <w:top w:val="single" w:color="auto" w:sz="8" w:space="0"/>
              <w:left w:val="single" w:color="auto" w:sz="8" w:space="0"/>
              <w:bottom w:val="single" w:color="auto" w:sz="4" w:space="0"/>
              <w:right w:val="single" w:color="auto" w:sz="4" w:space="0"/>
            </w:tcBorders>
            <w:noWrap w:val="0"/>
            <w:vAlign w:val="center"/>
          </w:tcPr>
          <w:p w14:paraId="6048FBC9">
            <w:pPr>
              <w:widowControl/>
              <w:jc w:val="center"/>
              <w:rPr>
                <w:b/>
                <w:bCs/>
                <w:kern w:val="0"/>
                <w:szCs w:val="21"/>
              </w:rPr>
            </w:pPr>
            <w:r>
              <w:rPr>
                <w:b/>
                <w:bCs/>
                <w:kern w:val="0"/>
                <w:szCs w:val="21"/>
              </w:rPr>
              <w:t>序号</w:t>
            </w:r>
          </w:p>
        </w:tc>
        <w:tc>
          <w:tcPr>
            <w:tcW w:w="7587" w:type="dxa"/>
            <w:tcBorders>
              <w:top w:val="single" w:color="auto" w:sz="8" w:space="0"/>
              <w:left w:val="nil"/>
              <w:bottom w:val="single" w:color="auto" w:sz="4" w:space="0"/>
              <w:right w:val="single" w:color="auto" w:sz="4" w:space="0"/>
            </w:tcBorders>
            <w:noWrap w:val="0"/>
            <w:vAlign w:val="center"/>
          </w:tcPr>
          <w:p w14:paraId="09C6EA98">
            <w:pPr>
              <w:widowControl/>
              <w:jc w:val="center"/>
              <w:rPr>
                <w:b/>
                <w:bCs/>
                <w:kern w:val="0"/>
                <w:szCs w:val="21"/>
              </w:rPr>
            </w:pPr>
            <w:r>
              <w:rPr>
                <w:b/>
                <w:bCs/>
                <w:kern w:val="0"/>
                <w:szCs w:val="21"/>
              </w:rPr>
              <w:t>名称</w:t>
            </w:r>
          </w:p>
        </w:tc>
      </w:tr>
      <w:tr w14:paraId="2921C207">
        <w:tblPrEx>
          <w:tblCellMar>
            <w:top w:w="0" w:type="dxa"/>
            <w:left w:w="108" w:type="dxa"/>
            <w:bottom w:w="0" w:type="dxa"/>
            <w:right w:w="108" w:type="dxa"/>
          </w:tblCellMar>
        </w:tblPrEx>
        <w:trPr>
          <w:trHeight w:val="433" w:hRule="atLeast"/>
        </w:trPr>
        <w:tc>
          <w:tcPr>
            <w:tcW w:w="1252" w:type="dxa"/>
            <w:tcBorders>
              <w:top w:val="nil"/>
              <w:left w:val="single" w:color="auto" w:sz="8" w:space="0"/>
              <w:bottom w:val="single" w:color="auto" w:sz="4" w:space="0"/>
              <w:right w:val="single" w:color="auto" w:sz="4" w:space="0"/>
            </w:tcBorders>
            <w:noWrap w:val="0"/>
            <w:vAlign w:val="top"/>
          </w:tcPr>
          <w:p w14:paraId="60A8CBC9">
            <w:pPr>
              <w:autoSpaceDE w:val="0"/>
              <w:autoSpaceDN w:val="0"/>
              <w:jc w:val="center"/>
              <w:rPr>
                <w:szCs w:val="21"/>
              </w:rPr>
            </w:pPr>
            <w:r>
              <w:rPr>
                <w:szCs w:val="21"/>
              </w:rPr>
              <w:t>1</w:t>
            </w:r>
          </w:p>
        </w:tc>
        <w:tc>
          <w:tcPr>
            <w:tcW w:w="7587" w:type="dxa"/>
            <w:tcBorders>
              <w:top w:val="nil"/>
              <w:left w:val="nil"/>
              <w:bottom w:val="single" w:color="auto" w:sz="4" w:space="0"/>
              <w:right w:val="single" w:color="auto" w:sz="4" w:space="0"/>
            </w:tcBorders>
            <w:noWrap w:val="0"/>
            <w:vAlign w:val="center"/>
          </w:tcPr>
          <w:p w14:paraId="435F9977">
            <w:pPr>
              <w:autoSpaceDE w:val="0"/>
              <w:autoSpaceDN w:val="0"/>
              <w:jc w:val="center"/>
              <w:rPr>
                <w:rFonts w:hint="eastAsia" w:eastAsia="宋体"/>
                <w:szCs w:val="21"/>
                <w:lang w:eastAsia="zh-CN"/>
              </w:rPr>
            </w:pPr>
            <w:r>
              <w:rPr>
                <w:rFonts w:hint="eastAsia"/>
                <w:szCs w:val="21"/>
                <w:lang w:eastAsia="zh-CN"/>
              </w:rPr>
              <w:t>钢结构</w:t>
            </w:r>
          </w:p>
        </w:tc>
      </w:tr>
      <w:tr w14:paraId="5A5A2601">
        <w:tblPrEx>
          <w:tblCellMar>
            <w:top w:w="0" w:type="dxa"/>
            <w:left w:w="108" w:type="dxa"/>
            <w:bottom w:w="0" w:type="dxa"/>
            <w:right w:w="108" w:type="dxa"/>
          </w:tblCellMar>
        </w:tblPrEx>
        <w:trPr>
          <w:trHeight w:val="433" w:hRule="atLeast"/>
        </w:trPr>
        <w:tc>
          <w:tcPr>
            <w:tcW w:w="1252" w:type="dxa"/>
            <w:tcBorders>
              <w:top w:val="single" w:color="auto" w:sz="4" w:space="0"/>
              <w:left w:val="single" w:color="auto" w:sz="8" w:space="0"/>
              <w:bottom w:val="single" w:color="auto" w:sz="4" w:space="0"/>
              <w:right w:val="single" w:color="auto" w:sz="4" w:space="0"/>
            </w:tcBorders>
            <w:noWrap w:val="0"/>
            <w:vAlign w:val="top"/>
          </w:tcPr>
          <w:p w14:paraId="17B52C44">
            <w:pPr>
              <w:autoSpaceDE w:val="0"/>
              <w:autoSpaceDN w:val="0"/>
              <w:jc w:val="center"/>
              <w:rPr>
                <w:szCs w:val="21"/>
              </w:rPr>
            </w:pPr>
            <w:r>
              <w:rPr>
                <w:szCs w:val="21"/>
              </w:rPr>
              <w:t>2</w:t>
            </w:r>
          </w:p>
        </w:tc>
        <w:tc>
          <w:tcPr>
            <w:tcW w:w="7587" w:type="dxa"/>
            <w:tcBorders>
              <w:top w:val="single" w:color="auto" w:sz="4" w:space="0"/>
              <w:left w:val="nil"/>
              <w:bottom w:val="single" w:color="auto" w:sz="4" w:space="0"/>
              <w:right w:val="single" w:color="auto" w:sz="4" w:space="0"/>
            </w:tcBorders>
            <w:noWrap w:val="0"/>
            <w:vAlign w:val="center"/>
          </w:tcPr>
          <w:p w14:paraId="54EFB890">
            <w:pPr>
              <w:autoSpaceDE w:val="0"/>
              <w:autoSpaceDN w:val="0"/>
              <w:jc w:val="center"/>
              <w:rPr>
                <w:rFonts w:hint="eastAsia" w:eastAsia="宋体"/>
                <w:szCs w:val="21"/>
                <w:lang w:eastAsia="zh-CN"/>
              </w:rPr>
            </w:pPr>
            <w:r>
              <w:rPr>
                <w:rFonts w:hint="eastAsia"/>
                <w:szCs w:val="21"/>
                <w:lang w:eastAsia="zh-CN"/>
              </w:rPr>
              <w:t>钢构件</w:t>
            </w:r>
          </w:p>
        </w:tc>
      </w:tr>
      <w:tr w14:paraId="2F0A23DE">
        <w:tblPrEx>
          <w:tblCellMar>
            <w:top w:w="0" w:type="dxa"/>
            <w:left w:w="108" w:type="dxa"/>
            <w:bottom w:w="0" w:type="dxa"/>
            <w:right w:w="108" w:type="dxa"/>
          </w:tblCellMar>
        </w:tblPrEx>
        <w:trPr>
          <w:trHeight w:val="433" w:hRule="atLeast"/>
        </w:trPr>
        <w:tc>
          <w:tcPr>
            <w:tcW w:w="1252" w:type="dxa"/>
            <w:tcBorders>
              <w:top w:val="single" w:color="auto" w:sz="4" w:space="0"/>
              <w:left w:val="single" w:color="auto" w:sz="4" w:space="0"/>
              <w:bottom w:val="single" w:color="auto" w:sz="4" w:space="0"/>
              <w:right w:val="single" w:color="auto" w:sz="4" w:space="0"/>
            </w:tcBorders>
            <w:noWrap w:val="0"/>
            <w:vAlign w:val="top"/>
          </w:tcPr>
          <w:p w14:paraId="5FF8DEE5">
            <w:pPr>
              <w:autoSpaceDE w:val="0"/>
              <w:autoSpaceDN w:val="0"/>
              <w:jc w:val="center"/>
              <w:rPr>
                <w:szCs w:val="21"/>
              </w:rPr>
            </w:pPr>
            <w:r>
              <w:rPr>
                <w:szCs w:val="21"/>
              </w:rPr>
              <w:t>3</w:t>
            </w:r>
          </w:p>
        </w:tc>
        <w:tc>
          <w:tcPr>
            <w:tcW w:w="7587" w:type="dxa"/>
            <w:tcBorders>
              <w:top w:val="single" w:color="auto" w:sz="4" w:space="0"/>
              <w:left w:val="single" w:color="auto" w:sz="4" w:space="0"/>
              <w:bottom w:val="single" w:color="auto" w:sz="4" w:space="0"/>
              <w:right w:val="single" w:color="auto" w:sz="4" w:space="0"/>
            </w:tcBorders>
            <w:noWrap w:val="0"/>
            <w:vAlign w:val="center"/>
          </w:tcPr>
          <w:p w14:paraId="608F30D6">
            <w:pPr>
              <w:autoSpaceDE w:val="0"/>
              <w:autoSpaceDN w:val="0"/>
              <w:jc w:val="center"/>
              <w:rPr>
                <w:rFonts w:hint="eastAsia" w:eastAsia="宋体"/>
                <w:szCs w:val="21"/>
                <w:lang w:eastAsia="zh-CN"/>
              </w:rPr>
            </w:pPr>
            <w:r>
              <w:rPr>
                <w:rFonts w:hint="eastAsia"/>
                <w:szCs w:val="21"/>
                <w:lang w:eastAsia="zh-CN"/>
              </w:rPr>
              <w:t>玻璃雨棚</w:t>
            </w:r>
          </w:p>
        </w:tc>
      </w:tr>
      <w:tr w14:paraId="1F4BF07B">
        <w:tblPrEx>
          <w:tblCellMar>
            <w:top w:w="0" w:type="dxa"/>
            <w:left w:w="108" w:type="dxa"/>
            <w:bottom w:w="0" w:type="dxa"/>
            <w:right w:w="108" w:type="dxa"/>
          </w:tblCellMar>
        </w:tblPrEx>
        <w:trPr>
          <w:trHeight w:val="433" w:hRule="atLeast"/>
        </w:trPr>
        <w:tc>
          <w:tcPr>
            <w:tcW w:w="1252" w:type="dxa"/>
            <w:tcBorders>
              <w:top w:val="single" w:color="auto" w:sz="4" w:space="0"/>
              <w:left w:val="single" w:color="auto" w:sz="4" w:space="0"/>
              <w:bottom w:val="single" w:color="auto" w:sz="4" w:space="0"/>
              <w:right w:val="single" w:color="auto" w:sz="4" w:space="0"/>
            </w:tcBorders>
            <w:noWrap w:val="0"/>
            <w:vAlign w:val="top"/>
          </w:tcPr>
          <w:p w14:paraId="0C831D24">
            <w:pPr>
              <w:autoSpaceDE w:val="0"/>
              <w:autoSpaceDN w:val="0"/>
              <w:jc w:val="center"/>
              <w:rPr>
                <w:rFonts w:ascii="Calibri" w:hAnsi="Calibri" w:eastAsia="宋体" w:cs="Times New Roman"/>
                <w:kern w:val="2"/>
                <w:sz w:val="21"/>
                <w:szCs w:val="21"/>
                <w:lang w:val="en-US" w:eastAsia="zh-CN" w:bidi="ar-SA"/>
              </w:rPr>
            </w:pPr>
            <w:r>
              <w:rPr>
                <w:szCs w:val="21"/>
              </w:rPr>
              <w:t>4</w:t>
            </w:r>
          </w:p>
        </w:tc>
        <w:tc>
          <w:tcPr>
            <w:tcW w:w="7587" w:type="dxa"/>
            <w:tcBorders>
              <w:top w:val="single" w:color="auto" w:sz="4" w:space="0"/>
              <w:left w:val="single" w:color="auto" w:sz="4" w:space="0"/>
              <w:bottom w:val="single" w:color="auto" w:sz="4" w:space="0"/>
              <w:right w:val="single" w:color="auto" w:sz="4" w:space="0"/>
            </w:tcBorders>
            <w:noWrap w:val="0"/>
            <w:vAlign w:val="center"/>
          </w:tcPr>
          <w:p w14:paraId="4601E718">
            <w:pPr>
              <w:autoSpaceDE w:val="0"/>
              <w:autoSpaceDN w:val="0"/>
              <w:jc w:val="center"/>
              <w:rPr>
                <w:rFonts w:hint="eastAsia"/>
                <w:szCs w:val="21"/>
              </w:rPr>
            </w:pPr>
            <w:r>
              <w:rPr>
                <w:rFonts w:hint="eastAsia"/>
                <w:szCs w:val="21"/>
                <w:lang w:eastAsia="zh-CN"/>
              </w:rPr>
              <w:t>玻璃隔断</w:t>
            </w:r>
          </w:p>
        </w:tc>
      </w:tr>
      <w:tr w14:paraId="15011E89">
        <w:tblPrEx>
          <w:tblCellMar>
            <w:top w:w="0" w:type="dxa"/>
            <w:left w:w="108" w:type="dxa"/>
            <w:bottom w:w="0" w:type="dxa"/>
            <w:right w:w="108" w:type="dxa"/>
          </w:tblCellMar>
        </w:tblPrEx>
        <w:trPr>
          <w:trHeight w:val="433" w:hRule="atLeast"/>
        </w:trPr>
        <w:tc>
          <w:tcPr>
            <w:tcW w:w="1252" w:type="dxa"/>
            <w:tcBorders>
              <w:top w:val="single" w:color="auto" w:sz="4" w:space="0"/>
              <w:left w:val="single" w:color="auto" w:sz="4" w:space="0"/>
              <w:bottom w:val="single" w:color="auto" w:sz="4" w:space="0"/>
              <w:right w:val="single" w:color="auto" w:sz="4" w:space="0"/>
            </w:tcBorders>
            <w:noWrap w:val="0"/>
            <w:vAlign w:val="top"/>
          </w:tcPr>
          <w:p w14:paraId="37C00636">
            <w:pPr>
              <w:autoSpaceDE w:val="0"/>
              <w:autoSpaceDN w:val="0"/>
              <w:jc w:val="center"/>
              <w:rPr>
                <w:rFonts w:ascii="Calibri" w:hAnsi="Calibri" w:eastAsia="宋体" w:cs="Times New Roman"/>
                <w:kern w:val="2"/>
                <w:sz w:val="21"/>
                <w:szCs w:val="21"/>
                <w:lang w:val="en-US" w:eastAsia="zh-CN" w:bidi="ar-SA"/>
              </w:rPr>
            </w:pPr>
            <w:r>
              <w:rPr>
                <w:szCs w:val="21"/>
              </w:rPr>
              <w:t>5</w:t>
            </w:r>
          </w:p>
        </w:tc>
        <w:tc>
          <w:tcPr>
            <w:tcW w:w="7587" w:type="dxa"/>
            <w:tcBorders>
              <w:top w:val="single" w:color="auto" w:sz="4" w:space="0"/>
              <w:left w:val="single" w:color="auto" w:sz="4" w:space="0"/>
              <w:bottom w:val="single" w:color="auto" w:sz="4" w:space="0"/>
              <w:right w:val="single" w:color="auto" w:sz="4" w:space="0"/>
            </w:tcBorders>
            <w:noWrap w:val="0"/>
            <w:vAlign w:val="center"/>
          </w:tcPr>
          <w:p w14:paraId="380ED8C7">
            <w:pPr>
              <w:autoSpaceDE w:val="0"/>
              <w:autoSpaceDN w:val="0"/>
              <w:jc w:val="center"/>
              <w:rPr>
                <w:rFonts w:hint="eastAsia" w:eastAsia="宋体"/>
                <w:szCs w:val="21"/>
                <w:lang w:eastAsia="zh-CN"/>
              </w:rPr>
            </w:pPr>
            <w:r>
              <w:rPr>
                <w:rFonts w:hint="eastAsia"/>
                <w:szCs w:val="21"/>
                <w:lang w:eastAsia="zh-CN"/>
              </w:rPr>
              <w:t>油漆</w:t>
            </w:r>
          </w:p>
        </w:tc>
      </w:tr>
      <w:tr w14:paraId="2379F02E">
        <w:tblPrEx>
          <w:tblCellMar>
            <w:top w:w="0" w:type="dxa"/>
            <w:left w:w="108" w:type="dxa"/>
            <w:bottom w:w="0" w:type="dxa"/>
            <w:right w:w="108" w:type="dxa"/>
          </w:tblCellMar>
        </w:tblPrEx>
        <w:trPr>
          <w:trHeight w:val="433" w:hRule="atLeast"/>
        </w:trPr>
        <w:tc>
          <w:tcPr>
            <w:tcW w:w="1252" w:type="dxa"/>
            <w:tcBorders>
              <w:top w:val="single" w:color="auto" w:sz="4" w:space="0"/>
              <w:left w:val="single" w:color="auto" w:sz="4" w:space="0"/>
              <w:bottom w:val="single" w:color="auto" w:sz="4" w:space="0"/>
              <w:right w:val="single" w:color="auto" w:sz="4" w:space="0"/>
            </w:tcBorders>
            <w:noWrap w:val="0"/>
            <w:vAlign w:val="top"/>
          </w:tcPr>
          <w:p w14:paraId="5384472B">
            <w:pPr>
              <w:autoSpaceDE w:val="0"/>
              <w:autoSpaceDN w:val="0"/>
              <w:jc w:val="center"/>
              <w:rPr>
                <w:rFonts w:ascii="Calibri" w:hAnsi="Calibri" w:eastAsia="宋体" w:cs="Times New Roman"/>
                <w:kern w:val="2"/>
                <w:sz w:val="21"/>
                <w:szCs w:val="21"/>
                <w:lang w:val="en-US" w:eastAsia="zh-CN" w:bidi="ar-SA"/>
              </w:rPr>
            </w:pPr>
            <w:r>
              <w:rPr>
                <w:rFonts w:hint="eastAsia"/>
                <w:szCs w:val="21"/>
              </w:rPr>
              <w:t>6</w:t>
            </w:r>
          </w:p>
        </w:tc>
        <w:tc>
          <w:tcPr>
            <w:tcW w:w="7587" w:type="dxa"/>
            <w:tcBorders>
              <w:top w:val="single" w:color="auto" w:sz="4" w:space="0"/>
              <w:left w:val="single" w:color="auto" w:sz="4" w:space="0"/>
              <w:bottom w:val="single" w:color="auto" w:sz="4" w:space="0"/>
              <w:right w:val="single" w:color="auto" w:sz="4" w:space="0"/>
            </w:tcBorders>
            <w:noWrap w:val="0"/>
            <w:vAlign w:val="center"/>
          </w:tcPr>
          <w:p w14:paraId="38F49D74">
            <w:pPr>
              <w:autoSpaceDE w:val="0"/>
              <w:autoSpaceDN w:val="0"/>
              <w:jc w:val="center"/>
              <w:rPr>
                <w:rFonts w:hint="eastAsia" w:eastAsia="宋体"/>
                <w:szCs w:val="21"/>
                <w:lang w:val="en-US" w:eastAsia="zh-CN"/>
              </w:rPr>
            </w:pPr>
            <w:r>
              <w:rPr>
                <w:rFonts w:hint="eastAsia"/>
                <w:szCs w:val="21"/>
                <w:lang w:eastAsia="zh-CN"/>
              </w:rPr>
              <w:t>混凝土</w:t>
            </w:r>
          </w:p>
        </w:tc>
      </w:tr>
    </w:tbl>
    <w:p w14:paraId="200E9C50">
      <w:pPr>
        <w:pStyle w:val="11"/>
        <w:keepNext w:val="0"/>
        <w:keepLines w:val="0"/>
        <w:pageBreakBefore w:val="0"/>
        <w:widowControl w:val="0"/>
        <w:numPr>
          <w:ilvl w:val="0"/>
          <w:numId w:val="0"/>
        </w:numPr>
        <w:tabs>
          <w:tab w:val="left" w:pos="540"/>
        </w:tabs>
        <w:kinsoku/>
        <w:wordWrap/>
        <w:overflowPunct/>
        <w:topLinePunct w:val="0"/>
        <w:autoSpaceDE/>
        <w:autoSpaceDN/>
        <w:bidi w:val="0"/>
        <w:spacing w:line="500" w:lineRule="exact"/>
        <w:ind w:firstLine="560" w:firstLineChars="200"/>
        <w:jc w:val="left"/>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（三）人员要求</w:t>
      </w:r>
    </w:p>
    <w:p w14:paraId="3BE0510F">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投标人应自行核查项目经理未同时担任其他工程项目施工项目负责人，如果中标时其负责的工程项目不满足《注册建造师执业管理办法》(建市(2008)48号)第九条的例外情形的，中标人须在中标后3个工作日内主动提交更换项目经理的资料供采购人审核。更换的项目负责人条件须不低于原投标文件中拟派的项目负责人，如无法按时提交更换项目经理的资料给采购人，视为中标人自动放弃中标资格。</w:t>
      </w:r>
    </w:p>
    <w:p w14:paraId="7B4C0406">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本项目拟投入的项目经理须具备二级或以上建造师执业资格（建筑工程专业）和持有项目负责人安全生产考核合格证(B类)（或建筑施工企业项目负责人安全生产考核合格证书）。</w:t>
      </w:r>
      <w:r>
        <w:rPr>
          <w:rFonts w:hint="eastAsia" w:ascii="仿宋_GB2312" w:hAnsi="仿宋_GB2312" w:eastAsia="仿宋_GB2312" w:cs="仿宋_GB2312"/>
          <w:color w:val="FF0000"/>
          <w:kern w:val="2"/>
          <w:sz w:val="28"/>
          <w:szCs w:val="28"/>
          <w:highlight w:val="none"/>
          <w:lang w:val="en-US" w:eastAsia="zh-CN" w:bidi="ar-SA"/>
        </w:rPr>
        <w:t>（提供有效的证书扫描件，中标后原件备查）</w:t>
      </w:r>
    </w:p>
    <w:p w14:paraId="3B13F370">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中标人应指派满足本采购文件要求、满足项目工作需求的合格的施工人员进场工作，同时指派经验丰富的专业人员协调解决与施工有关问题。</w:t>
      </w:r>
    </w:p>
    <w:p w14:paraId="153ED308">
      <w:pPr>
        <w:pStyle w:val="11"/>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before="157" w:beforeLines="50" w:line="500" w:lineRule="exact"/>
        <w:ind w:firstLine="560" w:firstLineChars="200"/>
        <w:jc w:val="left"/>
        <w:textAlignment w:val="auto"/>
        <w:rPr>
          <w:rFonts w:hint="eastAsia" w:ascii="黑体" w:hAnsi="黑体" w:eastAsia="黑体" w:cs="Times New Roman"/>
          <w:bCs w:val="0"/>
          <w:kern w:val="2"/>
          <w:sz w:val="28"/>
          <w:szCs w:val="28"/>
          <w:lang w:val="en-US" w:eastAsia="zh-CN" w:bidi="ar-SA"/>
        </w:rPr>
      </w:pPr>
      <w:bookmarkStart w:id="21" w:name="_Toc82421170"/>
      <w:bookmarkStart w:id="22" w:name="_Toc82421277"/>
      <w:bookmarkStart w:id="23" w:name="_Toc22949"/>
      <w:r>
        <w:rPr>
          <w:rFonts w:hint="eastAsia" w:ascii="黑体" w:hAnsi="黑体" w:eastAsia="黑体" w:cs="Times New Roman"/>
          <w:bCs w:val="0"/>
          <w:kern w:val="2"/>
          <w:sz w:val="28"/>
          <w:szCs w:val="28"/>
          <w:lang w:val="en-US" w:eastAsia="zh-CN" w:bidi="ar-SA"/>
        </w:rPr>
        <w:t>四、项目商务要求</w:t>
      </w:r>
      <w:bookmarkEnd w:id="21"/>
      <w:bookmarkEnd w:id="22"/>
      <w:bookmarkEnd w:id="23"/>
    </w:p>
    <w:p w14:paraId="148AB828">
      <w:pPr>
        <w:pStyle w:val="2"/>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（一）付款方式</w:t>
      </w:r>
    </w:p>
    <w:p w14:paraId="73C2993F">
      <w:pPr>
        <w:pStyle w:val="2"/>
        <w:keepNext w:val="0"/>
        <w:keepLines w:val="0"/>
        <w:pageBreakBefore w:val="0"/>
        <w:widowControl w:val="0"/>
        <w:kinsoku/>
        <w:wordWrap/>
        <w:overflowPunct/>
        <w:topLinePunct w:val="0"/>
        <w:autoSpaceDE/>
        <w:autoSpaceDN/>
        <w:bidi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1.付款原则</w:t>
      </w:r>
      <w:r>
        <w:rPr>
          <w:rFonts w:hint="eastAsia" w:ascii="仿宋_GB2312" w:hAnsi="仿宋_GB2312" w:eastAsia="仿宋_GB2312" w:cs="仿宋_GB2312"/>
          <w:kern w:val="2"/>
          <w:sz w:val="28"/>
          <w:szCs w:val="28"/>
          <w:highlight w:val="none"/>
          <w:lang w:val="en-US" w:eastAsia="zh-CN" w:bidi="ar-SA"/>
        </w:rPr>
        <w:t>：待验收合格、结算审核完毕并收到等额发票后，甲方于15个工作日内启动付款审批并一次性付清。</w:t>
      </w:r>
    </w:p>
    <w:p w14:paraId="3B6DF363">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本工程不支付预付款，结算审核完毕后，经甲方验收合格，并收到合法有效的等额发票后15天工作日内由甲方提出付款审批，费用支付方式为一次付清，具体支付程序和时间按照盐田区政府财务管理办法规定办理。甲方履行付款审批手续即视为付款，因行政审批、财政付款或财政政策等原因导致延迟付款的，不视为甲方违约。</w:t>
      </w:r>
    </w:p>
    <w:p w14:paraId="68316DA0">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3.中标人应当自行保证收款信息的真实性、准确性和合法有效性，如有违反导致中标人无法收到采购人支付款项的，采购人不承担任何责任，由中标人自行承担。</w:t>
      </w:r>
    </w:p>
    <w:p w14:paraId="2950A854">
      <w:pPr>
        <w:pStyle w:val="2"/>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（二）质量考核验收标准及违约金</w:t>
      </w:r>
    </w:p>
    <w:p w14:paraId="1F136534">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本工程质量应达到国家质量评定合格标准：《建筑装饰装修工程质量验收标准》(GB50210-2018)、《建筑工程施工质量验收统一标准》(GB50300-2013)等国家制定的现行有效施工及验收规范作为本工程质量评定验收标准（如规范、标准更新，则以最新版本为准）；同时也应该达到深圳市相关工程质量验收标准。当国家和深圳市的验收标准不一致时，以较严的标准为准。施工前主要材料、设备、施工样板必须经采购人、监理人及设计单位确认后才能施工</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kern w:val="2"/>
          <w:sz w:val="28"/>
          <w:szCs w:val="28"/>
          <w:lang w:val="en-US" w:eastAsia="zh-CN" w:bidi="ar-SA"/>
        </w:rPr>
        <w:t>否则相关损失和责任由中标人自行承担。</w:t>
      </w:r>
    </w:p>
    <w:p w14:paraId="3233A38A">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2.工程具备隐蔽条件或中间验收时，中标人须于正式隐蔽或中间验收前48小时以书面形式通知采购人</w:t>
      </w:r>
      <w:r>
        <w:commentReference w:id="0"/>
      </w:r>
      <w:r>
        <w:rPr>
          <w:rFonts w:hint="eastAsia" w:ascii="仿宋_GB2312" w:hAnsi="仿宋_GB2312" w:eastAsia="仿宋_GB2312" w:cs="仿宋_GB2312"/>
          <w:kern w:val="2"/>
          <w:sz w:val="28"/>
          <w:szCs w:val="28"/>
          <w:lang w:val="en-US" w:eastAsia="zh-CN" w:bidi="ar-SA"/>
        </w:rPr>
        <w:t>验收，通知包括隐蔽和中间验收的内容、验收时间和地点。中标人进行验收记录，验收合格，采购人和监理在验收记录上签字后，中标人可进行隐蔽和继续施工；验收不合格，中标人在采购人限定的时间内修改后按照前述流程重新组织验收。由此造成的工期延误责任及使采购人遭受经济损失的均由中标人自行承担。</w:t>
      </w:r>
    </w:p>
    <w:p w14:paraId="27385A00">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3.由于中标人原因造成质量事故，其返工费用由中标人承担，工期不予顺延。同时，中标人还应赔偿因此给采购人造成的损失。</w:t>
      </w:r>
    </w:p>
    <w:p w14:paraId="726B03D0">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4.本工程具备竣工验收条件后</w:t>
      </w:r>
      <w:r>
        <w:rPr>
          <w:rFonts w:hint="eastAsia" w:ascii="仿宋_GB2312" w:hAnsi="仿宋_GB2312" w:eastAsia="仿宋_GB2312" w:cs="仿宋_GB2312"/>
          <w:b/>
          <w:bCs/>
          <w:kern w:val="2"/>
          <w:sz w:val="28"/>
          <w:szCs w:val="28"/>
          <w:u w:val="single"/>
          <w:lang w:val="en-US" w:eastAsia="zh-CN" w:bidi="ar-SA"/>
        </w:rPr>
        <w:t xml:space="preserve"> 7 </w:t>
      </w:r>
      <w:r>
        <w:rPr>
          <w:rFonts w:hint="eastAsia" w:ascii="仿宋_GB2312" w:hAnsi="仿宋_GB2312" w:eastAsia="仿宋_GB2312" w:cs="仿宋_GB2312"/>
          <w:b w:val="0"/>
          <w:bCs w:val="0"/>
          <w:kern w:val="2"/>
          <w:sz w:val="28"/>
          <w:szCs w:val="28"/>
          <w:u w:val="none"/>
          <w:lang w:val="en-US" w:eastAsia="zh-CN" w:bidi="ar-SA"/>
        </w:rPr>
        <w:t>天</w:t>
      </w:r>
      <w:r>
        <w:rPr>
          <w:rFonts w:hint="eastAsia" w:ascii="仿宋_GB2312" w:hAnsi="仿宋_GB2312" w:eastAsia="仿宋_GB2312" w:cs="仿宋_GB2312"/>
          <w:kern w:val="2"/>
          <w:sz w:val="28"/>
          <w:szCs w:val="28"/>
          <w:lang w:val="en-US" w:eastAsia="zh-CN" w:bidi="ar-SA"/>
        </w:rPr>
        <w:t>内，中标人应按国家住房和城乡建设部、广东省及深圳市的有关规定和采购人的要求编制工程竣工验收资料，向采购人委派的采购单位提供完整竣工验收资料</w:t>
      </w:r>
      <w:r>
        <w:rPr>
          <w:rFonts w:hint="eastAsia" w:ascii="仿宋_GB2312" w:hAnsi="仿宋_GB2312" w:eastAsia="仿宋_GB2312" w:cs="仿宋_GB2312"/>
          <w:b/>
          <w:bCs/>
          <w:kern w:val="2"/>
          <w:sz w:val="28"/>
          <w:szCs w:val="28"/>
          <w:u w:val="single"/>
          <w:lang w:val="en-US" w:eastAsia="zh-CN" w:bidi="ar-SA"/>
        </w:rPr>
        <w:t xml:space="preserve"> 3 </w:t>
      </w:r>
      <w:r>
        <w:rPr>
          <w:rFonts w:hint="eastAsia" w:ascii="仿宋_GB2312" w:hAnsi="仿宋_GB2312" w:eastAsia="仿宋_GB2312" w:cs="仿宋_GB2312"/>
          <w:kern w:val="2"/>
          <w:sz w:val="28"/>
          <w:szCs w:val="28"/>
          <w:lang w:val="en-US" w:eastAsia="zh-CN" w:bidi="ar-SA"/>
        </w:rPr>
        <w:t>套。采购单位收到竣工验收资料后，应在</w:t>
      </w:r>
      <w:r>
        <w:rPr>
          <w:rFonts w:hint="eastAsia" w:ascii="仿宋_GB2312" w:hAnsi="仿宋_GB2312" w:eastAsia="仿宋_GB2312" w:cs="仿宋_GB2312"/>
          <w:b/>
          <w:bCs/>
          <w:kern w:val="2"/>
          <w:sz w:val="28"/>
          <w:szCs w:val="28"/>
          <w:u w:val="single"/>
          <w:lang w:val="en-US" w:eastAsia="zh-CN" w:bidi="ar-SA"/>
        </w:rPr>
        <w:t xml:space="preserve"> 5 </w:t>
      </w:r>
      <w:r>
        <w:rPr>
          <w:rFonts w:hint="eastAsia" w:ascii="仿宋_GB2312" w:hAnsi="仿宋_GB2312" w:eastAsia="仿宋_GB2312" w:cs="仿宋_GB2312"/>
          <w:kern w:val="2"/>
          <w:sz w:val="28"/>
          <w:szCs w:val="28"/>
          <w:lang w:val="en-US" w:eastAsia="zh-CN" w:bidi="ar-SA"/>
        </w:rPr>
        <w:t>天内审核，若不符合要求，</w:t>
      </w:r>
      <w:r>
        <w:rPr>
          <w:rFonts w:hint="eastAsia" w:ascii="仿宋_GB2312" w:hAnsi="仿宋_GB2312" w:eastAsia="仿宋_GB2312" w:cs="仿宋_GB2312"/>
          <w:kern w:val="2"/>
          <w:sz w:val="28"/>
          <w:szCs w:val="28"/>
          <w:highlight w:val="none"/>
          <w:lang w:val="en-US" w:eastAsia="zh-CN" w:bidi="ar-SA"/>
        </w:rPr>
        <w:t>采购</w:t>
      </w:r>
      <w:commentRangeStart w:id="1"/>
      <w:r>
        <w:rPr>
          <w:rFonts w:hint="eastAsia" w:ascii="仿宋_GB2312" w:hAnsi="仿宋_GB2312" w:eastAsia="仿宋_GB2312" w:cs="仿宋_GB2312"/>
          <w:kern w:val="2"/>
          <w:sz w:val="28"/>
          <w:szCs w:val="28"/>
          <w:highlight w:val="none"/>
          <w:lang w:val="en-US" w:eastAsia="zh-CN" w:bidi="ar-SA"/>
        </w:rPr>
        <w:t>单位</w:t>
      </w:r>
      <w:commentRangeEnd w:id="1"/>
      <w:r>
        <w:commentReference w:id="1"/>
      </w:r>
      <w:r>
        <w:rPr>
          <w:rFonts w:hint="eastAsia" w:ascii="仿宋_GB2312" w:hAnsi="仿宋_GB2312" w:eastAsia="仿宋_GB2312" w:cs="仿宋_GB2312"/>
          <w:kern w:val="2"/>
          <w:sz w:val="28"/>
          <w:szCs w:val="28"/>
          <w:lang w:val="en-US" w:eastAsia="zh-CN" w:bidi="ar-SA"/>
        </w:rPr>
        <w:t>可提出修改意见。中标人按要求修改合格后报采购单位，采购单位在收到中标人的竣工验收报告后3天内应组织有关单位进行初步验收，并在5天内对工程质量予以认可或提出修改意见。中标人按要求修改，并承担由其自身原因造成的修改费用。竣工验收由采购人主持，并成立竣工验收小组组织竣工验收工作。编制竣工图、竣工资料的费用均已包含在本项目投标报价中。</w:t>
      </w:r>
    </w:p>
    <w:p w14:paraId="1772D421">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竣工验收资料包括全部工程的竣工图纸和施工原始记录、照片和相应的电子文件等资料，以及经确认的深化设计图纸和技术资料。各类分包工程的竣工资料均由中标人负责编制、指导、审阅、汇总、整理、归档，按照城建档案资料验收要求提供竣工资料并承担相关工作，协助采购人办理相关验收手续，包括但不限于组织和参加相关的会议、竣工资料的重新整理编制、提供服务等，费用均已包含在本项目投标报价中。</w:t>
      </w:r>
    </w:p>
    <w:p w14:paraId="07EB2B02">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6.工程竣工验收合格后，中标人应在</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b/>
          <w:bCs/>
          <w:kern w:val="2"/>
          <w:sz w:val="28"/>
          <w:szCs w:val="28"/>
          <w:u w:val="single"/>
          <w:lang w:val="en-US" w:eastAsia="zh-CN" w:bidi="ar-SA"/>
        </w:rPr>
        <w:t xml:space="preserve">3 </w:t>
      </w:r>
      <w:r>
        <w:rPr>
          <w:rFonts w:hint="eastAsia" w:ascii="仿宋_GB2312" w:hAnsi="仿宋_GB2312" w:eastAsia="仿宋_GB2312" w:cs="仿宋_GB2312"/>
          <w:kern w:val="2"/>
          <w:sz w:val="28"/>
          <w:szCs w:val="28"/>
          <w:lang w:val="en-US" w:eastAsia="zh-CN" w:bidi="ar-SA"/>
        </w:rPr>
        <w:t>天内进行场地的移交。中标人不按时向采购人移交本工程的，每延迟一天，中标人向采购人支付违约金5000元。</w:t>
      </w:r>
    </w:p>
    <w:p w14:paraId="2F41B567">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7.项目经理、工程有关管理人员与投标文件承诺不一致或未及时到位，采购人将按照下列方式对中标人收取违约金：</w:t>
      </w:r>
    </w:p>
    <w:p w14:paraId="205D4CE1">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中标人不得随意变更项目经理（除非有不可抗力的原因），如更换项目经理需取得采购人书面同意，未经采购人书面同意变更一次应向采购人支付违约金10000元人民币。同时采购人有权单方面终止合同，由此造成的违约责任由中标人承担。</w:t>
      </w:r>
    </w:p>
    <w:p w14:paraId="4F06D0BF">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（2）采购人对项目经理不满意，认为其无法胜任本工程的，有权要求中标人更换不称职的项目经理，中标人必须服从，并且必须在7天内更换符合资质及项目要求的项目经理。</w:t>
      </w:r>
    </w:p>
    <w:p w14:paraId="0A25D6C5">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8.在工程实施全过程中，若有工人前往中英街管理局讨薪、闹事等事件发生，每发生一次，中标人须向采购人支付违约金10000元。</w:t>
      </w:r>
    </w:p>
    <w:p w14:paraId="0E4FE957">
      <w:pPr>
        <w:pStyle w:val="24"/>
        <w:keepNext w:val="0"/>
        <w:keepLines w:val="0"/>
        <w:pageBreakBefore w:val="0"/>
        <w:widowControl w:val="0"/>
        <w:tabs>
          <w:tab w:val="left" w:pos="720"/>
        </w:tabs>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9.当有中标人应支付的违约金时，中标人应在采购人发出书面通知之日起7个日历日内完成支付，若中标人未及时支付，采购人有权在未支付款项中直接扣除。</w:t>
      </w:r>
    </w:p>
    <w:p w14:paraId="15AF7F92">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left"/>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（三）</w:t>
      </w:r>
      <w:bookmarkStart w:id="24" w:name="OLE_LINK1"/>
      <w:bookmarkStart w:id="25" w:name="OLE_LINK2"/>
      <w:r>
        <w:rPr>
          <w:rFonts w:hint="eastAsia" w:ascii="楷体" w:hAnsi="楷体" w:eastAsia="楷体" w:cs="楷体"/>
          <w:kern w:val="2"/>
          <w:sz w:val="28"/>
          <w:szCs w:val="28"/>
          <w:lang w:val="en-US" w:eastAsia="zh-CN" w:bidi="ar-SA"/>
        </w:rPr>
        <w:t>项目管理要求</w:t>
      </w:r>
      <w:bookmarkEnd w:id="24"/>
      <w:bookmarkEnd w:id="25"/>
    </w:p>
    <w:p w14:paraId="795CEE9D">
      <w:pPr>
        <w:pStyle w:val="24"/>
        <w:keepNext w:val="0"/>
        <w:keepLines w:val="0"/>
        <w:pageBreakBefore w:val="0"/>
        <w:widowControl w:val="0"/>
        <w:tabs>
          <w:tab w:val="left" w:pos="0"/>
          <w:tab w:val="left" w:pos="720"/>
        </w:tabs>
        <w:kinsoku/>
        <w:wordWrap/>
        <w:overflowPunct/>
        <w:topLinePunct w:val="0"/>
        <w:autoSpaceDE/>
        <w:autoSpaceDN/>
        <w:bidi w:val="0"/>
        <w:adjustRightInd w:val="0"/>
        <w:snapToGrid w:val="0"/>
        <w:spacing w:line="500" w:lineRule="exact"/>
        <w:ind w:left="0" w:leftChars="0"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1.中标人必须作好施工记录、隐蔽工程记录、施工资料的整理、竣工资料的编制等工作。中标人需协助采购人办理一切与本工程施工有关的工作，包括与有关单位的联系、安排、协调工作。</w:t>
      </w:r>
    </w:p>
    <w:p w14:paraId="40848C13">
      <w:pPr>
        <w:pStyle w:val="2"/>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2.中标人必须在施工现场显眼位置设置正规施工警示牌、工程概况牌。</w:t>
      </w:r>
    </w:p>
    <w:p w14:paraId="21179E2B">
      <w:pPr>
        <w:pStyle w:val="2"/>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中标人施工必须达到有关部门规定的安全文明施工标准，服从采购人各项管理规定要求，认真做好施工现场防护、防火、噪音、用电等安全文明施工各项管理工作，承担相应一切责任，确保施工场地区域道路通畅，保持施工现场整洁，做到工完场清，达到国家卫生城市标准。</w:t>
      </w:r>
    </w:p>
    <w:p w14:paraId="5E42C793">
      <w:pPr>
        <w:pStyle w:val="2"/>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4.中标人必须在施工过程中注意自身及周边安全，做好现场及周边安全设施搭设，遵守有关安全保护规程，负责施工过程中的所有事故处理和费用。</w:t>
      </w:r>
      <w:bookmarkStart w:id="26" w:name="_Toc191"/>
    </w:p>
    <w:p w14:paraId="5672815C">
      <w:pPr>
        <w:pStyle w:val="2"/>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5.中标人必须服从采购人、监理公司的监督、指导并积极主动配合上述管理机构的工作。</w:t>
      </w:r>
    </w:p>
    <w:p w14:paraId="7CAE70E9">
      <w:pPr>
        <w:pStyle w:val="2"/>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6.中标人施工时使用的材料需经采购人最终确认后，方可进场使用，中标人所提供的材料或厂家应符合设计图纸要求及采购人确认要求，如中标人不能提供的可由采购人根据市场考察情况确认并实施。</w:t>
      </w:r>
    </w:p>
    <w:p w14:paraId="2C8A25F8">
      <w:pPr>
        <w:pStyle w:val="2"/>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left"/>
        <w:textAlignment w:val="auto"/>
        <w:rPr>
          <w:rFonts w:hint="eastAsia" w:ascii="黑体" w:hAnsi="黑体" w:eastAsia="黑体" w:cs="Times New Roman"/>
          <w:bCs w:val="0"/>
          <w:kern w:val="2"/>
          <w:sz w:val="28"/>
          <w:szCs w:val="28"/>
          <w:lang w:val="en-US" w:eastAsia="zh-CN" w:bidi="ar-SA"/>
        </w:rPr>
      </w:pPr>
      <w:r>
        <w:rPr>
          <w:rFonts w:hint="eastAsia" w:ascii="黑体" w:hAnsi="黑体" w:eastAsia="黑体" w:cs="Times New Roman"/>
          <w:bCs w:val="0"/>
          <w:kern w:val="2"/>
          <w:sz w:val="28"/>
          <w:szCs w:val="28"/>
          <w:lang w:val="en-US" w:eastAsia="zh-CN" w:bidi="ar-SA"/>
        </w:rPr>
        <w:t>五、补充条款</w:t>
      </w:r>
      <w:bookmarkEnd w:id="26"/>
    </w:p>
    <w:p w14:paraId="7AEC0823">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全部工程造价按下列约定计算：</w:t>
      </w:r>
    </w:p>
    <w:p w14:paraId="1DFB4739">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1.工程量以采购文件中的工程量清单为准，如有增减，以采购人、中标人及监理三方共同现场签证为准。</w:t>
      </w:r>
    </w:p>
    <w:p w14:paraId="06C715B2">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2.工程量如有增减，对于提交了“投标文件”并按照投标文件评审后中标的中标人，有投标报价的按照投标报价计取，没有投标报价的项目综合单价按照2026年第3月定额价乘以中标人中标价的下浮率计取；</w:t>
      </w:r>
    </w:p>
    <w:p w14:paraId="32D1FEED">
      <w:pPr>
        <w:keepNext w:val="0"/>
        <w:keepLines w:val="0"/>
        <w:pageBreakBefore w:val="0"/>
        <w:widowControl w:val="0"/>
        <w:kinsoku/>
        <w:wordWrap/>
        <w:overflowPunct/>
        <w:topLinePunct w:val="0"/>
        <w:autoSpaceDE/>
        <w:autoSpaceDN/>
        <w:bidi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施工措施费用的核算：实际施工时，施工措施发生了变化时，由造价机构按照实际施工的措施进行造价后对原“标底”中的措施费部分进行调整，并按照中标人中标价的下浮率折算后结算。措施项目清单中“安全文明施工费”为不可竞争费用，工程变更时，安全文明施工费清单列项部分的工程量结合工程实际进行计量，综合单价应按合同单价计算，其他不做增减。</w:t>
      </w:r>
    </w:p>
    <w:p w14:paraId="718CF5FF">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本工程原则上不作增减调整，严格按照采购文件内容和图纸进行施工。施工过程中，中标人如发现工作内容与采购文件中的工程量清单不符时，应立即停止并通知采购人现场解决，不得任意更改工作项目，在有关部门还没处理完毕之前不能施工，此间处理过程的工期按实际顺延。</w:t>
      </w:r>
    </w:p>
    <w:p w14:paraId="0A760CA9">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5.工程量以采购文件的工程量清单为准，施工中如遇与工程量清单不符时参照本补充条款第2条进行结算。</w:t>
      </w:r>
      <w:bookmarkStart w:id="27" w:name="_Toc31141"/>
      <w:bookmarkStart w:id="28" w:name="_Toc82421171"/>
      <w:bookmarkStart w:id="29" w:name="_Toc82421278"/>
    </w:p>
    <w:p w14:paraId="1569ECF0">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黑体" w:hAnsi="黑体" w:eastAsia="黑体" w:cs="Times New Roman"/>
          <w:bCs w:val="0"/>
          <w:kern w:val="2"/>
          <w:sz w:val="28"/>
          <w:szCs w:val="28"/>
          <w:lang w:val="en-US" w:eastAsia="zh-CN" w:bidi="ar-SA"/>
        </w:rPr>
      </w:pPr>
      <w:r>
        <w:rPr>
          <w:rFonts w:hint="eastAsia" w:ascii="黑体" w:hAnsi="黑体" w:eastAsia="黑体" w:cs="Times New Roman"/>
          <w:bCs w:val="0"/>
          <w:kern w:val="2"/>
          <w:sz w:val="28"/>
          <w:szCs w:val="28"/>
          <w:lang w:val="en-US" w:eastAsia="zh-CN" w:bidi="ar-SA"/>
        </w:rPr>
        <w:t>六、违约责任</w:t>
      </w:r>
      <w:bookmarkEnd w:id="27"/>
    </w:p>
    <w:p w14:paraId="766A39A3">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1.中标人违反约定进行转包或违法分包的违约责任：</w:t>
      </w:r>
    </w:p>
    <w:p w14:paraId="6F12325C">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如中标人有转包、非法分包行为，应向采购人支付违约金5万元/次。</w:t>
      </w:r>
    </w:p>
    <w:p w14:paraId="1F548C4C">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如中标人有将其承包范围内全部工程肢解分包的行为，应向采购人支付违约金5万元/次。</w:t>
      </w:r>
    </w:p>
    <w:p w14:paraId="17FB71A8">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2.因中标人原因导致工程质量不符合要求的违约责任：</w:t>
      </w:r>
    </w:p>
    <w:p w14:paraId="09ED07CE">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采购人有权利选择以下方式修复，中标人不得异议：</w:t>
      </w:r>
    </w:p>
    <w:p w14:paraId="0F28FB99">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（1）采购人要求中标人在采购单位和采购人要求的合理时间内，完成质量不合格部分工程的返工工作，由此造成的工期延误和费用损失，全部由中标人承担。</w:t>
      </w:r>
    </w:p>
    <w:p w14:paraId="42502C90">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（2）如中标人拒不整改，采购人有权委派其他单位进行返工、整改，其费用由中标人承担，并且赔偿由此给采购人造成的损失。中标人承担此损失并不免除延期违约等其他条件的相应责任。</w:t>
      </w:r>
    </w:p>
    <w:p w14:paraId="0C222EC4">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3.中标人违反约定采购和使用不合格的材料和工程设备的违约责任：</w:t>
      </w:r>
    </w:p>
    <w:p w14:paraId="57124B8D">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工程主要材料、重要设备采购前应取得采购单位、采购人的同意，未取得同意批准的材料不得进场，不得在工程上使用，不予计量。采购人和采购单位的确认，并不能减轻或免除中标人应负的质量责任。中标人强行采购和施工不符合采购文件要求的材料设备，采购人将要求其立即拆除，所有损失和费用由中标人承担。中标人须重新采购，并确保材料设备质量符合采购文件和合同要求，按程序报审，征得采购人、采购单位批准后方可施工。若中标人拒不履行合同义务，采购人有权单方面解除合同，没收中标人的履约担保（如有）。</w:t>
      </w:r>
    </w:p>
    <w:p w14:paraId="73F0352E">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4.逾期竣工的违约责任：</w:t>
      </w:r>
    </w:p>
    <w:p w14:paraId="052C788A">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逾期竣工违约金计算方法：合同工期已包含项目所有相关工程验收工作时间，因中标人原因单项工程或整个工程（包含项目所有相关验收时间）每延误一天，按照5000元/天向采购人支付违约金，上述违约金采购人有权在工程尾款支付时直接扣除。逾期竣工违约金的上限：逾期竣工违约金累计不超过合同价的30%。</w:t>
      </w:r>
      <w:bookmarkStart w:id="30" w:name="_Toc5892"/>
    </w:p>
    <w:p w14:paraId="5E31386D">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黑体" w:hAnsi="黑体" w:eastAsia="黑体" w:cs="Times New Roman"/>
          <w:bCs w:val="0"/>
          <w:kern w:val="2"/>
          <w:sz w:val="28"/>
          <w:szCs w:val="28"/>
          <w:lang w:val="en-US" w:eastAsia="zh-CN" w:bidi="ar-SA"/>
        </w:rPr>
      </w:pPr>
      <w:r>
        <w:rPr>
          <w:rFonts w:hint="eastAsia" w:ascii="黑体" w:hAnsi="黑体" w:eastAsia="黑体" w:cs="Times New Roman"/>
          <w:bCs w:val="0"/>
          <w:kern w:val="2"/>
          <w:sz w:val="28"/>
          <w:szCs w:val="28"/>
          <w:lang w:val="en-US" w:eastAsia="zh-CN" w:bidi="ar-SA"/>
        </w:rPr>
        <w:t>七、图纸(见附件)</w:t>
      </w:r>
      <w:bookmarkEnd w:id="28"/>
      <w:bookmarkEnd w:id="29"/>
      <w:bookmarkEnd w:id="30"/>
      <w:bookmarkStart w:id="31" w:name="_Toc82421279"/>
      <w:bookmarkStart w:id="32" w:name="_Toc28323"/>
      <w:bookmarkStart w:id="33" w:name="_Toc82421172"/>
    </w:p>
    <w:p w14:paraId="14D448AC">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黑体" w:hAnsi="黑体" w:eastAsia="黑体" w:cs="Times New Roman"/>
          <w:bCs w:val="0"/>
          <w:kern w:val="2"/>
          <w:sz w:val="28"/>
          <w:szCs w:val="28"/>
          <w:lang w:val="en-US" w:eastAsia="zh-CN" w:bidi="ar-SA"/>
        </w:rPr>
      </w:pPr>
      <w:r>
        <w:rPr>
          <w:rFonts w:hint="eastAsia" w:ascii="黑体" w:hAnsi="黑体" w:eastAsia="黑体" w:cs="Times New Roman"/>
          <w:bCs w:val="0"/>
          <w:kern w:val="2"/>
          <w:sz w:val="28"/>
          <w:szCs w:val="28"/>
          <w:lang w:val="en-US" w:eastAsia="zh-CN" w:bidi="ar-SA"/>
        </w:rPr>
        <w:t>八、工程量清单（见附件）</w:t>
      </w:r>
      <w:bookmarkEnd w:id="31"/>
      <w:bookmarkEnd w:id="32"/>
      <w:bookmarkEnd w:id="33"/>
    </w:p>
    <w:p w14:paraId="572F5530">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highlight w:val="yellow"/>
          <w:lang w:val="en-US" w:eastAsia="zh-CN" w:bidi="ar-SA"/>
        </w:rPr>
      </w:pPr>
      <w:r>
        <w:rPr>
          <w:rFonts w:hint="eastAsia" w:ascii="仿宋_GB2312" w:hAnsi="仿宋_GB2312" w:eastAsia="仿宋_GB2312" w:cs="仿宋_GB2312"/>
          <w:kern w:val="2"/>
          <w:sz w:val="28"/>
          <w:szCs w:val="28"/>
          <w:lang w:val="en-US" w:eastAsia="zh-CN" w:bidi="ar-SA"/>
        </w:rPr>
        <w:t>1、</w:t>
      </w:r>
      <w:r>
        <w:rPr>
          <w:rFonts w:hint="eastAsia" w:ascii="仿宋_GB2312" w:hAnsi="仿宋_GB2312" w:eastAsia="仿宋_GB2312" w:cs="仿宋_GB2312"/>
          <w:kern w:val="2"/>
          <w:sz w:val="28"/>
          <w:szCs w:val="28"/>
          <w:highlight w:val="none"/>
          <w:lang w:val="en-US" w:eastAsia="zh-CN" w:bidi="ar-SA"/>
        </w:rPr>
        <w:t>工程计价办法：综合单价法。</w:t>
      </w:r>
    </w:p>
    <w:p w14:paraId="51C4A769">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2.按照《建设工程工程量清单计价标准》的规定，“工程量清单格式”主要包括以下几个部分，但不局限于以下部分：</w:t>
      </w:r>
    </w:p>
    <w:p w14:paraId="018E17B0">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（1）清单封面；</w:t>
      </w:r>
    </w:p>
    <w:p w14:paraId="413C3446">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（2）分部分项工程量清单；</w:t>
      </w:r>
    </w:p>
    <w:p w14:paraId="32B83312">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（3）措施项目清单。</w:t>
      </w:r>
    </w:p>
    <w:p w14:paraId="6D722C20">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3.本工程要求采用的工程量计算规则，应作为本工程招投标双方进行工程招投标和结算计量、计价的共同依据。</w:t>
      </w:r>
    </w:p>
    <w:p w14:paraId="7D0065B2">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4.本工程要求采用的工程量计算规则是《建设工程工程量清单计价标准》（GB/T50500-2024）及深圳市补充规范；</w:t>
      </w:r>
    </w:p>
    <w:p w14:paraId="492A27A6">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5.对“分部分项工程量清单”的说明和报价要求</w:t>
      </w:r>
    </w:p>
    <w:p w14:paraId="0126DB35">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该清单所列的工程量系采购人的估算，是临时的，作为投标报价的共同基础。不应被理解为是对采购人要求工作内容的全部定义，也不能作为投标人应完成的实际工程量。结算时，应以由承包人和采购人或由采购人授权委托的工程师共同计量、核实的实际完成的工程量为准。</w:t>
      </w:r>
    </w:p>
    <w:p w14:paraId="6AAEFB7B">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（2）该清单中所填入的综合单价和合价应包括直接成本（即人工、材料等）和费用（管理费、利润）、风险金等全部费用。但涉及到采购人自行采购的设备材料的项目不得计入材料设备的价格。</w:t>
      </w:r>
    </w:p>
    <w:p w14:paraId="239E9053">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（3）针对该清单，投标人报价时应提供“分部分项工程量清单综合单价分析表（简表）”。</w:t>
      </w:r>
    </w:p>
    <w:p w14:paraId="0B3DCF47">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6.对“措施项目清单”的说明和报价要求：</w:t>
      </w:r>
    </w:p>
    <w:p w14:paraId="4C7B8886">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（1）该清单所列项目中以“一项”提出的，是采购人根据一般情况估计的项目，投标人实际措施项目不同的，可以对具体列项内容进行调整。</w:t>
      </w:r>
    </w:p>
    <w:p w14:paraId="0444EA5C">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（3）该清单中列入了“施工单位现场安全文明施工费”，该费用包括临时设施费、安全施工费、文明施工费，作为非竞争性费用。</w:t>
      </w:r>
    </w:p>
    <w:p w14:paraId="2A6EB730">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7．如发现采购人提供的工程量清单与图纸实际不符时，除采购文件另有要求外，投标人应在公告期间提出，采购人应进行复核并在网上发出修正。如没有做出修正，投标人仍应按原提供的项目及工程量报价，并将项差与量差体现在报价中，并在备注中注明，但不得对工程量清单进行修改。</w:t>
      </w:r>
    </w:p>
    <w:p w14:paraId="2BDAF449">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黑体" w:hAnsi="黑体" w:eastAsia="黑体" w:cs="Times New Roman"/>
          <w:bCs w:val="0"/>
          <w:kern w:val="2"/>
          <w:sz w:val="28"/>
          <w:szCs w:val="28"/>
          <w:lang w:val="en-US" w:eastAsia="zh-CN" w:bidi="ar-SA"/>
        </w:rPr>
      </w:pPr>
      <w:bookmarkStart w:id="34" w:name="_Toc82421280"/>
      <w:bookmarkStart w:id="35" w:name="_Toc16578"/>
      <w:bookmarkStart w:id="36" w:name="_Toc82421173"/>
      <w:r>
        <w:rPr>
          <w:rFonts w:hint="eastAsia" w:ascii="黑体" w:hAnsi="黑体" w:eastAsia="黑体" w:cs="Times New Roman"/>
          <w:bCs w:val="0"/>
          <w:kern w:val="2"/>
          <w:sz w:val="28"/>
          <w:szCs w:val="28"/>
          <w:lang w:val="en-US" w:eastAsia="zh-CN" w:bidi="ar-SA"/>
        </w:rPr>
        <w:t>九、投标报价</w:t>
      </w:r>
      <w:bookmarkEnd w:id="34"/>
      <w:bookmarkEnd w:id="35"/>
      <w:bookmarkEnd w:id="36"/>
    </w:p>
    <w:p w14:paraId="19635145">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1.本工程的工程量清单的投标单价按综合单价方式进行报价；</w:t>
      </w:r>
    </w:p>
    <w:p w14:paraId="0F86671E">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采购评审小组认为投标人的报价明显低于其他通过符合性审查投标人的报价，有可能影响产品质量或者不能诚信履约的，投标人不能在合理的时间内提供书面说明，或无法提交相关证明材料，投标人不能证明其报价合理性的（若小组成员对是否须由投标人作出报价合理性说明，以及书面说明是否采纳等判断不一致的，按照“少数服从多数”的原则确定采购评审小组的意见）；</w:t>
      </w:r>
    </w:p>
    <w:p w14:paraId="28DFE192">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3.投标人的投标总报价不得超过预算限额；</w:t>
      </w:r>
    </w:p>
    <w:p w14:paraId="6D505E34">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4.投标人的投标报价，应是本项目采购范围内和采购文件中所列的各项内容中所述的全部，不得以任何理由予以重复，并以投标人在工程量清单中提出的综合单价或总价为依据；</w:t>
      </w:r>
    </w:p>
    <w:p w14:paraId="423E8B49">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除非中英街管理局通过修改采购文件予以更正，否则，投标人应毫无例外地按工程量清单中列出的工程项目和数量填报综合单价和合价。投标人未填综合单价或合价的项目，在实施后，将不得以支付，并视作该项费用已包括在其它有价款的综合单价或合价内；</w:t>
      </w:r>
    </w:p>
    <w:p w14:paraId="7FF4421D">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5.投标人应先到施工现场踏勘以充分了解工地的位置、情况、道路、储存空间、装卸限制及任何其它足以影响投标报价的情况，任何因忽视或误解工地情况而导致的索赔或工期延长申请将不获批准；</w:t>
      </w:r>
    </w:p>
    <w:p w14:paraId="20C34E60">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6.本项目采用固定单价合同。工程量清单所列的工程量系采购单位的估算，是临时的，作为投标报价的共同基础，不应被理解为是对采购单位要求工作内容的全部定义，也不能作为投标人应完成的实际工程量。承包人必须按图纸及有关标准、规范的要求进行施工，实际完成的工程量与分部分项工程量清单中的差异结算时可作调整。凡超出图纸范围又未经变更审批程序的内容，都不予计量；未施工的项目，经采购单位核实后予以扣减。投标人的投标报价必须充分考虑到在施工中实施的施工组织设计对工程造价的影响，并在投标报价中反映出来。</w:t>
      </w:r>
    </w:p>
    <w:p w14:paraId="6EA8C633">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highlight w:val="none"/>
          <w:lang w:val="en-US" w:eastAsia="zh-CN" w:bidi="ar-SA"/>
        </w:rPr>
        <w:t>7.本</w:t>
      </w:r>
      <w:r>
        <w:rPr>
          <w:rFonts w:hint="eastAsia" w:ascii="仿宋_GB2312" w:hAnsi="仿宋_GB2312" w:eastAsia="仿宋_GB2312" w:cs="仿宋_GB2312"/>
          <w:kern w:val="2"/>
          <w:sz w:val="28"/>
          <w:szCs w:val="28"/>
          <w:lang w:val="en-US" w:eastAsia="zh-CN" w:bidi="ar-SA"/>
        </w:rPr>
        <w:t>项目不接受总价优惠折扣形式的报价，投标人应将对项目的优惠直接在清单报价中体现出来。</w:t>
      </w:r>
    </w:p>
    <w:p w14:paraId="69E9C394">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8.采购人委托承包人办理的保险事项：建设工程一切险和第三者责任险，所需的保险费应包含在投标价中，施工中若发生安全事故，一切责任及费用由施工单位负责。</w:t>
      </w:r>
    </w:p>
    <w:p w14:paraId="451FE3AD">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黑体" w:hAnsi="黑体" w:eastAsia="黑体" w:cs="Times New Roman"/>
          <w:bCs w:val="0"/>
          <w:kern w:val="2"/>
          <w:sz w:val="28"/>
          <w:szCs w:val="28"/>
          <w:lang w:val="en-US" w:eastAsia="zh-CN" w:bidi="ar-SA"/>
        </w:rPr>
      </w:pPr>
      <w:bookmarkStart w:id="37" w:name="_Toc82421281"/>
      <w:bookmarkStart w:id="38" w:name="_Toc18146"/>
      <w:bookmarkStart w:id="39" w:name="_Toc82421174"/>
      <w:r>
        <w:rPr>
          <w:rFonts w:hint="eastAsia" w:ascii="黑体" w:hAnsi="黑体" w:eastAsia="黑体" w:cs="Times New Roman"/>
          <w:bCs w:val="0"/>
          <w:kern w:val="2"/>
          <w:sz w:val="28"/>
          <w:szCs w:val="28"/>
          <w:lang w:val="en-US" w:eastAsia="zh-CN" w:bidi="ar-SA"/>
        </w:rPr>
        <w:t>十、注意事项</w:t>
      </w:r>
      <w:bookmarkEnd w:id="37"/>
      <w:bookmarkEnd w:id="38"/>
      <w:bookmarkEnd w:id="39"/>
    </w:p>
    <w:p w14:paraId="054BC7AB">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1.中标人不得将项目非法分包或转包给任何单位和个人。否则，采购单位有权即刻终止合同，并要求中标人赔偿相应损失。</w:t>
      </w:r>
    </w:p>
    <w:p w14:paraId="2C0AA3B5">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2.投标人若认为采购文件的技术要求或其他要求有倾向性或不公正性，可在公示阶段提出，以维护招标行为的公平、公正。</w:t>
      </w:r>
    </w:p>
    <w:p w14:paraId="1784BEA5">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3.投标人使用的标准必须是国际公认或国家、或地方政府颁布的同等或更高的标准，如投标人使用的标准低于上述标准，采购评审小组将有权不予接受，投标人必须列表将明显的差异详细说明。</w:t>
      </w:r>
    </w:p>
    <w:p w14:paraId="281E28D1">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方正小标宋简体" w:hAnsi="方正小标宋简体" w:eastAsia="方正小标宋简体" w:cs="方正小标宋简体"/>
          <w:b w:val="0"/>
          <w:bCs/>
          <w:kern w:val="2"/>
          <w:sz w:val="32"/>
          <w:szCs w:val="32"/>
          <w:u w:val="none"/>
          <w:lang w:val="en-US" w:eastAsia="zh-CN" w:bidi="ar-SA"/>
        </w:rPr>
      </w:pPr>
    </w:p>
    <w:p w14:paraId="1230895B">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方正小标宋简体" w:hAnsi="方正小标宋简体" w:eastAsia="方正小标宋简体" w:cs="方正小标宋简体"/>
          <w:b w:val="0"/>
          <w:bCs/>
          <w:kern w:val="2"/>
          <w:sz w:val="32"/>
          <w:szCs w:val="32"/>
          <w:u w:val="none"/>
          <w:lang w:val="en-US" w:eastAsia="zh-CN" w:bidi="ar-SA"/>
        </w:rPr>
      </w:pPr>
    </w:p>
    <w:p w14:paraId="3C9B777B">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方正小标宋简体" w:hAnsi="方正小标宋简体" w:eastAsia="方正小标宋简体" w:cs="方正小标宋简体"/>
          <w:b w:val="0"/>
          <w:bCs/>
          <w:kern w:val="2"/>
          <w:sz w:val="32"/>
          <w:szCs w:val="32"/>
          <w:u w:val="none"/>
          <w:lang w:val="en-US" w:eastAsia="zh-CN" w:bidi="ar-SA"/>
        </w:rPr>
      </w:pPr>
      <w:r>
        <w:rPr>
          <w:rFonts w:hint="eastAsia" w:ascii="方正小标宋简体" w:hAnsi="方正小标宋简体" w:eastAsia="方正小标宋简体" w:cs="方正小标宋简体"/>
          <w:b w:val="0"/>
          <w:bCs/>
          <w:kern w:val="2"/>
          <w:sz w:val="32"/>
          <w:szCs w:val="32"/>
          <w:u w:val="none"/>
          <w:lang w:val="en-US" w:eastAsia="zh-CN" w:bidi="ar-SA"/>
        </w:rPr>
        <w:t>第三章  合同格式（详询采购人）</w:t>
      </w:r>
    </w:p>
    <w:p w14:paraId="74F130E8">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lang w:val="en-US" w:eastAsia="zh-CN" w:bidi="ar-SA"/>
        </w:rPr>
      </w:pPr>
    </w:p>
    <w:p w14:paraId="7EA21AF7">
      <w:pPr>
        <w:rPr>
          <w:rFonts w:hint="eastAsia" w:ascii="方正小标宋简体" w:hAnsi="方正小标宋简体" w:eastAsia="方正小标宋简体" w:cs="方正小标宋简体"/>
          <w:b w:val="0"/>
          <w:bCs/>
          <w:kern w:val="2"/>
          <w:sz w:val="32"/>
          <w:szCs w:val="32"/>
          <w:u w:val="none"/>
          <w:lang w:val="en-US" w:eastAsia="zh-CN" w:bidi="ar-SA"/>
        </w:rPr>
      </w:pPr>
      <w:r>
        <w:rPr>
          <w:rFonts w:hint="eastAsia" w:ascii="仿宋_GB2312" w:hAnsi="仿宋_GB2312" w:eastAsia="仿宋_GB2312" w:cs="仿宋_GB2312"/>
          <w:kern w:val="2"/>
          <w:sz w:val="32"/>
          <w:szCs w:val="32"/>
          <w:lang w:val="en-US" w:eastAsia="zh-CN" w:bidi="ar-SA"/>
        </w:rPr>
        <w:br w:type="page"/>
      </w:r>
    </w:p>
    <w:p w14:paraId="4D67FF54">
      <w:pPr>
        <w:widowControl/>
        <w:jc w:val="center"/>
        <w:rPr>
          <w:b/>
          <w:color w:val="000000"/>
          <w:sz w:val="24"/>
        </w:rPr>
      </w:pPr>
    </w:p>
    <w:p w14:paraId="5D98CDB1">
      <w:pPr>
        <w:pStyle w:val="6"/>
        <w:spacing w:before="231" w:beforeLines="50" w:after="231" w:afterLines="50"/>
        <w:rPr>
          <w:rFonts w:hint="eastAsia" w:ascii="方正小标宋简体" w:hAnsi="方正小标宋简体" w:eastAsia="方正小标宋简体" w:cs="方正小标宋简体"/>
          <w:b w:val="0"/>
          <w:bCs/>
          <w:kern w:val="2"/>
          <w:sz w:val="32"/>
          <w:szCs w:val="32"/>
          <w:u w:val="none"/>
          <w:lang w:val="en-US" w:eastAsia="zh-CN" w:bidi="ar-SA"/>
        </w:rPr>
      </w:pPr>
      <w:bookmarkStart w:id="40" w:name="_Toc82421177"/>
      <w:bookmarkStart w:id="41" w:name="_Toc32427"/>
      <w:bookmarkStart w:id="42" w:name="_Toc82421284"/>
      <w:r>
        <w:rPr>
          <w:rFonts w:hint="eastAsia" w:ascii="方正小标宋简体" w:hAnsi="方正小标宋简体" w:eastAsia="方正小标宋简体" w:cs="方正小标宋简体"/>
          <w:b w:val="0"/>
          <w:bCs/>
          <w:kern w:val="2"/>
          <w:sz w:val="32"/>
          <w:szCs w:val="32"/>
          <w:u w:val="none"/>
          <w:lang w:val="en-US" w:eastAsia="zh-CN" w:bidi="ar-SA"/>
        </w:rPr>
        <w:t>第四章  投标文件格式</w:t>
      </w:r>
      <w:bookmarkEnd w:id="40"/>
      <w:bookmarkEnd w:id="41"/>
      <w:bookmarkEnd w:id="42"/>
    </w:p>
    <w:p w14:paraId="3F5B12D7">
      <w:pPr>
        <w:rPr>
          <w:rStyle w:val="25"/>
          <w:color w:val="FF0000"/>
          <w:sz w:val="24"/>
        </w:rPr>
      </w:pPr>
      <w:r>
        <w:rPr>
          <w:rStyle w:val="25"/>
          <w:rFonts w:hint="eastAsia"/>
          <w:color w:val="FF0000"/>
          <w:sz w:val="24"/>
        </w:rPr>
        <w:t>特别提醒：</w:t>
      </w:r>
    </w:p>
    <w:p w14:paraId="3BF1708C">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下文中的“投标人”是参与投标的公司。</w:t>
      </w:r>
    </w:p>
    <w:p w14:paraId="6F4C5861">
      <w:pPr>
        <w:rPr>
          <w:rFonts w:hint="eastAsia" w:ascii="仿宋_GB2312" w:hAnsi="仿宋_GB2312" w:eastAsia="仿宋_GB2312" w:cs="仿宋_GB2312"/>
          <w:kern w:val="2"/>
          <w:sz w:val="32"/>
          <w:szCs w:val="32"/>
          <w:lang w:val="en-US" w:eastAsia="zh-CN" w:bidi="ar-SA"/>
        </w:rPr>
      </w:pPr>
    </w:p>
    <w:p w14:paraId="2F7937AB">
      <w:pPr>
        <w:pStyle w:val="4"/>
        <w:keepNext w:val="0"/>
        <w:keepLines w:val="0"/>
        <w:pageBreakBefore/>
        <w:rPr>
          <w:bCs/>
          <w:color w:val="FF0000"/>
        </w:rPr>
      </w:pPr>
      <w:bookmarkStart w:id="43" w:name="_Toc11925"/>
      <w:r>
        <w:rPr>
          <w:rFonts w:hint="eastAsia"/>
          <w:bCs/>
          <w:color w:val="FF0000"/>
        </w:rPr>
        <w:t>封面</w:t>
      </w:r>
      <w:bookmarkEnd w:id="43"/>
    </w:p>
    <w:p w14:paraId="34258723">
      <w:pPr>
        <w:jc w:val="center"/>
        <w:rPr>
          <w:rFonts w:ascii="宋体" w:hAnsi="宋体"/>
          <w:b/>
          <w:sz w:val="52"/>
          <w:szCs w:val="52"/>
        </w:rPr>
      </w:pPr>
    </w:p>
    <w:p w14:paraId="3A946C6C">
      <w:pPr>
        <w:jc w:val="center"/>
        <w:rPr>
          <w:rFonts w:ascii="宋体" w:hAnsi="宋体"/>
          <w:b/>
          <w:sz w:val="52"/>
          <w:szCs w:val="52"/>
        </w:rPr>
      </w:pPr>
    </w:p>
    <w:p w14:paraId="4CD128AD">
      <w:pPr>
        <w:jc w:val="center"/>
        <w:rPr>
          <w:rFonts w:ascii="宋体" w:hAnsi="宋体"/>
          <w:b/>
          <w:sz w:val="84"/>
          <w:szCs w:val="84"/>
        </w:rPr>
      </w:pPr>
      <w:r>
        <w:rPr>
          <w:rFonts w:hint="eastAsia" w:ascii="宋体" w:hAnsi="宋体"/>
          <w:b/>
          <w:sz w:val="84"/>
          <w:szCs w:val="84"/>
        </w:rPr>
        <w:t>投 标 文 件</w:t>
      </w:r>
    </w:p>
    <w:p w14:paraId="2777486C">
      <w:pPr>
        <w:rPr>
          <w:rFonts w:ascii="宋体" w:hAnsi="宋体"/>
          <w:b/>
          <w:sz w:val="30"/>
          <w:szCs w:val="30"/>
        </w:rPr>
      </w:pPr>
    </w:p>
    <w:p w14:paraId="0C5D5C7B">
      <w:pPr>
        <w:rPr>
          <w:rFonts w:ascii="宋体" w:hAnsi="宋体"/>
          <w:b/>
          <w:sz w:val="30"/>
          <w:szCs w:val="30"/>
        </w:rPr>
      </w:pPr>
    </w:p>
    <w:p w14:paraId="41764B4F">
      <w:pPr>
        <w:rPr>
          <w:rFonts w:ascii="宋体" w:hAnsi="宋体"/>
          <w:b/>
          <w:sz w:val="30"/>
          <w:szCs w:val="30"/>
        </w:rPr>
      </w:pPr>
    </w:p>
    <w:p w14:paraId="6D22DABE">
      <w:pPr>
        <w:rPr>
          <w:rFonts w:ascii="宋体" w:hAnsi="宋体"/>
          <w:b/>
          <w:sz w:val="32"/>
          <w:szCs w:val="32"/>
        </w:rPr>
      </w:pPr>
    </w:p>
    <w:p w14:paraId="692DC41B">
      <w:pPr>
        <w:rPr>
          <w:rFonts w:ascii="宋体" w:hAnsi="宋体"/>
          <w:b/>
          <w:sz w:val="32"/>
          <w:szCs w:val="32"/>
        </w:rPr>
      </w:pPr>
      <w:r>
        <w:rPr>
          <w:rFonts w:hint="eastAsia" w:ascii="宋体" w:hAnsi="宋体"/>
          <w:b/>
          <w:sz w:val="32"/>
          <w:szCs w:val="32"/>
        </w:rPr>
        <w:t>项目</w:t>
      </w:r>
      <w:r>
        <w:rPr>
          <w:rFonts w:ascii="宋体" w:hAnsi="宋体"/>
          <w:b/>
          <w:sz w:val="32"/>
          <w:szCs w:val="32"/>
        </w:rPr>
        <w:t>名称：</w:t>
      </w:r>
    </w:p>
    <w:p w14:paraId="2712BBD4">
      <w:pPr>
        <w:rPr>
          <w:rFonts w:ascii="宋体" w:hAnsi="宋体"/>
          <w:b/>
          <w:sz w:val="32"/>
          <w:szCs w:val="32"/>
        </w:rPr>
      </w:pPr>
      <w:r>
        <w:rPr>
          <w:rFonts w:hint="eastAsia" w:ascii="宋体" w:hAnsi="宋体"/>
          <w:b/>
          <w:sz w:val="32"/>
          <w:szCs w:val="32"/>
        </w:rPr>
        <w:t>投标人</w:t>
      </w:r>
      <w:r>
        <w:rPr>
          <w:rFonts w:ascii="宋体" w:hAnsi="宋体"/>
          <w:b/>
          <w:sz w:val="32"/>
          <w:szCs w:val="32"/>
        </w:rPr>
        <w:t>（供应商</w:t>
      </w:r>
      <w:r>
        <w:rPr>
          <w:rFonts w:hint="eastAsia" w:ascii="宋体" w:hAnsi="宋体"/>
          <w:b/>
          <w:sz w:val="32"/>
          <w:szCs w:val="32"/>
        </w:rPr>
        <w:t>）</w:t>
      </w:r>
      <w:r>
        <w:rPr>
          <w:rFonts w:ascii="宋体" w:hAnsi="宋体"/>
          <w:b/>
          <w:sz w:val="32"/>
          <w:szCs w:val="32"/>
        </w:rPr>
        <w:t>：</w:t>
      </w:r>
    </w:p>
    <w:p w14:paraId="514CA096">
      <w:pPr>
        <w:rPr>
          <w:rFonts w:hint="eastAsia" w:ascii="宋体" w:hAnsi="宋体"/>
          <w:b/>
          <w:sz w:val="32"/>
          <w:szCs w:val="32"/>
        </w:rPr>
      </w:pPr>
      <w:r>
        <w:rPr>
          <w:rFonts w:hint="eastAsia" w:ascii="宋体" w:hAnsi="宋体"/>
          <w:b/>
          <w:sz w:val="32"/>
          <w:szCs w:val="32"/>
        </w:rPr>
        <w:t>日期：</w:t>
      </w:r>
    </w:p>
    <w:p w14:paraId="2065193C">
      <w:pPr>
        <w:rPr>
          <w:rFonts w:hint="eastAsia" w:ascii="宋体" w:hAnsi="宋体" w:eastAsiaTheme="minorEastAsia"/>
          <w:b/>
          <w:sz w:val="32"/>
          <w:szCs w:val="32"/>
          <w:lang w:eastAsia="zh-CN"/>
        </w:rPr>
      </w:pPr>
      <w:r>
        <w:rPr>
          <w:rFonts w:hint="eastAsia" w:ascii="宋体" w:hAnsi="宋体"/>
          <w:b/>
          <w:sz w:val="32"/>
          <w:szCs w:val="32"/>
        </w:rPr>
        <w:t>联系人</w:t>
      </w:r>
      <w:r>
        <w:rPr>
          <w:rFonts w:hint="eastAsia" w:ascii="宋体" w:hAnsi="宋体"/>
          <w:b/>
          <w:sz w:val="32"/>
          <w:szCs w:val="32"/>
          <w:lang w:eastAsia="zh-CN"/>
        </w:rPr>
        <w:t>：</w:t>
      </w:r>
    </w:p>
    <w:p w14:paraId="512EBEE5">
      <w:pPr>
        <w:rPr>
          <w:rFonts w:hint="eastAsia" w:ascii="宋体" w:hAnsi="宋体"/>
          <w:b/>
          <w:sz w:val="32"/>
          <w:szCs w:val="32"/>
        </w:rPr>
      </w:pPr>
      <w:r>
        <w:rPr>
          <w:rFonts w:hint="eastAsia" w:ascii="宋体" w:hAnsi="宋体"/>
          <w:b/>
          <w:sz w:val="32"/>
          <w:szCs w:val="32"/>
        </w:rPr>
        <w:t>联系电话：</w:t>
      </w:r>
    </w:p>
    <w:p w14:paraId="2684F49E">
      <w:pPr>
        <w:rPr>
          <w:rFonts w:hint="eastAsia" w:ascii="宋体" w:hAnsi="宋体"/>
          <w:b/>
          <w:sz w:val="32"/>
          <w:szCs w:val="32"/>
        </w:rPr>
        <w:sectPr>
          <w:footerReference r:id="rId5" w:type="default"/>
          <w:pgSz w:w="11906" w:h="16838"/>
          <w:pgMar w:top="2098" w:right="1474" w:bottom="1984" w:left="1587" w:header="851" w:footer="992" w:gutter="0"/>
          <w:cols w:space="425" w:num="1"/>
          <w:docGrid w:type="lines" w:linePitch="312" w:charSpace="0"/>
        </w:sectPr>
      </w:pPr>
    </w:p>
    <w:p w14:paraId="0AADF8CC">
      <w:pPr>
        <w:pStyle w:val="4"/>
        <w:jc w:val="left"/>
        <w:rPr>
          <w:rFonts w:ascii="黑体" w:eastAsia="黑体"/>
          <w:b w:val="0"/>
          <w:kern w:val="0"/>
          <w:sz w:val="24"/>
        </w:rPr>
      </w:pPr>
      <w:bookmarkStart w:id="44" w:name="_Toc440"/>
      <w:r>
        <w:rPr>
          <w:b w:val="0"/>
          <w:kern w:val="0"/>
          <w:szCs w:val="28"/>
        </w:rPr>
        <w:t>目录</w:t>
      </w:r>
      <w:bookmarkEnd w:id="44"/>
    </w:p>
    <w:p w14:paraId="68ADAA04">
      <w:pPr>
        <w:pStyle w:val="14"/>
        <w:tabs>
          <w:tab w:val="right" w:leader="dot" w:pos="8313"/>
          <w:tab w:val="clear" w:pos="8296"/>
        </w:tabs>
      </w:pPr>
      <w:r>
        <w:fldChar w:fldCharType="begin"/>
      </w:r>
      <w:r>
        <w:instrText xml:space="preserve"> TOC \o "1-3" \h \z \u </w:instrText>
      </w:r>
      <w:r>
        <w:fldChar w:fldCharType="separate"/>
      </w:r>
    </w:p>
    <w:p w14:paraId="4D147C4B">
      <w:pPr>
        <w:pStyle w:val="10"/>
        <w:tabs>
          <w:tab w:val="right" w:leader="dot" w:pos="8313"/>
        </w:tabs>
        <w:rPr>
          <w:rFonts w:hint="eastAsia" w:eastAsia="宋体"/>
          <w:lang w:val="en-US" w:eastAsia="zh-CN"/>
        </w:rPr>
      </w:pPr>
      <w:r>
        <w:fldChar w:fldCharType="begin"/>
      </w:r>
      <w:r>
        <w:instrText xml:space="preserve"> HYPERLINK \l "_Toc10201" </w:instrText>
      </w:r>
      <w:r>
        <w:fldChar w:fldCharType="separate"/>
      </w:r>
      <w:r>
        <w:rPr>
          <w:rFonts w:hint="eastAsia"/>
          <w:bCs/>
        </w:rPr>
        <w:t>封面</w:t>
      </w:r>
      <w:r>
        <w:tab/>
      </w:r>
      <w:r>
        <w:rPr>
          <w:rFonts w:hint="eastAsia"/>
          <w:lang w:val="en-US" w:eastAsia="zh-CN"/>
        </w:rPr>
        <w:t>X</w:t>
      </w:r>
      <w:r>
        <w:fldChar w:fldCharType="end"/>
      </w:r>
      <w:r>
        <w:rPr>
          <w:rFonts w:hint="eastAsia"/>
          <w:lang w:val="en-US" w:eastAsia="zh-CN"/>
        </w:rPr>
        <w:t>X</w:t>
      </w:r>
    </w:p>
    <w:p w14:paraId="74143557">
      <w:pPr>
        <w:pStyle w:val="10"/>
        <w:tabs>
          <w:tab w:val="right" w:leader="dot" w:pos="8313"/>
        </w:tabs>
        <w:rPr>
          <w:rFonts w:hint="eastAsia" w:eastAsia="宋体"/>
          <w:lang w:val="en-US" w:eastAsia="zh-CN"/>
        </w:rPr>
      </w:pPr>
      <w:r>
        <w:fldChar w:fldCharType="begin"/>
      </w:r>
      <w:r>
        <w:instrText xml:space="preserve"> HYPERLINK \l "_Toc440" </w:instrText>
      </w:r>
      <w:r>
        <w:fldChar w:fldCharType="separate"/>
      </w:r>
      <w:r>
        <w:rPr>
          <w:kern w:val="0"/>
          <w:szCs w:val="28"/>
        </w:rPr>
        <w:t>目录</w:t>
      </w:r>
      <w:r>
        <w:tab/>
      </w:r>
      <w:r>
        <w:rPr>
          <w:rFonts w:hint="eastAsia"/>
          <w:lang w:val="en-US" w:eastAsia="zh-CN"/>
        </w:rPr>
        <w:t>X</w:t>
      </w:r>
      <w:r>
        <w:fldChar w:fldCharType="end"/>
      </w:r>
      <w:r>
        <w:rPr>
          <w:rFonts w:hint="eastAsia"/>
          <w:lang w:val="en-US" w:eastAsia="zh-CN"/>
        </w:rPr>
        <w:t>X</w:t>
      </w:r>
    </w:p>
    <w:p w14:paraId="752FAF2B">
      <w:pPr>
        <w:pStyle w:val="10"/>
        <w:tabs>
          <w:tab w:val="right" w:leader="dot" w:pos="8313"/>
        </w:tabs>
      </w:pPr>
      <w:r>
        <w:fldChar w:fldCharType="begin"/>
      </w:r>
      <w:r>
        <w:instrText xml:space="preserve"> HYPERLINK \l "_Toc1749" </w:instrText>
      </w:r>
      <w:r>
        <w:fldChar w:fldCharType="separate"/>
      </w:r>
      <w:r>
        <w:rPr>
          <w:rFonts w:hint="eastAsia"/>
          <w:bCs/>
        </w:rPr>
        <w:t>投标文件第一部分：</w:t>
      </w:r>
      <w:r>
        <w:tab/>
      </w:r>
      <w:r>
        <w:fldChar w:fldCharType="begin"/>
      </w:r>
      <w:r>
        <w:instrText xml:space="preserve"> PAGEREF _Toc1749 \h </w:instrText>
      </w:r>
      <w:r>
        <w:fldChar w:fldCharType="separate"/>
      </w:r>
      <w:r>
        <w:rPr>
          <w:b/>
        </w:rPr>
        <w:t>错误！未定义书签。</w:t>
      </w:r>
      <w:r>
        <w:fldChar w:fldCharType="end"/>
      </w:r>
      <w:r>
        <w:fldChar w:fldCharType="end"/>
      </w:r>
    </w:p>
    <w:p w14:paraId="54725E06">
      <w:pPr>
        <w:pStyle w:val="10"/>
        <w:tabs>
          <w:tab w:val="right" w:leader="dot" w:pos="8313"/>
        </w:tabs>
        <w:rPr>
          <w:rFonts w:hint="eastAsia" w:eastAsia="宋体"/>
          <w:lang w:val="en-US" w:eastAsia="zh-CN"/>
        </w:rPr>
      </w:pPr>
      <w:r>
        <w:fldChar w:fldCharType="begin"/>
      </w:r>
      <w:r>
        <w:instrText xml:space="preserve"> HYPERLINK \l "_Toc18054" </w:instrText>
      </w:r>
      <w:r>
        <w:fldChar w:fldCharType="separate"/>
      </w:r>
      <w:r>
        <w:rPr>
          <w:rFonts w:hint="eastAsia" w:ascii="黑体" w:eastAsia="黑体"/>
          <w:kern w:val="0"/>
        </w:rPr>
        <w:t>一、投标一览表</w:t>
      </w:r>
      <w:r>
        <w:tab/>
      </w:r>
      <w:r>
        <w:rPr>
          <w:rFonts w:hint="eastAsia"/>
          <w:lang w:val="en-US" w:eastAsia="zh-CN"/>
        </w:rPr>
        <w:t>X</w:t>
      </w:r>
      <w:r>
        <w:fldChar w:fldCharType="end"/>
      </w:r>
      <w:r>
        <w:rPr>
          <w:rFonts w:hint="eastAsia"/>
          <w:lang w:val="en-US" w:eastAsia="zh-CN"/>
        </w:rPr>
        <w:t>X</w:t>
      </w:r>
    </w:p>
    <w:p w14:paraId="1BE8F661">
      <w:pPr>
        <w:pStyle w:val="10"/>
        <w:tabs>
          <w:tab w:val="right" w:leader="dot" w:pos="8313"/>
        </w:tabs>
        <w:rPr>
          <w:rFonts w:hint="eastAsia" w:eastAsia="宋体"/>
          <w:lang w:val="en-US" w:eastAsia="zh-CN"/>
        </w:rPr>
      </w:pPr>
      <w:r>
        <w:fldChar w:fldCharType="begin"/>
      </w:r>
      <w:r>
        <w:instrText xml:space="preserve"> HYPERLINK \l "_Toc17612" </w:instrText>
      </w:r>
      <w:r>
        <w:fldChar w:fldCharType="separate"/>
      </w:r>
      <w:r>
        <w:rPr>
          <w:rFonts w:hint="eastAsia" w:ascii="黑体" w:eastAsia="黑体"/>
          <w:kern w:val="0"/>
        </w:rPr>
        <w:t>二、法定代表人资格证明书</w:t>
      </w:r>
      <w:r>
        <w:tab/>
      </w:r>
      <w:r>
        <w:rPr>
          <w:rFonts w:hint="eastAsia"/>
          <w:lang w:val="en-US" w:eastAsia="zh-CN"/>
        </w:rPr>
        <w:t>X</w:t>
      </w:r>
      <w:r>
        <w:fldChar w:fldCharType="end"/>
      </w:r>
      <w:r>
        <w:rPr>
          <w:rFonts w:hint="eastAsia"/>
          <w:lang w:val="en-US" w:eastAsia="zh-CN"/>
        </w:rPr>
        <w:t>X</w:t>
      </w:r>
    </w:p>
    <w:p w14:paraId="53E0F231">
      <w:pPr>
        <w:pStyle w:val="10"/>
        <w:tabs>
          <w:tab w:val="right" w:leader="dot" w:pos="8313"/>
        </w:tabs>
        <w:rPr>
          <w:rFonts w:hint="eastAsia" w:eastAsia="宋体"/>
          <w:lang w:val="en-US" w:eastAsia="zh-CN"/>
        </w:rPr>
      </w:pPr>
      <w:r>
        <w:fldChar w:fldCharType="begin"/>
      </w:r>
      <w:r>
        <w:instrText xml:space="preserve"> HYPERLINK \l "_Toc21152" </w:instrText>
      </w:r>
      <w:r>
        <w:fldChar w:fldCharType="separate"/>
      </w:r>
      <w:r>
        <w:rPr>
          <w:rFonts w:hint="eastAsia" w:ascii="黑体" w:eastAsia="黑体"/>
          <w:kern w:val="0"/>
        </w:rPr>
        <w:t>三、投标文件签署授权委托书</w:t>
      </w:r>
      <w:r>
        <w:tab/>
      </w:r>
      <w:r>
        <w:rPr>
          <w:rFonts w:hint="eastAsia"/>
          <w:lang w:val="en-US" w:eastAsia="zh-CN"/>
        </w:rPr>
        <w:t>X</w:t>
      </w:r>
      <w:r>
        <w:fldChar w:fldCharType="end"/>
      </w:r>
      <w:r>
        <w:rPr>
          <w:rFonts w:hint="eastAsia"/>
          <w:lang w:val="en-US" w:eastAsia="zh-CN"/>
        </w:rPr>
        <w:t>X</w:t>
      </w:r>
    </w:p>
    <w:p w14:paraId="162AEAA8">
      <w:pPr>
        <w:pStyle w:val="10"/>
        <w:tabs>
          <w:tab w:val="right" w:leader="dot" w:pos="8313"/>
        </w:tabs>
        <w:rPr>
          <w:rFonts w:hint="eastAsia" w:eastAsia="宋体"/>
          <w:lang w:val="en-US" w:eastAsia="zh-CN"/>
        </w:rPr>
      </w:pPr>
      <w:r>
        <w:fldChar w:fldCharType="begin"/>
      </w:r>
      <w:r>
        <w:instrText xml:space="preserve"> HYPERLINK \l "_Toc3359" </w:instrText>
      </w:r>
      <w:r>
        <w:fldChar w:fldCharType="separate"/>
      </w:r>
      <w:r>
        <w:rPr>
          <w:rFonts w:hint="eastAsia" w:ascii="黑体" w:eastAsia="黑体"/>
          <w:kern w:val="0"/>
        </w:rPr>
        <w:t>四、投标函</w:t>
      </w:r>
      <w:r>
        <w:tab/>
      </w:r>
      <w:r>
        <w:rPr>
          <w:rFonts w:hint="eastAsia"/>
          <w:lang w:val="en-US" w:eastAsia="zh-CN"/>
        </w:rPr>
        <w:t>X</w:t>
      </w:r>
      <w:r>
        <w:fldChar w:fldCharType="end"/>
      </w:r>
      <w:r>
        <w:rPr>
          <w:rFonts w:hint="eastAsia"/>
          <w:lang w:val="en-US" w:eastAsia="zh-CN"/>
        </w:rPr>
        <w:t>X</w:t>
      </w:r>
    </w:p>
    <w:p w14:paraId="71E3BE80">
      <w:pPr>
        <w:pStyle w:val="10"/>
        <w:tabs>
          <w:tab w:val="right" w:leader="dot" w:pos="8313"/>
        </w:tabs>
        <w:rPr>
          <w:rFonts w:hint="eastAsia" w:eastAsia="宋体"/>
          <w:lang w:val="en-US" w:eastAsia="zh-CN"/>
        </w:rPr>
      </w:pPr>
      <w:r>
        <w:fldChar w:fldCharType="begin"/>
      </w:r>
      <w:r>
        <w:instrText xml:space="preserve"> HYPERLINK \l "_Toc30687" </w:instrText>
      </w:r>
      <w:r>
        <w:fldChar w:fldCharType="separate"/>
      </w:r>
      <w:r>
        <w:rPr>
          <w:rFonts w:hint="eastAsia" w:ascii="黑体" w:eastAsia="黑体"/>
          <w:kern w:val="0"/>
        </w:rPr>
        <w:t>五、投标及履约承诺函</w:t>
      </w:r>
      <w:r>
        <w:tab/>
      </w:r>
      <w:r>
        <w:rPr>
          <w:rFonts w:hint="eastAsia"/>
          <w:lang w:val="en-US" w:eastAsia="zh-CN"/>
        </w:rPr>
        <w:t>X</w:t>
      </w:r>
      <w:r>
        <w:fldChar w:fldCharType="end"/>
      </w:r>
      <w:r>
        <w:rPr>
          <w:rFonts w:hint="eastAsia"/>
          <w:lang w:val="en-US" w:eastAsia="zh-CN"/>
        </w:rPr>
        <w:t>X</w:t>
      </w:r>
    </w:p>
    <w:p w14:paraId="3A3EAFE3">
      <w:pPr>
        <w:pStyle w:val="10"/>
        <w:tabs>
          <w:tab w:val="right" w:leader="dot" w:pos="8313"/>
        </w:tabs>
        <w:rPr>
          <w:rFonts w:hint="eastAsia" w:eastAsia="宋体"/>
          <w:lang w:val="en-US" w:eastAsia="zh-CN"/>
        </w:rPr>
      </w:pPr>
      <w:r>
        <w:fldChar w:fldCharType="begin"/>
      </w:r>
      <w:r>
        <w:instrText xml:space="preserve"> HYPERLINK \l "_Toc22105" </w:instrText>
      </w:r>
      <w:r>
        <w:fldChar w:fldCharType="separate"/>
      </w:r>
      <w:r>
        <w:rPr>
          <w:rFonts w:hint="eastAsia" w:ascii="黑体" w:eastAsia="黑体"/>
          <w:kern w:val="0"/>
        </w:rPr>
        <w:t>六、投标人情况介绍及相关资质材料</w:t>
      </w:r>
      <w:r>
        <w:tab/>
      </w:r>
      <w:r>
        <w:rPr>
          <w:rFonts w:hint="eastAsia"/>
          <w:lang w:val="en-US" w:eastAsia="zh-CN"/>
        </w:rPr>
        <w:t>X</w:t>
      </w:r>
      <w:r>
        <w:fldChar w:fldCharType="end"/>
      </w:r>
      <w:r>
        <w:rPr>
          <w:rFonts w:hint="eastAsia"/>
          <w:lang w:val="en-US" w:eastAsia="zh-CN"/>
        </w:rPr>
        <w:t>X</w:t>
      </w:r>
    </w:p>
    <w:p w14:paraId="3BE5D589">
      <w:pPr>
        <w:pStyle w:val="10"/>
        <w:tabs>
          <w:tab w:val="right" w:leader="dot" w:pos="8313"/>
        </w:tabs>
        <w:rPr>
          <w:rFonts w:hint="eastAsia" w:eastAsia="宋体"/>
          <w:lang w:val="en-US" w:eastAsia="zh-CN"/>
        </w:rPr>
      </w:pPr>
      <w:r>
        <w:fldChar w:fldCharType="begin"/>
      </w:r>
      <w:r>
        <w:instrText xml:space="preserve"> HYPERLINK \l "_Toc22125" </w:instrText>
      </w:r>
      <w:r>
        <w:fldChar w:fldCharType="separate"/>
      </w:r>
      <w:r>
        <w:rPr>
          <w:rFonts w:hint="eastAsia" w:ascii="黑体" w:eastAsia="黑体"/>
          <w:kern w:val="0"/>
        </w:rPr>
        <w:t>七、投标人通过相关认证情况</w:t>
      </w:r>
      <w:r>
        <w:tab/>
      </w:r>
      <w:r>
        <w:rPr>
          <w:rFonts w:hint="eastAsia"/>
          <w:lang w:val="en-US" w:eastAsia="zh-CN"/>
        </w:rPr>
        <w:t>X</w:t>
      </w:r>
      <w:r>
        <w:fldChar w:fldCharType="end"/>
      </w:r>
      <w:r>
        <w:rPr>
          <w:rFonts w:hint="eastAsia"/>
          <w:lang w:val="en-US" w:eastAsia="zh-CN"/>
        </w:rPr>
        <w:t>X</w:t>
      </w:r>
    </w:p>
    <w:p w14:paraId="14B3DB14">
      <w:pPr>
        <w:pStyle w:val="10"/>
        <w:tabs>
          <w:tab w:val="right" w:leader="dot" w:pos="8313"/>
        </w:tabs>
        <w:rPr>
          <w:rFonts w:hint="eastAsia" w:eastAsia="宋体"/>
          <w:lang w:val="en-US" w:eastAsia="zh-CN"/>
        </w:rPr>
      </w:pPr>
      <w:r>
        <w:fldChar w:fldCharType="begin"/>
      </w:r>
      <w:r>
        <w:instrText xml:space="preserve"> HYPERLINK \l "_Toc23707" </w:instrText>
      </w:r>
      <w:r>
        <w:fldChar w:fldCharType="separate"/>
      </w:r>
      <w:r>
        <w:rPr>
          <w:rFonts w:hint="eastAsia" w:ascii="黑体" w:eastAsia="黑体"/>
          <w:kern w:val="0"/>
        </w:rPr>
        <w:t>八、投标人同类项目业绩情况</w:t>
      </w:r>
      <w:r>
        <w:tab/>
      </w:r>
      <w:r>
        <w:rPr>
          <w:rFonts w:hint="eastAsia"/>
          <w:lang w:val="en-US" w:eastAsia="zh-CN"/>
        </w:rPr>
        <w:t>X</w:t>
      </w:r>
      <w:r>
        <w:fldChar w:fldCharType="end"/>
      </w:r>
      <w:r>
        <w:rPr>
          <w:rFonts w:hint="eastAsia"/>
          <w:lang w:val="en-US" w:eastAsia="zh-CN"/>
        </w:rPr>
        <w:t>X</w:t>
      </w:r>
    </w:p>
    <w:p w14:paraId="66850EAB">
      <w:pPr>
        <w:pStyle w:val="10"/>
        <w:tabs>
          <w:tab w:val="right" w:leader="dot" w:pos="8313"/>
        </w:tabs>
        <w:rPr>
          <w:rFonts w:hint="eastAsia" w:eastAsia="宋体"/>
          <w:lang w:val="en-US" w:eastAsia="zh-CN"/>
        </w:rPr>
      </w:pPr>
      <w:r>
        <w:fldChar w:fldCharType="begin"/>
      </w:r>
      <w:r>
        <w:instrText xml:space="preserve"> HYPERLINK \l "_Toc30841" </w:instrText>
      </w:r>
      <w:r>
        <w:fldChar w:fldCharType="separate"/>
      </w:r>
      <w:r>
        <w:rPr>
          <w:rFonts w:hint="eastAsia"/>
          <w:lang w:eastAsia="zh-CN"/>
        </w:rPr>
        <w:t>九</w:t>
      </w:r>
      <w:r>
        <w:rPr>
          <w:rFonts w:hint="eastAsia" w:ascii="黑体" w:eastAsia="黑体"/>
          <w:kern w:val="0"/>
        </w:rPr>
        <w:t>、拟安排的项目经理情况（仅限一人）</w:t>
      </w:r>
      <w:r>
        <w:tab/>
      </w:r>
      <w:r>
        <w:rPr>
          <w:rFonts w:hint="eastAsia"/>
          <w:lang w:val="en-US" w:eastAsia="zh-CN"/>
        </w:rPr>
        <w:t>X</w:t>
      </w:r>
      <w:r>
        <w:fldChar w:fldCharType="end"/>
      </w:r>
      <w:r>
        <w:rPr>
          <w:rFonts w:hint="eastAsia"/>
          <w:lang w:val="en-US" w:eastAsia="zh-CN"/>
        </w:rPr>
        <w:t>X</w:t>
      </w:r>
    </w:p>
    <w:p w14:paraId="5CB3B5EC">
      <w:pPr>
        <w:pStyle w:val="10"/>
        <w:tabs>
          <w:tab w:val="right" w:leader="dot" w:pos="8313"/>
        </w:tabs>
        <w:rPr>
          <w:rFonts w:hint="eastAsia" w:eastAsia="宋体"/>
          <w:lang w:val="en-US" w:eastAsia="zh-CN"/>
        </w:rPr>
      </w:pPr>
      <w:r>
        <w:fldChar w:fldCharType="begin"/>
      </w:r>
      <w:r>
        <w:instrText xml:space="preserve"> HYPERLINK \l "_Toc453" </w:instrText>
      </w:r>
      <w:r>
        <w:fldChar w:fldCharType="separate"/>
      </w:r>
      <w:r>
        <w:rPr>
          <w:rFonts w:hint="eastAsia" w:ascii="黑体" w:eastAsia="黑体"/>
          <w:kern w:val="0"/>
        </w:rPr>
        <w:t>十、拟安排的项目主要团队成员（主要技术人员）情况（项目经理除外）</w:t>
      </w:r>
      <w:r>
        <w:tab/>
      </w:r>
      <w:r>
        <w:rPr>
          <w:rFonts w:hint="eastAsia"/>
          <w:lang w:val="en-US" w:eastAsia="zh-CN"/>
        </w:rPr>
        <w:t>X</w:t>
      </w:r>
      <w:r>
        <w:fldChar w:fldCharType="end"/>
      </w:r>
      <w:r>
        <w:rPr>
          <w:rFonts w:hint="eastAsia"/>
          <w:lang w:val="en-US" w:eastAsia="zh-CN"/>
        </w:rPr>
        <w:t>X</w:t>
      </w:r>
    </w:p>
    <w:p w14:paraId="68AE0205">
      <w:pPr>
        <w:pStyle w:val="10"/>
        <w:tabs>
          <w:tab w:val="right" w:leader="dot" w:pos="8313"/>
        </w:tabs>
        <w:rPr>
          <w:rFonts w:hint="eastAsia" w:eastAsia="宋体"/>
          <w:lang w:val="en-US" w:eastAsia="zh-CN"/>
        </w:rPr>
      </w:pPr>
      <w:r>
        <w:fldChar w:fldCharType="begin"/>
      </w:r>
      <w:r>
        <w:instrText xml:space="preserve"> HYPERLINK \l "_Toc32169" </w:instrText>
      </w:r>
      <w:r>
        <w:fldChar w:fldCharType="separate"/>
      </w:r>
      <w:r>
        <w:rPr>
          <w:rFonts w:hint="eastAsia" w:ascii="黑体" w:eastAsia="黑体"/>
          <w:kern w:val="0"/>
        </w:rPr>
        <w:t>十</w:t>
      </w:r>
      <w:r>
        <w:rPr>
          <w:rFonts w:hint="eastAsia" w:ascii="黑体" w:eastAsia="黑体"/>
          <w:kern w:val="0"/>
          <w:lang w:eastAsia="zh-CN"/>
        </w:rPr>
        <w:t>一</w:t>
      </w:r>
      <w:r>
        <w:rPr>
          <w:rFonts w:hint="eastAsia" w:ascii="黑体" w:eastAsia="黑体"/>
          <w:kern w:val="0"/>
        </w:rPr>
        <w:t>、政府采购违法行为风险知悉确认书</w:t>
      </w:r>
      <w:r>
        <w:tab/>
      </w:r>
      <w:r>
        <w:rPr>
          <w:rFonts w:hint="eastAsia"/>
          <w:lang w:val="en-US" w:eastAsia="zh-CN"/>
        </w:rPr>
        <w:t>X</w:t>
      </w:r>
      <w:r>
        <w:fldChar w:fldCharType="end"/>
      </w:r>
      <w:r>
        <w:rPr>
          <w:rFonts w:hint="eastAsia"/>
          <w:lang w:val="en-US" w:eastAsia="zh-CN"/>
        </w:rPr>
        <w:t>X</w:t>
      </w:r>
    </w:p>
    <w:p w14:paraId="3622B8D3">
      <w:pPr>
        <w:pStyle w:val="10"/>
        <w:tabs>
          <w:tab w:val="right" w:leader="dot" w:pos="8313"/>
        </w:tabs>
        <w:rPr>
          <w:rFonts w:hint="eastAsia" w:eastAsia="宋体"/>
          <w:lang w:val="en-US" w:eastAsia="zh-CN"/>
        </w:rPr>
      </w:pPr>
      <w:r>
        <w:fldChar w:fldCharType="begin"/>
      </w:r>
      <w:r>
        <w:instrText xml:space="preserve"> HYPERLINK \l "_Toc5847" </w:instrText>
      </w:r>
      <w:r>
        <w:fldChar w:fldCharType="separate"/>
      </w:r>
      <w:r>
        <w:rPr>
          <w:rFonts w:hint="eastAsia"/>
          <w:bCs/>
        </w:rPr>
        <w:t>投标文件第二</w:t>
      </w:r>
      <w:r>
        <w:rPr>
          <w:bCs/>
        </w:rPr>
        <w:t>部分</w:t>
      </w:r>
      <w:r>
        <w:rPr>
          <w:rFonts w:hint="eastAsia"/>
          <w:bCs/>
        </w:rPr>
        <w:t>：</w:t>
      </w:r>
      <w:r>
        <w:tab/>
      </w:r>
      <w:r>
        <w:rPr>
          <w:rFonts w:hint="eastAsia"/>
          <w:lang w:val="en-US" w:eastAsia="zh-CN"/>
        </w:rPr>
        <w:t>X</w:t>
      </w:r>
      <w:r>
        <w:fldChar w:fldCharType="end"/>
      </w:r>
      <w:r>
        <w:rPr>
          <w:rFonts w:hint="eastAsia"/>
          <w:lang w:val="en-US" w:eastAsia="zh-CN"/>
        </w:rPr>
        <w:t>X</w:t>
      </w:r>
    </w:p>
    <w:p w14:paraId="2C1399C8">
      <w:pPr>
        <w:pStyle w:val="10"/>
        <w:tabs>
          <w:tab w:val="right" w:leader="dot" w:pos="8313"/>
        </w:tabs>
        <w:rPr>
          <w:rFonts w:hint="eastAsia" w:eastAsia="宋体"/>
          <w:lang w:val="en-US" w:eastAsia="zh-CN"/>
        </w:rPr>
      </w:pPr>
      <w:r>
        <w:fldChar w:fldCharType="begin"/>
      </w:r>
      <w:r>
        <w:instrText xml:space="preserve"> HYPERLINK \l "_Toc26669" </w:instrText>
      </w:r>
      <w:r>
        <w:fldChar w:fldCharType="separate"/>
      </w:r>
      <w:r>
        <w:rPr>
          <w:rFonts w:hint="eastAsia" w:ascii="黑体" w:eastAsia="黑体"/>
          <w:kern w:val="0"/>
        </w:rPr>
        <w:t>一、授权委托</w:t>
      </w:r>
      <w:r>
        <w:rPr>
          <w:rFonts w:hint="eastAsia" w:ascii="黑体" w:eastAsia="黑体"/>
        </w:rPr>
        <w:t>代理人联系方式</w:t>
      </w:r>
      <w:r>
        <w:tab/>
      </w:r>
      <w:r>
        <w:rPr>
          <w:rFonts w:hint="eastAsia"/>
          <w:lang w:val="en-US" w:eastAsia="zh-CN"/>
        </w:rPr>
        <w:t>X</w:t>
      </w:r>
      <w:r>
        <w:fldChar w:fldCharType="end"/>
      </w:r>
      <w:r>
        <w:rPr>
          <w:rFonts w:hint="eastAsia"/>
          <w:lang w:val="en-US" w:eastAsia="zh-CN"/>
        </w:rPr>
        <w:t>X</w:t>
      </w:r>
    </w:p>
    <w:p w14:paraId="7C72308F">
      <w:pPr>
        <w:pStyle w:val="10"/>
        <w:tabs>
          <w:tab w:val="right" w:leader="dot" w:pos="8313"/>
        </w:tabs>
        <w:rPr>
          <w:rFonts w:hint="default" w:eastAsia="宋体"/>
          <w:lang w:val="en-US" w:eastAsia="zh-CN"/>
        </w:rPr>
      </w:pPr>
      <w:r>
        <w:fldChar w:fldCharType="begin"/>
      </w:r>
      <w:r>
        <w:instrText xml:space="preserve"> HYPERLINK \l "_Toc4918" </w:instrText>
      </w:r>
      <w:r>
        <w:fldChar w:fldCharType="separate"/>
      </w:r>
      <w:r>
        <w:rPr>
          <w:rFonts w:hint="eastAsia" w:ascii="黑体" w:eastAsia="黑体"/>
          <w:kern w:val="0"/>
        </w:rPr>
        <w:t>二、工程量清单报价格式</w:t>
      </w:r>
      <w:r>
        <w:tab/>
      </w:r>
      <w:r>
        <w:rPr>
          <w:rFonts w:hint="eastAsia"/>
          <w:lang w:val="en-US" w:eastAsia="zh-CN"/>
        </w:rPr>
        <w:t>X</w:t>
      </w:r>
      <w:r>
        <w:fldChar w:fldCharType="end"/>
      </w:r>
      <w:r>
        <w:rPr>
          <w:rFonts w:hint="eastAsia"/>
          <w:lang w:val="en-US" w:eastAsia="zh-CN"/>
        </w:rPr>
        <w:t>X</w:t>
      </w:r>
    </w:p>
    <w:p w14:paraId="6D10FD11">
      <w:pPr>
        <w:pStyle w:val="10"/>
        <w:tabs>
          <w:tab w:val="right" w:leader="dot" w:pos="8313"/>
        </w:tabs>
        <w:rPr>
          <w:rFonts w:hint="eastAsia" w:eastAsia="宋体"/>
          <w:lang w:val="en-US" w:eastAsia="zh-CN"/>
        </w:rPr>
      </w:pPr>
      <w:r>
        <w:fldChar w:fldCharType="begin"/>
      </w:r>
      <w:r>
        <w:instrText xml:space="preserve"> HYPERLINK \l "_Toc5098" </w:instrText>
      </w:r>
      <w:r>
        <w:fldChar w:fldCharType="separate"/>
      </w:r>
      <w:r>
        <w:rPr>
          <w:rFonts w:hint="eastAsia" w:ascii="黑体" w:eastAsia="黑体"/>
          <w:kern w:val="0"/>
        </w:rPr>
        <w:t>三</w:t>
      </w:r>
      <w:r>
        <w:rPr>
          <w:rFonts w:ascii="黑体" w:eastAsia="黑体"/>
          <w:kern w:val="0"/>
        </w:rPr>
        <w:t>、</w:t>
      </w:r>
      <w:r>
        <w:rPr>
          <w:rFonts w:hint="eastAsia" w:ascii="黑体" w:eastAsia="黑体"/>
          <w:kern w:val="0"/>
        </w:rPr>
        <w:t>拟采用设备（材料）的性能（节能环保情况）、档次及质量可靠性</w:t>
      </w:r>
      <w:r>
        <w:tab/>
      </w:r>
      <w:r>
        <w:rPr>
          <w:rFonts w:hint="eastAsia"/>
          <w:lang w:val="en-US" w:eastAsia="zh-CN"/>
        </w:rPr>
        <w:t>X</w:t>
      </w:r>
      <w:r>
        <w:fldChar w:fldCharType="end"/>
      </w:r>
      <w:r>
        <w:rPr>
          <w:rFonts w:hint="eastAsia"/>
          <w:lang w:val="en-US" w:eastAsia="zh-CN"/>
        </w:rPr>
        <w:t>X</w:t>
      </w:r>
    </w:p>
    <w:p w14:paraId="70181C10">
      <w:pPr>
        <w:pStyle w:val="10"/>
        <w:tabs>
          <w:tab w:val="right" w:leader="dot" w:pos="8313"/>
        </w:tabs>
        <w:rPr>
          <w:rFonts w:hint="eastAsia" w:eastAsia="宋体"/>
          <w:lang w:val="en-US" w:eastAsia="zh-CN"/>
        </w:rPr>
      </w:pPr>
      <w:r>
        <w:fldChar w:fldCharType="begin"/>
      </w:r>
      <w:r>
        <w:instrText xml:space="preserve"> HYPERLINK \l "_Toc12178" </w:instrText>
      </w:r>
      <w:r>
        <w:fldChar w:fldCharType="separate"/>
      </w:r>
      <w:r>
        <w:rPr>
          <w:rFonts w:hint="eastAsia" w:ascii="黑体" w:eastAsia="黑体"/>
          <w:kern w:val="0"/>
        </w:rPr>
        <w:t>四、项目总体概述及理解</w:t>
      </w:r>
      <w:r>
        <w:tab/>
      </w:r>
      <w:r>
        <w:rPr>
          <w:rFonts w:hint="eastAsia"/>
          <w:lang w:val="en-US" w:eastAsia="zh-CN"/>
        </w:rPr>
        <w:t>X</w:t>
      </w:r>
      <w:r>
        <w:fldChar w:fldCharType="end"/>
      </w:r>
      <w:r>
        <w:rPr>
          <w:rFonts w:hint="eastAsia"/>
          <w:lang w:val="en-US" w:eastAsia="zh-CN"/>
        </w:rPr>
        <w:t>X</w:t>
      </w:r>
    </w:p>
    <w:p w14:paraId="3DF323E0">
      <w:pPr>
        <w:pStyle w:val="10"/>
        <w:tabs>
          <w:tab w:val="right" w:leader="dot" w:pos="8313"/>
        </w:tabs>
        <w:rPr>
          <w:rFonts w:hint="eastAsia" w:eastAsia="宋体"/>
          <w:lang w:val="en-US" w:eastAsia="zh-CN"/>
        </w:rPr>
      </w:pPr>
      <w:r>
        <w:fldChar w:fldCharType="begin"/>
      </w:r>
      <w:r>
        <w:instrText xml:space="preserve"> HYPERLINK \l "_Toc22976" </w:instrText>
      </w:r>
      <w:r>
        <w:fldChar w:fldCharType="separate"/>
      </w:r>
      <w:r>
        <w:rPr>
          <w:rFonts w:hint="eastAsia" w:ascii="黑体" w:eastAsia="黑体"/>
          <w:kern w:val="0"/>
        </w:rPr>
        <w:t>五、施工组织计划、施工技术、施工工艺及对施工材料的理解</w:t>
      </w:r>
      <w:r>
        <w:tab/>
      </w:r>
      <w:r>
        <w:rPr>
          <w:rFonts w:hint="eastAsia"/>
          <w:lang w:val="en-US" w:eastAsia="zh-CN"/>
        </w:rPr>
        <w:t>X</w:t>
      </w:r>
      <w:r>
        <w:fldChar w:fldCharType="end"/>
      </w:r>
      <w:r>
        <w:rPr>
          <w:rFonts w:hint="eastAsia"/>
          <w:lang w:val="en-US" w:eastAsia="zh-CN"/>
        </w:rPr>
        <w:t>X</w:t>
      </w:r>
    </w:p>
    <w:p w14:paraId="59B18B00">
      <w:pPr>
        <w:pStyle w:val="10"/>
        <w:tabs>
          <w:tab w:val="right" w:leader="dot" w:pos="8313"/>
        </w:tabs>
        <w:rPr>
          <w:rFonts w:hint="eastAsia" w:eastAsia="宋体"/>
          <w:lang w:val="en-US" w:eastAsia="zh-CN"/>
        </w:rPr>
      </w:pPr>
      <w:r>
        <w:fldChar w:fldCharType="begin"/>
      </w:r>
      <w:r>
        <w:instrText xml:space="preserve"> HYPERLINK \l "_Toc8304" </w:instrText>
      </w:r>
      <w:r>
        <w:fldChar w:fldCharType="separate"/>
      </w:r>
      <w:r>
        <w:rPr>
          <w:rFonts w:hint="eastAsia" w:ascii="黑体" w:eastAsia="黑体"/>
          <w:kern w:val="0"/>
        </w:rPr>
        <w:t>六、项目实施关键施工技术（重点难点）分析及解决方案</w:t>
      </w:r>
      <w:r>
        <w:tab/>
      </w:r>
      <w:r>
        <w:rPr>
          <w:rFonts w:hint="eastAsia"/>
          <w:lang w:val="en-US" w:eastAsia="zh-CN"/>
        </w:rPr>
        <w:t>X</w:t>
      </w:r>
      <w:r>
        <w:fldChar w:fldCharType="end"/>
      </w:r>
      <w:r>
        <w:rPr>
          <w:rFonts w:hint="eastAsia"/>
          <w:lang w:val="en-US" w:eastAsia="zh-CN"/>
        </w:rPr>
        <w:t>X</w:t>
      </w:r>
    </w:p>
    <w:p w14:paraId="5EAAA02D">
      <w:pPr>
        <w:pStyle w:val="10"/>
        <w:tabs>
          <w:tab w:val="right" w:leader="dot" w:pos="8313"/>
        </w:tabs>
      </w:pPr>
      <w:r>
        <w:fldChar w:fldCharType="begin"/>
      </w:r>
      <w:r>
        <w:instrText xml:space="preserve"> HYPERLINK \l "_Toc1701" </w:instrText>
      </w:r>
      <w:r>
        <w:fldChar w:fldCharType="separate"/>
      </w:r>
      <w:r>
        <w:rPr>
          <w:rFonts w:hint="eastAsia" w:ascii="黑体" w:eastAsia="黑体"/>
          <w:kern w:val="0"/>
        </w:rPr>
        <w:t>七、施工质量（安全、环保、工期）保障措施及相关的履约承诺</w:t>
      </w:r>
      <w:r>
        <w:tab/>
      </w:r>
      <w:r>
        <w:rPr>
          <w:rFonts w:hint="eastAsia"/>
          <w:lang w:val="en-US" w:eastAsia="zh-CN"/>
        </w:rPr>
        <w:t>XX</w:t>
      </w:r>
      <w:r>
        <w:fldChar w:fldCharType="end"/>
      </w:r>
    </w:p>
    <w:p w14:paraId="124A4225">
      <w:pPr>
        <w:pStyle w:val="14"/>
        <w:tabs>
          <w:tab w:val="right" w:leader="dot" w:pos="8313"/>
          <w:tab w:val="clear" w:pos="8296"/>
        </w:tabs>
      </w:pPr>
    </w:p>
    <w:p w14:paraId="37785C1D">
      <w:r>
        <w:fldChar w:fldCharType="end"/>
      </w:r>
    </w:p>
    <w:p w14:paraId="1E7473B1">
      <w:pPr>
        <w:widowControl/>
        <w:jc w:val="left"/>
        <w:rPr>
          <w:rFonts w:ascii="宋体" w:hAnsi="宋体"/>
          <w:sz w:val="28"/>
          <w:szCs w:val="28"/>
        </w:rPr>
      </w:pPr>
    </w:p>
    <w:p w14:paraId="10BA694D">
      <w:pPr>
        <w:widowControl/>
        <w:jc w:val="left"/>
        <w:rPr>
          <w:rFonts w:ascii="仿宋_GB2312" w:eastAsia="仿宋_GB2312"/>
          <w:b/>
          <w:color w:val="FF0000"/>
          <w:sz w:val="30"/>
          <w:szCs w:val="30"/>
        </w:rPr>
      </w:pPr>
      <w:r>
        <w:rPr>
          <w:rFonts w:hint="eastAsia" w:ascii="黑体" w:eastAsia="黑体"/>
          <w:color w:val="FF0000"/>
          <w:kern w:val="0"/>
          <w:sz w:val="24"/>
          <w:lang w:eastAsia="zh-CN"/>
        </w:rPr>
        <w:t>注：</w:t>
      </w:r>
      <w:r>
        <w:rPr>
          <w:rFonts w:hint="eastAsia" w:ascii="黑体" w:eastAsia="黑体"/>
          <w:color w:val="FF0000"/>
          <w:kern w:val="0"/>
          <w:sz w:val="24"/>
        </w:rPr>
        <w:t>其它</w:t>
      </w:r>
      <w:r>
        <w:rPr>
          <w:rFonts w:hint="eastAsia" w:ascii="黑体" w:eastAsia="黑体"/>
          <w:color w:val="FF0000"/>
          <w:kern w:val="0"/>
          <w:sz w:val="24"/>
          <w:lang w:eastAsia="zh-CN"/>
        </w:rPr>
        <w:t>采购文件</w:t>
      </w:r>
      <w:r>
        <w:rPr>
          <w:rFonts w:hint="eastAsia" w:ascii="黑体" w:eastAsia="黑体"/>
          <w:color w:val="FF0000"/>
          <w:kern w:val="0"/>
          <w:sz w:val="24"/>
        </w:rPr>
        <w:t>要求的内容及投标人认为需要补充的内容（格式自定）</w:t>
      </w:r>
    </w:p>
    <w:p w14:paraId="5691E8B6">
      <w:pPr>
        <w:widowControl/>
        <w:jc w:val="left"/>
        <w:rPr>
          <w:rFonts w:ascii="仿宋_GB2312" w:eastAsia="仿宋_GB2312"/>
          <w:b/>
          <w:color w:val="FF0000"/>
          <w:sz w:val="30"/>
          <w:szCs w:val="30"/>
        </w:rPr>
      </w:pPr>
    </w:p>
    <w:p w14:paraId="50DAF4FE">
      <w:pPr>
        <w:pStyle w:val="4"/>
        <w:keepNext w:val="0"/>
        <w:keepLines w:val="0"/>
        <w:pageBreakBefore/>
        <w:rPr>
          <w:bCs/>
          <w:color w:val="FF0000"/>
        </w:rPr>
      </w:pPr>
      <w:bookmarkStart w:id="45" w:name="_Toc28426"/>
      <w:r>
        <w:rPr>
          <w:rFonts w:hint="eastAsia"/>
          <w:bCs/>
          <w:color w:val="FF0000"/>
        </w:rPr>
        <w:t>投标文件第一部分：</w:t>
      </w:r>
      <w:bookmarkEnd w:id="45"/>
    </w:p>
    <w:p w14:paraId="66477D8D">
      <w:pPr>
        <w:pStyle w:val="4"/>
        <w:jc w:val="center"/>
        <w:rPr>
          <w:rFonts w:ascii="黑体" w:eastAsia="黑体"/>
          <w:b w:val="0"/>
          <w:kern w:val="0"/>
          <w:sz w:val="24"/>
        </w:rPr>
      </w:pPr>
      <w:bookmarkStart w:id="46" w:name="_Toc24614"/>
      <w:r>
        <w:rPr>
          <w:rFonts w:hint="eastAsia" w:ascii="黑体" w:eastAsia="黑体"/>
          <w:b w:val="0"/>
          <w:kern w:val="0"/>
          <w:sz w:val="24"/>
        </w:rPr>
        <w:t>一、投标一览表</w:t>
      </w:r>
      <w:bookmarkEnd w:id="46"/>
    </w:p>
    <w:p w14:paraId="227ECBE8">
      <w:pPr>
        <w:rPr>
          <w:sz w:val="24"/>
        </w:rPr>
      </w:pPr>
    </w:p>
    <w:p w14:paraId="373A54B1">
      <w:pPr>
        <w:spacing w:line="360" w:lineRule="auto"/>
        <w:rPr>
          <w:szCs w:val="21"/>
        </w:rPr>
      </w:pPr>
      <w:r>
        <w:rPr>
          <w:rFonts w:hint="eastAsia"/>
          <w:szCs w:val="21"/>
        </w:rPr>
        <w:t xml:space="preserve">投标人名称：_________________ </w:t>
      </w:r>
    </w:p>
    <w:p w14:paraId="02BF79C8">
      <w:pPr>
        <w:spacing w:line="360" w:lineRule="auto"/>
        <w:rPr>
          <w:szCs w:val="21"/>
          <w:u w:val="single"/>
        </w:rPr>
      </w:pPr>
      <w:r>
        <w:rPr>
          <w:rFonts w:hint="eastAsia"/>
          <w:szCs w:val="21"/>
        </w:rPr>
        <w:t xml:space="preserve">项目编号/包号：_______________ </w:t>
      </w:r>
    </w:p>
    <w:p w14:paraId="574B1E2A">
      <w:pPr>
        <w:spacing w:line="360" w:lineRule="auto"/>
        <w:rPr>
          <w:szCs w:val="21"/>
          <w:u w:val="single"/>
        </w:rPr>
      </w:pPr>
    </w:p>
    <w:tbl>
      <w:tblPr>
        <w:tblStyle w:val="17"/>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9"/>
        <w:gridCol w:w="2564"/>
        <w:gridCol w:w="2096"/>
      </w:tblGrid>
      <w:tr w14:paraId="569AE1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3869" w:type="dxa"/>
            <w:tcBorders>
              <w:top w:val="double" w:color="auto" w:sz="4" w:space="0"/>
              <w:bottom w:val="single" w:color="auto" w:sz="4" w:space="0"/>
            </w:tcBorders>
            <w:noWrap w:val="0"/>
            <w:vAlign w:val="center"/>
          </w:tcPr>
          <w:p w14:paraId="7B11EBD6">
            <w:pPr>
              <w:spacing w:line="360" w:lineRule="auto"/>
              <w:rPr>
                <w:szCs w:val="21"/>
              </w:rPr>
            </w:pPr>
            <w:r>
              <w:rPr>
                <w:rFonts w:hint="eastAsia"/>
                <w:szCs w:val="21"/>
              </w:rPr>
              <w:t>项目名称</w:t>
            </w:r>
          </w:p>
        </w:tc>
        <w:tc>
          <w:tcPr>
            <w:tcW w:w="2564" w:type="dxa"/>
            <w:tcBorders>
              <w:top w:val="double" w:color="auto" w:sz="4" w:space="0"/>
              <w:bottom w:val="single" w:color="auto" w:sz="4" w:space="0"/>
            </w:tcBorders>
            <w:noWrap w:val="0"/>
            <w:vAlign w:val="center"/>
          </w:tcPr>
          <w:p w14:paraId="3E4C442F">
            <w:pPr>
              <w:spacing w:line="360" w:lineRule="auto"/>
              <w:rPr>
                <w:szCs w:val="21"/>
              </w:rPr>
            </w:pPr>
            <w:r>
              <w:rPr>
                <w:rFonts w:hint="eastAsia"/>
                <w:szCs w:val="21"/>
              </w:rPr>
              <w:t>投标总价（元/人民币）</w:t>
            </w:r>
          </w:p>
        </w:tc>
        <w:tc>
          <w:tcPr>
            <w:tcW w:w="2096" w:type="dxa"/>
            <w:tcBorders>
              <w:top w:val="double" w:color="auto" w:sz="4" w:space="0"/>
              <w:bottom w:val="single" w:color="auto" w:sz="4" w:space="0"/>
            </w:tcBorders>
            <w:noWrap w:val="0"/>
            <w:vAlign w:val="center"/>
          </w:tcPr>
          <w:p w14:paraId="21EC6221">
            <w:pPr>
              <w:spacing w:line="360" w:lineRule="auto"/>
              <w:rPr>
                <w:szCs w:val="21"/>
              </w:rPr>
            </w:pPr>
            <w:r>
              <w:rPr>
                <w:rFonts w:hint="eastAsia"/>
                <w:szCs w:val="21"/>
              </w:rPr>
              <w:t>备注</w:t>
            </w:r>
          </w:p>
        </w:tc>
      </w:tr>
      <w:tr w14:paraId="45EDA2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3869" w:type="dxa"/>
            <w:tcBorders>
              <w:top w:val="single" w:color="auto" w:sz="4" w:space="0"/>
            </w:tcBorders>
            <w:noWrap w:val="0"/>
            <w:vAlign w:val="center"/>
          </w:tcPr>
          <w:p w14:paraId="4A75D9AC">
            <w:pPr>
              <w:spacing w:line="360" w:lineRule="auto"/>
              <w:rPr>
                <w:szCs w:val="21"/>
                <w:u w:val="single"/>
              </w:rPr>
            </w:pPr>
            <w:r>
              <w:rPr>
                <w:rFonts w:hint="eastAsia"/>
                <w:szCs w:val="21"/>
                <w:u w:val="single"/>
              </w:rPr>
              <w:t xml:space="preserve">                   </w:t>
            </w:r>
            <w:r>
              <w:rPr>
                <w:rFonts w:hint="eastAsia"/>
                <w:szCs w:val="21"/>
              </w:rPr>
              <w:t>项目</w:t>
            </w:r>
          </w:p>
        </w:tc>
        <w:tc>
          <w:tcPr>
            <w:tcW w:w="2564" w:type="dxa"/>
            <w:tcBorders>
              <w:top w:val="single" w:color="auto" w:sz="4" w:space="0"/>
            </w:tcBorders>
            <w:noWrap w:val="0"/>
            <w:vAlign w:val="center"/>
          </w:tcPr>
          <w:p w14:paraId="4917CDAE">
            <w:pPr>
              <w:spacing w:line="360" w:lineRule="auto"/>
              <w:rPr>
                <w:szCs w:val="21"/>
              </w:rPr>
            </w:pPr>
            <w:r>
              <w:rPr>
                <w:rFonts w:hint="eastAsia"/>
                <w:szCs w:val="21"/>
              </w:rPr>
              <w:t>大写：</w:t>
            </w:r>
          </w:p>
          <w:p w14:paraId="23CA6B09">
            <w:pPr>
              <w:spacing w:line="360" w:lineRule="auto"/>
              <w:rPr>
                <w:szCs w:val="21"/>
              </w:rPr>
            </w:pPr>
            <w:r>
              <w:rPr>
                <w:rFonts w:hint="eastAsia"/>
                <w:szCs w:val="21"/>
              </w:rPr>
              <w:t>小写：</w:t>
            </w:r>
          </w:p>
        </w:tc>
        <w:tc>
          <w:tcPr>
            <w:tcW w:w="2096" w:type="dxa"/>
            <w:tcBorders>
              <w:top w:val="single" w:color="auto" w:sz="4" w:space="0"/>
            </w:tcBorders>
            <w:noWrap w:val="0"/>
            <w:vAlign w:val="center"/>
          </w:tcPr>
          <w:p w14:paraId="48BD6D1D">
            <w:pPr>
              <w:spacing w:line="360" w:lineRule="auto"/>
              <w:rPr>
                <w:szCs w:val="21"/>
              </w:rPr>
            </w:pPr>
          </w:p>
        </w:tc>
      </w:tr>
    </w:tbl>
    <w:p w14:paraId="14F6A737">
      <w:pPr>
        <w:spacing w:line="360" w:lineRule="auto"/>
        <w:rPr>
          <w:szCs w:val="21"/>
        </w:rPr>
      </w:pPr>
    </w:p>
    <w:p w14:paraId="1AF91D85">
      <w:pPr>
        <w:spacing w:line="360" w:lineRule="auto"/>
        <w:rPr>
          <w:szCs w:val="21"/>
        </w:rPr>
      </w:pPr>
      <w:r>
        <w:rPr>
          <w:rFonts w:hint="eastAsia"/>
          <w:szCs w:val="21"/>
        </w:rPr>
        <w:t>注：1、价格应按“</w:t>
      </w:r>
      <w:r>
        <w:rPr>
          <w:rFonts w:hint="eastAsia"/>
          <w:szCs w:val="21"/>
          <w:lang w:eastAsia="zh-CN"/>
        </w:rPr>
        <w:t>采购文件</w:t>
      </w:r>
      <w:r>
        <w:rPr>
          <w:rFonts w:hint="eastAsia"/>
          <w:szCs w:val="21"/>
        </w:rPr>
        <w:t>”中规定的货币单位填写。</w:t>
      </w:r>
    </w:p>
    <w:p w14:paraId="22327AB8">
      <w:pPr>
        <w:spacing w:line="360" w:lineRule="auto"/>
        <w:rPr>
          <w:szCs w:val="21"/>
        </w:rPr>
      </w:pPr>
      <w:r>
        <w:rPr>
          <w:szCs w:val="21"/>
        </w:rPr>
        <w:t>2</w:t>
      </w:r>
      <w:r>
        <w:rPr>
          <w:rFonts w:hint="eastAsia"/>
          <w:szCs w:val="21"/>
        </w:rPr>
        <w:t>、投标人如果需要对报价或其它内容加以说明，可在备注栏填写。</w:t>
      </w:r>
    </w:p>
    <w:p w14:paraId="73042247">
      <w:pPr>
        <w:spacing w:line="360" w:lineRule="auto"/>
        <w:rPr>
          <w:szCs w:val="21"/>
        </w:rPr>
      </w:pPr>
    </w:p>
    <w:p w14:paraId="162B8C35">
      <w:pPr>
        <w:spacing w:line="360" w:lineRule="auto"/>
        <w:rPr>
          <w:szCs w:val="21"/>
        </w:rPr>
      </w:pPr>
    </w:p>
    <w:p w14:paraId="5F6DF750">
      <w:pPr>
        <w:rPr>
          <w:rFonts w:ascii="宋体" w:hAnsi="宋体"/>
          <w:sz w:val="24"/>
        </w:rPr>
      </w:pPr>
      <w:r>
        <w:rPr>
          <w:szCs w:val="21"/>
        </w:rPr>
        <w:br w:type="page"/>
      </w:r>
    </w:p>
    <w:p w14:paraId="2D604EB3">
      <w:pPr>
        <w:pStyle w:val="4"/>
        <w:jc w:val="center"/>
        <w:rPr>
          <w:rFonts w:ascii="黑体" w:eastAsia="黑体"/>
          <w:b w:val="0"/>
          <w:kern w:val="0"/>
          <w:sz w:val="24"/>
        </w:rPr>
      </w:pPr>
      <w:bookmarkStart w:id="47" w:name="_Toc23008"/>
      <w:r>
        <w:rPr>
          <w:rFonts w:hint="eastAsia" w:ascii="黑体" w:eastAsia="黑体"/>
          <w:b w:val="0"/>
          <w:kern w:val="0"/>
          <w:sz w:val="24"/>
        </w:rPr>
        <w:t>二、法定代表人资格证明书</w:t>
      </w:r>
      <w:bookmarkEnd w:id="47"/>
    </w:p>
    <w:p w14:paraId="2A2B0751">
      <w:pPr>
        <w:rPr>
          <w:sz w:val="24"/>
        </w:rPr>
      </w:pPr>
    </w:p>
    <w:p w14:paraId="25556828">
      <w:pPr>
        <w:spacing w:line="360" w:lineRule="auto"/>
        <w:rPr>
          <w:color w:val="auto"/>
          <w:szCs w:val="21"/>
        </w:rPr>
      </w:pPr>
      <w:r>
        <w:rPr>
          <w:rFonts w:hint="eastAsia"/>
          <w:color w:val="auto"/>
          <w:szCs w:val="21"/>
        </w:rPr>
        <w:t xml:space="preserve"> </w:t>
      </w:r>
      <w:r>
        <w:rPr>
          <w:rFonts w:hint="eastAsia"/>
          <w:color w:val="auto"/>
          <w:szCs w:val="21"/>
          <w:u w:val="single"/>
        </w:rPr>
        <w:t xml:space="preserve">         </w:t>
      </w:r>
      <w:r>
        <w:rPr>
          <w:rFonts w:hint="eastAsia"/>
          <w:color w:val="auto"/>
          <w:szCs w:val="21"/>
        </w:rPr>
        <w:t>同志，现任我单位</w:t>
      </w:r>
      <w:r>
        <w:rPr>
          <w:rFonts w:hint="eastAsia"/>
          <w:color w:val="auto"/>
          <w:szCs w:val="21"/>
          <w:u w:val="single"/>
        </w:rPr>
        <w:t xml:space="preserve">         </w:t>
      </w:r>
      <w:r>
        <w:rPr>
          <w:rFonts w:hint="eastAsia"/>
          <w:color w:val="auto"/>
          <w:szCs w:val="21"/>
        </w:rPr>
        <w:t>职务，为法定代表人，特此证明。</w:t>
      </w:r>
    </w:p>
    <w:p w14:paraId="0B921FB5">
      <w:pPr>
        <w:pStyle w:val="8"/>
        <w:spacing w:after="0" w:line="240" w:lineRule="auto"/>
        <w:ind w:left="0"/>
        <w:jc w:val="right"/>
        <w:rPr>
          <w:rFonts w:hint="eastAsia" w:asciiTheme="minorHAnsi" w:hAnsiTheme="minorHAnsi" w:eastAsiaTheme="minorEastAsia" w:cstheme="minorBidi"/>
          <w:color w:val="auto"/>
          <w:kern w:val="2"/>
          <w:sz w:val="21"/>
          <w:szCs w:val="21"/>
          <w:lang w:val="en-US" w:eastAsia="zh-CN" w:bidi="ar-SA"/>
        </w:rPr>
      </w:pPr>
    </w:p>
    <w:p w14:paraId="3BF050D7">
      <w:pPr>
        <w:pStyle w:val="8"/>
        <w:spacing w:after="0" w:line="240" w:lineRule="auto"/>
        <w:ind w:left="0"/>
        <w:jc w:val="right"/>
        <w:rPr>
          <w:rFonts w:hint="eastAsia" w:asciiTheme="minorHAnsi" w:hAnsiTheme="minorHAnsi" w:eastAsiaTheme="minorEastAsia" w:cstheme="minorBidi"/>
          <w:color w:val="auto"/>
          <w:kern w:val="2"/>
          <w:sz w:val="21"/>
          <w:szCs w:val="21"/>
          <w:lang w:val="en-US" w:eastAsia="zh-CN" w:bidi="ar-SA"/>
        </w:rPr>
      </w:pPr>
    </w:p>
    <w:p w14:paraId="00DAE983">
      <w:pPr>
        <w:pStyle w:val="8"/>
        <w:spacing w:after="0" w:line="240" w:lineRule="auto"/>
        <w:ind w:left="0"/>
        <w:jc w:val="center"/>
        <w:rPr>
          <w:rFonts w:hint="eastAsia" w:asciiTheme="minorHAnsi" w:hAnsiTheme="minorHAnsi" w:eastAsiaTheme="minorEastAsia" w:cstheme="minorBidi"/>
          <w:color w:val="auto"/>
          <w:kern w:val="2"/>
          <w:sz w:val="21"/>
          <w:szCs w:val="21"/>
          <w:lang w:val="en-US" w:eastAsia="zh-CN" w:bidi="ar-SA"/>
        </w:rPr>
      </w:pPr>
      <w:r>
        <w:rPr>
          <w:rFonts w:hint="eastAsia" w:asciiTheme="minorHAnsi" w:hAnsiTheme="minorHAnsi" w:cstheme="minorBidi"/>
          <w:color w:val="auto"/>
          <w:kern w:val="2"/>
          <w:sz w:val="21"/>
          <w:szCs w:val="21"/>
          <w:lang w:val="en-US" w:eastAsia="zh-CN" w:bidi="ar-SA"/>
        </w:rPr>
        <w:t xml:space="preserve">        </w:t>
      </w:r>
      <w:r>
        <w:rPr>
          <w:rFonts w:hint="eastAsia" w:asciiTheme="minorHAnsi" w:hAnsiTheme="minorHAnsi" w:eastAsiaTheme="minorEastAsia" w:cstheme="minorBidi"/>
          <w:color w:val="auto"/>
          <w:kern w:val="2"/>
          <w:sz w:val="21"/>
          <w:szCs w:val="21"/>
          <w:lang w:val="en-US" w:eastAsia="zh-CN" w:bidi="ar-SA"/>
        </w:rPr>
        <w:t>公司名称：</w:t>
      </w:r>
    </w:p>
    <w:p w14:paraId="73783669">
      <w:pPr>
        <w:pStyle w:val="8"/>
        <w:spacing w:after="0" w:line="240" w:lineRule="auto"/>
        <w:ind w:left="0"/>
        <w:jc w:val="center"/>
        <w:rPr>
          <w:rFonts w:hint="eastAsia" w:asciiTheme="minorHAnsi" w:hAnsiTheme="minorHAnsi" w:eastAsiaTheme="minorEastAsia" w:cstheme="minorBidi"/>
          <w:color w:val="auto"/>
          <w:kern w:val="2"/>
          <w:sz w:val="21"/>
          <w:szCs w:val="21"/>
          <w:lang w:val="en-US" w:eastAsia="zh-CN" w:bidi="ar-SA"/>
        </w:rPr>
      </w:pPr>
      <w:r>
        <w:rPr>
          <w:rFonts w:hint="eastAsia" w:asciiTheme="minorHAnsi" w:hAnsiTheme="minorHAnsi" w:eastAsiaTheme="minorEastAsia" w:cstheme="minorBidi"/>
          <w:color w:val="auto"/>
          <w:kern w:val="2"/>
          <w:sz w:val="21"/>
          <w:szCs w:val="21"/>
          <w:lang w:val="en-US" w:eastAsia="zh-CN" w:bidi="ar-SA"/>
        </w:rPr>
        <w:t xml:space="preserve">       签发日期：</w:t>
      </w:r>
    </w:p>
    <w:p w14:paraId="600CEF89">
      <w:pPr>
        <w:spacing w:line="263" w:lineRule="auto"/>
        <w:rPr>
          <w:rFonts w:hint="eastAsia" w:asciiTheme="minorHAnsi" w:hAnsiTheme="minorHAnsi" w:eastAsiaTheme="minorEastAsia" w:cstheme="minorBidi"/>
          <w:color w:val="auto"/>
          <w:kern w:val="2"/>
          <w:sz w:val="21"/>
          <w:szCs w:val="21"/>
          <w:lang w:val="en-US" w:eastAsia="zh-CN" w:bidi="ar-SA"/>
        </w:rPr>
      </w:pPr>
    </w:p>
    <w:p w14:paraId="6731BE2C">
      <w:pPr>
        <w:spacing w:line="263" w:lineRule="auto"/>
        <w:rPr>
          <w:rFonts w:ascii="Arial"/>
          <w:color w:val="auto"/>
          <w:sz w:val="21"/>
        </w:rPr>
      </w:pPr>
    </w:p>
    <w:p w14:paraId="2987B744">
      <w:pPr>
        <w:rPr>
          <w:rFonts w:hint="eastAsia"/>
          <w:b/>
          <w:color w:val="auto"/>
          <w:szCs w:val="21"/>
          <w:lang w:val="en-US" w:eastAsia="zh-CN"/>
        </w:rPr>
      </w:pPr>
      <w:r>
        <w:rPr>
          <w:rFonts w:hint="eastAsia"/>
          <w:b/>
          <w:color w:val="auto"/>
          <w:szCs w:val="21"/>
          <w:lang w:val="en-US" w:eastAsia="zh-CN"/>
        </w:rPr>
        <w:t>附：法定代表人身份证扫描件（正反两面）</w:t>
      </w:r>
    </w:p>
    <w:p w14:paraId="5CA37823">
      <w:pPr>
        <w:spacing w:line="360" w:lineRule="auto"/>
        <w:rPr>
          <w:rFonts w:hint="eastAsia"/>
          <w:color w:val="auto"/>
          <w:szCs w:val="21"/>
        </w:rPr>
      </w:pPr>
    </w:p>
    <w:p w14:paraId="6FCE90A8">
      <w:pPr>
        <w:spacing w:line="360" w:lineRule="auto"/>
        <w:rPr>
          <w:rFonts w:hint="eastAsia"/>
          <w:color w:val="auto"/>
          <w:szCs w:val="21"/>
        </w:rPr>
      </w:pPr>
    </w:p>
    <w:p w14:paraId="27F76F60">
      <w:pPr>
        <w:spacing w:line="360" w:lineRule="auto"/>
        <w:rPr>
          <w:rFonts w:hint="eastAsia"/>
          <w:szCs w:val="21"/>
        </w:rPr>
      </w:pPr>
    </w:p>
    <w:p w14:paraId="6E8AEE73">
      <w:pPr>
        <w:spacing w:line="360" w:lineRule="auto"/>
        <w:rPr>
          <w:rFonts w:hint="eastAsia"/>
          <w:szCs w:val="21"/>
        </w:rPr>
      </w:pPr>
    </w:p>
    <w:p w14:paraId="0D7C70B9">
      <w:pPr>
        <w:spacing w:line="360" w:lineRule="auto"/>
        <w:rPr>
          <w:rFonts w:hint="eastAsia"/>
          <w:szCs w:val="21"/>
        </w:rPr>
      </w:pPr>
    </w:p>
    <w:p w14:paraId="40732FE4">
      <w:pPr>
        <w:spacing w:line="360" w:lineRule="auto"/>
        <w:rPr>
          <w:rFonts w:hint="eastAsia"/>
          <w:szCs w:val="21"/>
        </w:rPr>
      </w:pPr>
    </w:p>
    <w:p w14:paraId="7DF6665F">
      <w:pPr>
        <w:spacing w:line="360" w:lineRule="auto"/>
        <w:rPr>
          <w:rFonts w:hint="eastAsia"/>
          <w:szCs w:val="21"/>
        </w:rPr>
      </w:pPr>
    </w:p>
    <w:p w14:paraId="08D3239C">
      <w:pPr>
        <w:spacing w:line="360" w:lineRule="auto"/>
        <w:rPr>
          <w:rFonts w:hint="eastAsia"/>
          <w:szCs w:val="21"/>
        </w:rPr>
      </w:pPr>
    </w:p>
    <w:p w14:paraId="0428C941">
      <w:pPr>
        <w:spacing w:line="360" w:lineRule="auto"/>
        <w:rPr>
          <w:rFonts w:hint="eastAsia"/>
          <w:szCs w:val="21"/>
        </w:rPr>
      </w:pPr>
    </w:p>
    <w:p w14:paraId="62D6BE62">
      <w:pPr>
        <w:spacing w:line="360" w:lineRule="auto"/>
        <w:rPr>
          <w:rFonts w:hint="eastAsia"/>
          <w:szCs w:val="21"/>
        </w:rPr>
      </w:pPr>
    </w:p>
    <w:p w14:paraId="2CADB4C8">
      <w:pPr>
        <w:spacing w:line="360" w:lineRule="auto"/>
        <w:rPr>
          <w:rFonts w:hint="eastAsia"/>
          <w:szCs w:val="21"/>
        </w:rPr>
      </w:pPr>
    </w:p>
    <w:p w14:paraId="00FDB6C1">
      <w:pPr>
        <w:spacing w:line="360" w:lineRule="auto"/>
        <w:rPr>
          <w:rFonts w:hint="eastAsia"/>
          <w:szCs w:val="21"/>
        </w:rPr>
      </w:pPr>
    </w:p>
    <w:p w14:paraId="7EAD83B1">
      <w:pPr>
        <w:spacing w:line="360" w:lineRule="auto"/>
        <w:rPr>
          <w:rFonts w:hint="eastAsia"/>
          <w:szCs w:val="21"/>
        </w:rPr>
      </w:pPr>
    </w:p>
    <w:p w14:paraId="5A5BF85D">
      <w:pPr>
        <w:spacing w:line="360" w:lineRule="auto"/>
        <w:rPr>
          <w:rFonts w:hint="eastAsia"/>
          <w:szCs w:val="21"/>
        </w:rPr>
      </w:pPr>
    </w:p>
    <w:p w14:paraId="49A4447C">
      <w:pPr>
        <w:spacing w:line="360" w:lineRule="auto"/>
        <w:rPr>
          <w:rFonts w:hint="eastAsia"/>
          <w:szCs w:val="21"/>
        </w:rPr>
      </w:pPr>
    </w:p>
    <w:p w14:paraId="410ADC59">
      <w:pPr>
        <w:spacing w:line="360" w:lineRule="auto"/>
        <w:rPr>
          <w:szCs w:val="21"/>
        </w:rPr>
      </w:pPr>
      <w:r>
        <w:rPr>
          <w:rFonts w:hint="eastAsia"/>
          <w:szCs w:val="21"/>
        </w:rPr>
        <w:t>说明：1、法定代表人为企业事业单位、国家机关、社会团体的主要行政负责人。</w:t>
      </w:r>
    </w:p>
    <w:p w14:paraId="3B6BCF6D">
      <w:pPr>
        <w:rPr>
          <w:szCs w:val="21"/>
        </w:rPr>
      </w:pPr>
      <w:r>
        <w:rPr>
          <w:rFonts w:hint="eastAsia"/>
          <w:szCs w:val="21"/>
        </w:rPr>
        <w:t xml:space="preserve">      2、内容必须填写真实、清楚，涂改无效，不得转让、买卖。</w:t>
      </w:r>
    </w:p>
    <w:p w14:paraId="070D8A68">
      <w:pPr>
        <w:rPr>
          <w:b/>
          <w:bCs/>
          <w:sz w:val="24"/>
        </w:rPr>
      </w:pPr>
    </w:p>
    <w:p w14:paraId="008A2A36">
      <w:pPr>
        <w:rPr>
          <w:rFonts w:hint="eastAsia" w:ascii="黑体" w:eastAsia="黑体"/>
          <w:b w:val="0"/>
          <w:kern w:val="0"/>
          <w:sz w:val="24"/>
        </w:rPr>
      </w:pPr>
      <w:bookmarkStart w:id="48" w:name="_Toc9077"/>
      <w:r>
        <w:rPr>
          <w:rFonts w:hint="eastAsia" w:ascii="黑体" w:eastAsia="黑体"/>
          <w:b w:val="0"/>
          <w:kern w:val="0"/>
          <w:sz w:val="24"/>
        </w:rPr>
        <w:br w:type="page"/>
      </w:r>
    </w:p>
    <w:p w14:paraId="5B7E06FB">
      <w:pPr>
        <w:pStyle w:val="4"/>
        <w:jc w:val="center"/>
        <w:rPr>
          <w:rFonts w:hint="eastAsia" w:ascii="黑体" w:eastAsia="黑体"/>
          <w:b w:val="0"/>
          <w:sz w:val="24"/>
          <w:szCs w:val="24"/>
          <w:lang w:eastAsia="zh-CN"/>
        </w:rPr>
      </w:pPr>
      <w:r>
        <w:rPr>
          <w:rFonts w:hint="eastAsia" w:ascii="黑体" w:eastAsia="黑体"/>
          <w:b w:val="0"/>
          <w:kern w:val="0"/>
          <w:sz w:val="24"/>
        </w:rPr>
        <w:t>三、</w:t>
      </w:r>
      <w:bookmarkEnd w:id="48"/>
      <w:r>
        <w:rPr>
          <w:rFonts w:hint="eastAsia" w:ascii="黑体" w:eastAsia="黑体"/>
          <w:b w:val="0"/>
          <w:kern w:val="0"/>
          <w:sz w:val="24"/>
          <w:lang w:eastAsia="zh-CN"/>
        </w:rPr>
        <w:t>投标文件签署授权委托书</w:t>
      </w:r>
    </w:p>
    <w:p w14:paraId="104F206D">
      <w:pPr>
        <w:spacing w:line="360" w:lineRule="auto"/>
        <w:ind w:firstLine="420" w:firstLineChars="200"/>
        <w:rPr>
          <w:color w:val="auto"/>
          <w:szCs w:val="21"/>
        </w:rPr>
      </w:pPr>
      <w:r>
        <w:rPr>
          <w:rFonts w:hint="eastAsia"/>
          <w:color w:val="auto"/>
          <w:szCs w:val="21"/>
        </w:rPr>
        <w:t>本授权委托书声明：我</w:t>
      </w:r>
      <w:r>
        <w:rPr>
          <w:rFonts w:hint="eastAsia"/>
          <w:color w:val="auto"/>
          <w:szCs w:val="21"/>
          <w:u w:val="single"/>
        </w:rPr>
        <w:t xml:space="preserve">           </w:t>
      </w:r>
      <w:r>
        <w:rPr>
          <w:rFonts w:hint="eastAsia"/>
          <w:color w:val="auto"/>
          <w:szCs w:val="21"/>
        </w:rPr>
        <w:t>（姓名）系</w:t>
      </w:r>
      <w:r>
        <w:rPr>
          <w:rFonts w:hint="eastAsia"/>
          <w:color w:val="auto"/>
          <w:szCs w:val="21"/>
          <w:u w:val="single"/>
        </w:rPr>
        <w:t xml:space="preserve">             </w:t>
      </w:r>
      <w:r>
        <w:rPr>
          <w:rFonts w:hint="eastAsia"/>
          <w:color w:val="auto"/>
          <w:szCs w:val="21"/>
        </w:rPr>
        <w:t>（投标人名称）的法定代表人，现授权委托</w:t>
      </w:r>
      <w:r>
        <w:rPr>
          <w:rFonts w:hint="eastAsia"/>
          <w:color w:val="auto"/>
          <w:szCs w:val="21"/>
          <w:u w:val="single"/>
        </w:rPr>
        <w:t xml:space="preserve">                     </w:t>
      </w:r>
      <w:r>
        <w:rPr>
          <w:rFonts w:hint="eastAsia"/>
          <w:color w:val="auto"/>
          <w:szCs w:val="21"/>
        </w:rPr>
        <w:t>（单位名称）的</w:t>
      </w:r>
      <w:r>
        <w:rPr>
          <w:rFonts w:hint="eastAsia"/>
          <w:color w:val="auto"/>
          <w:szCs w:val="21"/>
          <w:u w:val="single"/>
        </w:rPr>
        <w:t xml:space="preserve">            </w:t>
      </w:r>
      <w:r>
        <w:rPr>
          <w:rFonts w:hint="eastAsia"/>
          <w:color w:val="auto"/>
          <w:szCs w:val="21"/>
        </w:rPr>
        <w:t>（姓名）为我公司签署本项目已递交的投标文件的法定代表人的授权委托代理人，该</w:t>
      </w:r>
      <w:r>
        <w:rPr>
          <w:rFonts w:hint="eastAsia"/>
          <w:color w:val="auto"/>
          <w:szCs w:val="21"/>
          <w:lang w:eastAsia="zh-CN"/>
        </w:rPr>
        <w:t>代理人</w:t>
      </w:r>
      <w:r>
        <w:rPr>
          <w:rFonts w:hint="eastAsia"/>
          <w:color w:val="auto"/>
          <w:szCs w:val="21"/>
        </w:rPr>
        <w:t>有权在贵单位的自行采购活动中，以我单位的名义与采购人协商、谈判、签订合同协议以及全权处理与此有关的一切事项，代理人全权代表我所签署的本项目已递交的投标文件内容我均承认。</w:t>
      </w:r>
    </w:p>
    <w:p w14:paraId="5B96967C">
      <w:pPr>
        <w:pStyle w:val="2"/>
        <w:spacing w:line="360" w:lineRule="auto"/>
        <w:rPr>
          <w:color w:val="auto"/>
          <w:szCs w:val="21"/>
        </w:rPr>
      </w:pPr>
      <w:r>
        <w:rPr>
          <w:rFonts w:hint="eastAsia"/>
          <w:color w:val="auto"/>
          <w:szCs w:val="21"/>
        </w:rPr>
        <w:t>代理人无转委托权，特此委托。</w:t>
      </w:r>
    </w:p>
    <w:p w14:paraId="56620130">
      <w:pPr>
        <w:rPr>
          <w:color w:val="auto"/>
          <w:szCs w:val="21"/>
        </w:rPr>
      </w:pPr>
    </w:p>
    <w:p w14:paraId="304800B4">
      <w:pPr>
        <w:spacing w:line="360" w:lineRule="auto"/>
        <w:rPr>
          <w:color w:val="auto"/>
          <w:szCs w:val="21"/>
          <w:u w:val="single"/>
        </w:rPr>
      </w:pPr>
      <w:r>
        <w:rPr>
          <w:rFonts w:hint="eastAsia"/>
          <w:color w:val="auto"/>
          <w:szCs w:val="21"/>
        </w:rPr>
        <w:t>代理人：</w:t>
      </w:r>
      <w:r>
        <w:rPr>
          <w:rFonts w:hint="eastAsia"/>
          <w:color w:val="auto"/>
          <w:szCs w:val="21"/>
          <w:u w:val="single"/>
        </w:rPr>
        <w:t xml:space="preserve">             </w:t>
      </w:r>
      <w:r>
        <w:rPr>
          <w:rFonts w:hint="eastAsia"/>
          <w:color w:val="auto"/>
          <w:szCs w:val="21"/>
        </w:rPr>
        <w:t>性别：</w:t>
      </w:r>
      <w:r>
        <w:rPr>
          <w:rFonts w:hint="eastAsia"/>
          <w:color w:val="auto"/>
          <w:szCs w:val="21"/>
          <w:u w:val="single"/>
        </w:rPr>
        <w:t xml:space="preserve">     </w:t>
      </w:r>
      <w:r>
        <w:rPr>
          <w:rFonts w:hint="eastAsia"/>
          <w:color w:val="auto"/>
          <w:szCs w:val="21"/>
        </w:rPr>
        <w:t>年龄：</w:t>
      </w:r>
      <w:r>
        <w:rPr>
          <w:rFonts w:hint="eastAsia"/>
          <w:color w:val="auto"/>
          <w:szCs w:val="21"/>
          <w:u w:val="single"/>
        </w:rPr>
        <w:t xml:space="preserve">           </w:t>
      </w:r>
    </w:p>
    <w:p w14:paraId="6E5C6115">
      <w:pPr>
        <w:spacing w:line="360" w:lineRule="auto"/>
        <w:rPr>
          <w:color w:val="auto"/>
          <w:szCs w:val="21"/>
        </w:rPr>
      </w:pPr>
      <w:r>
        <w:rPr>
          <w:rFonts w:hint="eastAsia"/>
          <w:color w:val="auto"/>
          <w:szCs w:val="21"/>
        </w:rPr>
        <w:t>联系电话：</w:t>
      </w:r>
      <w:r>
        <w:rPr>
          <w:rFonts w:hint="eastAsia"/>
          <w:color w:val="auto"/>
          <w:szCs w:val="21"/>
          <w:u w:val="single"/>
        </w:rPr>
        <w:t xml:space="preserve">            </w:t>
      </w:r>
      <w:r>
        <w:rPr>
          <w:rFonts w:hint="eastAsia"/>
          <w:color w:val="auto"/>
          <w:szCs w:val="21"/>
        </w:rPr>
        <w:t xml:space="preserve">  手机：</w:t>
      </w:r>
      <w:r>
        <w:rPr>
          <w:rFonts w:hint="eastAsia"/>
          <w:color w:val="auto"/>
          <w:szCs w:val="21"/>
          <w:u w:val="single"/>
        </w:rPr>
        <w:t xml:space="preserve">                   </w:t>
      </w:r>
    </w:p>
    <w:p w14:paraId="176836DC">
      <w:pPr>
        <w:spacing w:line="360" w:lineRule="auto"/>
        <w:rPr>
          <w:color w:val="auto"/>
          <w:szCs w:val="21"/>
          <w:u w:val="single"/>
        </w:rPr>
      </w:pPr>
      <w:r>
        <w:rPr>
          <w:rFonts w:hint="eastAsia"/>
          <w:color w:val="auto"/>
          <w:szCs w:val="21"/>
        </w:rPr>
        <w:t>身份证号码：</w:t>
      </w:r>
      <w:r>
        <w:rPr>
          <w:rFonts w:hint="eastAsia"/>
          <w:color w:val="auto"/>
          <w:szCs w:val="21"/>
          <w:u w:val="single"/>
        </w:rPr>
        <w:t xml:space="preserve">                        </w:t>
      </w:r>
    </w:p>
    <w:p w14:paraId="2010057D">
      <w:pPr>
        <w:spacing w:line="360" w:lineRule="auto"/>
        <w:rPr>
          <w:color w:val="auto"/>
          <w:szCs w:val="21"/>
        </w:rPr>
      </w:pPr>
      <w:r>
        <w:rPr>
          <w:rFonts w:hint="eastAsia"/>
          <w:color w:val="auto"/>
          <w:szCs w:val="21"/>
          <w:lang w:eastAsia="zh-CN"/>
        </w:rPr>
        <w:t>供应商</w:t>
      </w:r>
      <w:r>
        <w:rPr>
          <w:rFonts w:hint="eastAsia"/>
          <w:color w:val="auto"/>
          <w:szCs w:val="21"/>
        </w:rPr>
        <w:t>：</w:t>
      </w:r>
      <w:r>
        <w:rPr>
          <w:rFonts w:hint="eastAsia"/>
          <w:color w:val="auto"/>
          <w:szCs w:val="21"/>
          <w:u w:val="single"/>
        </w:rPr>
        <w:t xml:space="preserve">                                         </w:t>
      </w:r>
    </w:p>
    <w:p w14:paraId="3A13F763">
      <w:pPr>
        <w:spacing w:line="360" w:lineRule="auto"/>
        <w:rPr>
          <w:color w:val="auto"/>
          <w:szCs w:val="21"/>
        </w:rPr>
      </w:pPr>
      <w:r>
        <w:rPr>
          <w:rFonts w:hint="eastAsia"/>
          <w:color w:val="auto"/>
          <w:szCs w:val="21"/>
        </w:rPr>
        <w:t>法定代表人：</w:t>
      </w:r>
      <w:r>
        <w:rPr>
          <w:rFonts w:hint="eastAsia"/>
          <w:color w:val="auto"/>
          <w:szCs w:val="21"/>
          <w:u w:val="single"/>
        </w:rPr>
        <w:t xml:space="preserve">                            </w:t>
      </w:r>
    </w:p>
    <w:p w14:paraId="018B1EAD">
      <w:pPr>
        <w:rPr>
          <w:color w:val="auto"/>
          <w:szCs w:val="21"/>
        </w:rPr>
      </w:pPr>
      <w:r>
        <w:rPr>
          <w:rFonts w:hint="eastAsia"/>
          <w:color w:val="auto"/>
          <w:szCs w:val="21"/>
        </w:rPr>
        <w:t>授权委托日期：</w:t>
      </w:r>
      <w:r>
        <w:rPr>
          <w:rFonts w:hint="eastAsia"/>
          <w:color w:val="auto"/>
          <w:szCs w:val="21"/>
          <w:u w:val="single"/>
        </w:rPr>
        <w:t xml:space="preserve">         </w:t>
      </w:r>
      <w:r>
        <w:rPr>
          <w:rFonts w:hint="eastAsia"/>
          <w:color w:val="auto"/>
          <w:szCs w:val="21"/>
        </w:rPr>
        <w:t>年</w:t>
      </w:r>
      <w:r>
        <w:rPr>
          <w:rFonts w:hint="eastAsia"/>
          <w:color w:val="auto"/>
          <w:szCs w:val="21"/>
          <w:u w:val="single"/>
        </w:rPr>
        <w:t xml:space="preserve">     </w:t>
      </w:r>
      <w:r>
        <w:rPr>
          <w:rFonts w:hint="eastAsia"/>
          <w:color w:val="auto"/>
          <w:szCs w:val="21"/>
        </w:rPr>
        <w:t xml:space="preserve">月 </w:t>
      </w:r>
      <w:r>
        <w:rPr>
          <w:rFonts w:hint="eastAsia"/>
          <w:color w:val="auto"/>
          <w:szCs w:val="21"/>
          <w:u w:val="single"/>
        </w:rPr>
        <w:t xml:space="preserve">      </w:t>
      </w:r>
      <w:r>
        <w:rPr>
          <w:rFonts w:hint="eastAsia"/>
          <w:color w:val="auto"/>
          <w:szCs w:val="21"/>
        </w:rPr>
        <w:t>日</w:t>
      </w:r>
    </w:p>
    <w:p w14:paraId="7A23D0C4">
      <w:pPr>
        <w:spacing w:line="360" w:lineRule="auto"/>
        <w:rPr>
          <w:color w:val="auto"/>
          <w:szCs w:val="21"/>
        </w:rPr>
      </w:pPr>
    </w:p>
    <w:p w14:paraId="4439BEE3">
      <w:pPr>
        <w:rPr>
          <w:b/>
          <w:color w:val="auto"/>
          <w:szCs w:val="21"/>
        </w:rPr>
      </w:pPr>
      <w:r>
        <w:rPr>
          <w:rFonts w:hint="eastAsia"/>
          <w:color w:val="auto"/>
          <w:szCs w:val="21"/>
        </w:rPr>
        <w:t xml:space="preserve">  </w:t>
      </w:r>
      <w:r>
        <w:rPr>
          <w:rFonts w:hint="eastAsia"/>
          <w:b/>
          <w:color w:val="auto"/>
          <w:szCs w:val="21"/>
        </w:rPr>
        <w:t>附： 授权委托代理人身份证扫描件（正反两面）</w:t>
      </w:r>
    </w:p>
    <w:p w14:paraId="64DBF116">
      <w:pPr>
        <w:spacing w:line="360" w:lineRule="auto"/>
        <w:ind w:left="540" w:leftChars="257"/>
        <w:rPr>
          <w:color w:val="auto"/>
          <w:szCs w:val="21"/>
        </w:rPr>
      </w:pPr>
    </w:p>
    <w:p w14:paraId="2710DF9D">
      <w:pPr>
        <w:pStyle w:val="8"/>
        <w:rPr>
          <w:color w:val="auto"/>
          <w:szCs w:val="21"/>
        </w:rPr>
      </w:pPr>
    </w:p>
    <w:p w14:paraId="3FDE08E7">
      <w:pPr>
        <w:pStyle w:val="8"/>
        <w:rPr>
          <w:szCs w:val="21"/>
        </w:rPr>
      </w:pPr>
    </w:p>
    <w:p w14:paraId="73F80CA4">
      <w:pPr>
        <w:pStyle w:val="8"/>
        <w:rPr>
          <w:szCs w:val="21"/>
        </w:rPr>
      </w:pPr>
    </w:p>
    <w:p w14:paraId="07C902CD">
      <w:pPr>
        <w:pStyle w:val="9"/>
        <w:rPr>
          <w:szCs w:val="21"/>
        </w:rPr>
      </w:pPr>
    </w:p>
    <w:p w14:paraId="03A53BAA">
      <w:pPr>
        <w:pStyle w:val="9"/>
        <w:jc w:val="both"/>
        <w:rPr>
          <w:rFonts w:hint="eastAsia" w:ascii="Calibri" w:hAnsi="Calibri" w:eastAsia="宋体" w:cs="Times New Roman"/>
          <w:b w:val="0"/>
          <w:bCs w:val="0"/>
          <w:kern w:val="2"/>
          <w:sz w:val="21"/>
          <w:szCs w:val="21"/>
          <w:lang w:val="en-US" w:eastAsia="zh-CN" w:bidi="ar-SA"/>
        </w:rPr>
      </w:pPr>
    </w:p>
    <w:p w14:paraId="27FB4224">
      <w:pPr>
        <w:pStyle w:val="9"/>
        <w:jc w:val="both"/>
        <w:rPr>
          <w:szCs w:val="21"/>
        </w:rPr>
      </w:pPr>
      <w:r>
        <w:rPr>
          <w:rFonts w:hint="eastAsia" w:ascii="Calibri" w:hAnsi="Calibri" w:eastAsia="宋体" w:cs="Times New Roman"/>
          <w:b w:val="0"/>
          <w:bCs w:val="0"/>
          <w:kern w:val="2"/>
          <w:sz w:val="21"/>
          <w:szCs w:val="21"/>
          <w:lang w:val="en-US" w:eastAsia="zh-CN" w:bidi="ar-SA"/>
        </w:rPr>
        <w:t>说明：投标文件及相关的澄清文件由法定代表人亲自签署的无需填写本委托书。</w:t>
      </w:r>
    </w:p>
    <w:p w14:paraId="166B6A55">
      <w:pPr>
        <w:rPr>
          <w:rFonts w:hint="eastAsia" w:ascii="黑体" w:eastAsia="黑体"/>
          <w:b w:val="0"/>
          <w:kern w:val="0"/>
          <w:sz w:val="24"/>
        </w:rPr>
      </w:pPr>
      <w:bookmarkStart w:id="49" w:name="_Toc2203"/>
      <w:r>
        <w:rPr>
          <w:rFonts w:hint="eastAsia" w:ascii="黑体" w:eastAsia="黑体"/>
          <w:b w:val="0"/>
          <w:kern w:val="0"/>
          <w:sz w:val="24"/>
        </w:rPr>
        <w:br w:type="page"/>
      </w:r>
    </w:p>
    <w:p w14:paraId="33915594">
      <w:pPr>
        <w:pStyle w:val="4"/>
        <w:jc w:val="center"/>
        <w:rPr>
          <w:rFonts w:ascii="黑体" w:eastAsia="黑体"/>
          <w:b w:val="0"/>
          <w:kern w:val="0"/>
          <w:sz w:val="24"/>
        </w:rPr>
      </w:pPr>
      <w:r>
        <w:rPr>
          <w:rFonts w:hint="eastAsia" w:ascii="黑体" w:eastAsia="黑体"/>
          <w:b w:val="0"/>
          <w:kern w:val="0"/>
          <w:sz w:val="24"/>
        </w:rPr>
        <w:t>四、投标函</w:t>
      </w:r>
      <w:bookmarkEnd w:id="49"/>
    </w:p>
    <w:p w14:paraId="0064C12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致：深圳市盐田区中英街管理局  </w:t>
      </w:r>
    </w:p>
    <w:p w14:paraId="47A9CE0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bookmarkStart w:id="50" w:name="_Hlk73818812"/>
      <w:r>
        <w:rPr>
          <w:rFonts w:hint="eastAsia" w:ascii="仿宋_GB2312" w:hAnsi="仿宋_GB2312" w:eastAsia="仿宋_GB2312" w:cs="仿宋_GB2312"/>
          <w:color w:val="auto"/>
          <w:sz w:val="28"/>
          <w:szCs w:val="28"/>
          <w:lang w:val="en-US" w:eastAsia="zh-CN"/>
        </w:rPr>
        <w:t>1.根据贵单位</w:t>
      </w:r>
      <w:r>
        <w:rPr>
          <w:rFonts w:hint="eastAsia" w:ascii="仿宋_GB2312" w:hAnsi="仿宋_GB2312" w:eastAsia="仿宋_GB2312" w:cs="仿宋_GB2312"/>
          <w:color w:val="auto"/>
          <w:sz w:val="28"/>
          <w:szCs w:val="28"/>
          <w:u w:val="single"/>
          <w:lang w:val="en-US" w:eastAsia="zh-CN"/>
        </w:rPr>
        <w:t xml:space="preserve">  （项目名称）  </w:t>
      </w:r>
      <w:r>
        <w:rPr>
          <w:rFonts w:hint="eastAsia" w:ascii="仿宋_GB2312" w:hAnsi="仿宋_GB2312" w:eastAsia="仿宋_GB2312" w:cs="仿宋_GB2312"/>
          <w:color w:val="auto"/>
          <w:sz w:val="28"/>
          <w:szCs w:val="28"/>
          <w:lang w:val="en-US" w:eastAsia="zh-CN"/>
        </w:rPr>
        <w:t>的采购文件，遵照《深圳经济特区政府采购条例》和《深圳经济特区政府采购条例实施细则》等有关规定，我单位经研究上述采购文件条款后，愿以投标书中《投标一览表》填写的投标报价并按采购文件要求承包上述项目并修补其任何缺陷</w:t>
      </w:r>
      <w:bookmarkStart w:id="51" w:name="_Hlk72263588"/>
      <w:r>
        <w:rPr>
          <w:rFonts w:hint="eastAsia" w:ascii="仿宋_GB2312" w:hAnsi="仿宋_GB2312" w:eastAsia="仿宋_GB2312" w:cs="仿宋_GB2312"/>
          <w:color w:val="auto"/>
          <w:sz w:val="28"/>
          <w:szCs w:val="28"/>
          <w:lang w:val="en-US" w:eastAsia="zh-CN"/>
        </w:rPr>
        <w:t>。</w:t>
      </w:r>
      <w:bookmarkEnd w:id="51"/>
    </w:p>
    <w:p w14:paraId="73F94C6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2.我方同意所递交的投标文件在投标有效期内有效，在此期间内我方的投标有可能中标，我方将受此约束</w:t>
      </w:r>
    </w:p>
    <w:p w14:paraId="44552C3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3.除非另外达成协议并生效，贵方的中标公告和本投标文件将构成约束我们双方的合同。</w:t>
      </w:r>
    </w:p>
    <w:bookmarkEnd w:id="50"/>
    <w:p w14:paraId="553E535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4.我方理解贵方将不受必须接受你们所收到的最低标价或其它任何投标文件的约束。</w:t>
      </w:r>
    </w:p>
    <w:p w14:paraId="741BCE7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p>
    <w:p w14:paraId="1CAD2DF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p>
    <w:p w14:paraId="662A763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投标人（单位名称）：                         </w:t>
      </w:r>
    </w:p>
    <w:p w14:paraId="0F2BF55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单位地址：                                  </w:t>
      </w:r>
    </w:p>
    <w:p w14:paraId="252AE4D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法定代表人或其委托代理人：                  </w:t>
      </w:r>
    </w:p>
    <w:p w14:paraId="37C13FF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电话：                    </w:t>
      </w:r>
    </w:p>
    <w:p w14:paraId="353334D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开户银行名称：</w:t>
      </w:r>
      <w:r>
        <w:rPr>
          <w:rFonts w:hint="default"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color w:val="auto"/>
          <w:sz w:val="28"/>
          <w:szCs w:val="28"/>
          <w:lang w:val="en-US" w:eastAsia="zh-CN"/>
        </w:rPr>
        <w:t>开户银行帐号：</w:t>
      </w:r>
      <w:r>
        <w:rPr>
          <w:rFonts w:hint="eastAsia" w:ascii="仿宋_GB2312" w:hAnsi="仿宋_GB2312" w:eastAsia="仿宋_GB2312" w:cs="仿宋_GB2312"/>
          <w:color w:val="auto"/>
          <w:sz w:val="28"/>
          <w:szCs w:val="28"/>
          <w:lang w:val="en-US" w:eastAsia="zh-CN"/>
        </w:rPr>
        <w:tab/>
      </w:r>
      <w:r>
        <w:rPr>
          <w:rFonts w:hint="default"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color w:val="auto"/>
          <w:sz w:val="28"/>
          <w:szCs w:val="28"/>
          <w:lang w:val="en-US" w:eastAsia="zh-CN"/>
        </w:rPr>
        <w:tab/>
      </w:r>
    </w:p>
    <w:p w14:paraId="7E4C291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color w:val="auto"/>
          <w:sz w:val="28"/>
          <w:szCs w:val="28"/>
          <w:lang w:val="en-US" w:eastAsia="zh-CN"/>
        </w:rPr>
        <w:tab/>
      </w:r>
      <w:r>
        <w:rPr>
          <w:rFonts w:hint="eastAsia" w:ascii="仿宋_GB2312" w:hAnsi="仿宋_GB2312" w:eastAsia="仿宋_GB2312" w:cs="仿宋_GB2312"/>
          <w:color w:val="auto"/>
          <w:sz w:val="28"/>
          <w:szCs w:val="28"/>
          <w:lang w:val="en-US" w:eastAsia="zh-CN"/>
        </w:rPr>
        <w:tab/>
      </w:r>
    </w:p>
    <w:p w14:paraId="79FAA5D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日期：    年  月  日</w:t>
      </w:r>
    </w:p>
    <w:p w14:paraId="3AEAA9BA">
      <w:pPr>
        <w:ind w:firstLine="616" w:firstLineChars="257"/>
        <w:rPr>
          <w:color w:val="auto"/>
          <w:sz w:val="24"/>
        </w:rPr>
      </w:pPr>
      <w:r>
        <w:rPr>
          <w:rFonts w:hint="eastAsia"/>
          <w:color w:val="auto"/>
          <w:sz w:val="24"/>
        </w:rPr>
        <w:t xml:space="preserve">                       </w:t>
      </w:r>
    </w:p>
    <w:p w14:paraId="1FEC0CCB">
      <w:pPr>
        <w:rPr>
          <w:rFonts w:ascii="黑体" w:hAnsi="宋体" w:eastAsia="黑体"/>
          <w:color w:val="auto"/>
        </w:rPr>
      </w:pPr>
    </w:p>
    <w:p w14:paraId="62DE4DF4">
      <w:pPr>
        <w:rPr>
          <w:rFonts w:ascii="黑体" w:hAnsi="宋体" w:eastAsia="黑体"/>
          <w:color w:val="auto"/>
        </w:rPr>
      </w:pPr>
    </w:p>
    <w:p w14:paraId="774D1B19">
      <w:pPr>
        <w:pStyle w:val="4"/>
        <w:jc w:val="center"/>
        <w:rPr>
          <w:rFonts w:ascii="宋体" w:hAnsi="宋体"/>
          <w:sz w:val="24"/>
        </w:rPr>
      </w:pPr>
      <w:bookmarkStart w:id="52" w:name="_Toc8425"/>
      <w:r>
        <w:rPr>
          <w:rFonts w:hint="eastAsia" w:ascii="黑体" w:eastAsia="黑体"/>
          <w:b w:val="0"/>
          <w:kern w:val="0"/>
          <w:sz w:val="24"/>
        </w:rPr>
        <w:t>五、</w:t>
      </w:r>
      <w:bookmarkEnd w:id="52"/>
      <w:r>
        <w:rPr>
          <w:rFonts w:hint="eastAsia" w:ascii="黑体" w:eastAsia="黑体"/>
          <w:b w:val="0"/>
          <w:kern w:val="0"/>
          <w:sz w:val="24"/>
        </w:rPr>
        <w:t>投标及履约承诺函</w:t>
      </w:r>
    </w:p>
    <w:p w14:paraId="3BD5352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致：深圳市盐田区中英街管理局</w:t>
      </w:r>
    </w:p>
    <w:p w14:paraId="7CB2CFB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我单位承诺：</w:t>
      </w:r>
    </w:p>
    <w:p w14:paraId="03B0F91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1.我单位本招标项目所提供的货物或服务未侵犯知识产权。</w:t>
      </w:r>
    </w:p>
    <w:p w14:paraId="0225FAB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2.我单位参与本项目投标前三年内，在经营活动中没有重大违法记录。</w:t>
      </w:r>
    </w:p>
    <w:p w14:paraId="5F619F1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3.我单位参与本项目政府采购活动时不存在被有关部门禁止参与政府采购活动且在有效期内的情况。</w:t>
      </w:r>
    </w:p>
    <w:p w14:paraId="717E9FD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4.我单位具备《中华人民共和国政府采购法》第二十二条第一款规定的六项条件。</w:t>
      </w:r>
    </w:p>
    <w:p w14:paraId="372E54B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我单位未被列入失信被执行人、重大税收违法案件当事人名单、政府采购严重违法失信行为记录名单、不存在《深圳市财政局政府采购供应商信用信息管理办法》（深财规〔2023）3号）列明的严重违法失信行为。</w:t>
      </w:r>
    </w:p>
    <w:p w14:paraId="5761FC0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6.我单位参与该项目投标，严格遵守相关法律，投标做到诚实，不造假，不围标、串标、陪标。我单位已清楚，如违反上述要求，投标将无效处理，被列入不良记录名单。</w:t>
      </w:r>
    </w:p>
    <w:p w14:paraId="3D0E197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我单位如果中标，做到守信，不偷工减料，依照本项目采购文件需求内容、签署的采购合同及本单位在投标中所作的一切承诺履约。我单位对本项目的报价负责，中标后将严格按照本项目采购文件需求、签署的采购合同及我单位在投标中所作的全部承诺履行。项目验收达到全部指标合格，力争优良。</w:t>
      </w:r>
    </w:p>
    <w:p w14:paraId="4DA75D2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中英街管理局作出的处理。</w:t>
      </w:r>
    </w:p>
    <w:p w14:paraId="6B4EF16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9.我单位承诺不违法分包转包。</w:t>
      </w:r>
    </w:p>
    <w:p w14:paraId="6540434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我单位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14:paraId="25879A8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auto"/>
          <w:sz w:val="28"/>
          <w:szCs w:val="28"/>
          <w:lang w:val="en-US" w:eastAsia="zh-CN"/>
        </w:rPr>
      </w:pPr>
      <w:r>
        <w:rPr>
          <w:rFonts w:hint="default" w:ascii="仿宋_GB2312" w:hAnsi="仿宋_GB2312" w:eastAsia="仿宋_GB2312" w:cs="仿宋_GB2312"/>
          <w:color w:val="auto"/>
          <w:sz w:val="28"/>
          <w:szCs w:val="28"/>
          <w:lang w:val="en-US" w:eastAsia="zh-CN"/>
        </w:rPr>
        <w:t>11.接受、遵守、满足</w:t>
      </w:r>
      <w:r>
        <w:rPr>
          <w:rFonts w:hint="eastAsia" w:ascii="仿宋_GB2312" w:hAnsi="仿宋_GB2312" w:eastAsia="仿宋_GB2312" w:cs="仿宋_GB2312"/>
          <w:color w:val="auto"/>
          <w:sz w:val="28"/>
          <w:szCs w:val="28"/>
          <w:lang w:val="en-US" w:eastAsia="zh-CN"/>
        </w:rPr>
        <w:t>采购</w:t>
      </w:r>
      <w:r>
        <w:rPr>
          <w:rFonts w:hint="default" w:ascii="仿宋_GB2312" w:hAnsi="仿宋_GB2312" w:eastAsia="仿宋_GB2312" w:cs="仿宋_GB2312"/>
          <w:color w:val="auto"/>
          <w:sz w:val="28"/>
          <w:szCs w:val="28"/>
          <w:lang w:val="en-US" w:eastAsia="zh-CN"/>
        </w:rPr>
        <w:t>文件第二章</w:t>
      </w:r>
      <w:r>
        <w:rPr>
          <w:rFonts w:hint="eastAsia" w:ascii="仿宋_GB2312" w:hAnsi="仿宋_GB2312" w:eastAsia="仿宋_GB2312" w:cs="仿宋_GB2312"/>
          <w:color w:val="auto"/>
          <w:sz w:val="28"/>
          <w:szCs w:val="28"/>
          <w:lang w:val="en-US" w:eastAsia="zh-CN"/>
        </w:rPr>
        <w:t>“</w:t>
      </w:r>
      <w:r>
        <w:rPr>
          <w:rFonts w:hint="default" w:ascii="仿宋_GB2312" w:hAnsi="仿宋_GB2312" w:eastAsia="仿宋_GB2312" w:cs="仿宋_GB2312"/>
          <w:color w:val="auto"/>
          <w:sz w:val="28"/>
          <w:szCs w:val="28"/>
          <w:lang w:val="en-US" w:eastAsia="zh-CN"/>
        </w:rPr>
        <w:t>招标项目需求</w:t>
      </w:r>
      <w:r>
        <w:rPr>
          <w:rFonts w:hint="eastAsia" w:ascii="仿宋_GB2312" w:hAnsi="仿宋_GB2312" w:eastAsia="仿宋_GB2312" w:cs="仿宋_GB2312"/>
          <w:color w:val="auto"/>
          <w:sz w:val="28"/>
          <w:szCs w:val="28"/>
          <w:lang w:val="en-US" w:eastAsia="zh-CN"/>
        </w:rPr>
        <w:t>”</w:t>
      </w:r>
      <w:r>
        <w:rPr>
          <w:rFonts w:hint="default" w:ascii="仿宋_GB2312" w:hAnsi="仿宋_GB2312" w:eastAsia="仿宋_GB2312" w:cs="仿宋_GB2312"/>
          <w:color w:val="auto"/>
          <w:sz w:val="28"/>
          <w:szCs w:val="28"/>
          <w:lang w:val="en-US" w:eastAsia="zh-CN"/>
        </w:rPr>
        <w:t>的全部内容。</w:t>
      </w:r>
    </w:p>
    <w:p w14:paraId="12D50C8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12..我单位在本项目或与管理局的其他业务往来中，参与本采购项目的投标人及投标人员工不存在或未曾发生过向管理局工作人员输送不正当利益等违反廉洁纪律要求的行为。</w:t>
      </w:r>
    </w:p>
    <w:p w14:paraId="3A33D36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以上承诺，如有违反，愿依照国家相关法律处理，并承担由此给采购人带来的损失。</w:t>
      </w:r>
    </w:p>
    <w:p w14:paraId="4C9C9E8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p>
    <w:p w14:paraId="188F5FF0">
      <w:pPr>
        <w:wordWrap w:val="0"/>
        <w:ind w:firstLine="645"/>
        <w:jc w:val="right"/>
        <w:rPr>
          <w:rFonts w:ascii="宋体" w:hAnsi="宋体"/>
          <w:sz w:val="28"/>
          <w:szCs w:val="28"/>
        </w:rPr>
      </w:pPr>
    </w:p>
    <w:p w14:paraId="5326B463">
      <w:pPr>
        <w:keepNext w:val="0"/>
        <w:keepLines w:val="0"/>
        <w:pageBreakBefore w:val="0"/>
        <w:widowControl w:val="0"/>
        <w:kinsoku/>
        <w:wordWrap/>
        <w:overflowPunct/>
        <w:topLinePunct w:val="0"/>
        <w:autoSpaceDE/>
        <w:autoSpaceDN/>
        <w:bidi w:val="0"/>
        <w:adjustRightInd/>
        <w:snapToGrid/>
        <w:spacing w:line="500" w:lineRule="exact"/>
        <w:ind w:firstLine="2800" w:firstLineChars="1000"/>
        <w:textAlignment w:val="auto"/>
        <w:rPr>
          <w:rFonts w:ascii="宋体" w:hAnsi="宋体"/>
          <w:sz w:val="28"/>
          <w:szCs w:val="28"/>
        </w:rPr>
      </w:pPr>
      <w:r>
        <w:rPr>
          <w:rFonts w:hint="eastAsia" w:ascii="仿宋_GB2312" w:hAnsi="仿宋_GB2312" w:eastAsia="仿宋_GB2312" w:cs="仿宋_GB2312"/>
          <w:color w:val="auto"/>
          <w:sz w:val="28"/>
          <w:szCs w:val="28"/>
          <w:lang w:val="en-US" w:eastAsia="zh-CN"/>
        </w:rPr>
        <w:t xml:space="preserve">投标人（单位名称）：                         </w:t>
      </w:r>
    </w:p>
    <w:p w14:paraId="5F604ABA">
      <w:pPr>
        <w:keepNext w:val="0"/>
        <w:keepLines w:val="0"/>
        <w:pageBreakBefore w:val="0"/>
        <w:widowControl w:val="0"/>
        <w:kinsoku/>
        <w:wordWrap/>
        <w:overflowPunct/>
        <w:topLinePunct w:val="0"/>
        <w:autoSpaceDE/>
        <w:autoSpaceDN/>
        <w:bidi w:val="0"/>
        <w:adjustRightInd/>
        <w:snapToGrid/>
        <w:spacing w:line="500" w:lineRule="exact"/>
        <w:ind w:firstLine="3920" w:firstLineChars="14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日期：    年  月  日</w:t>
      </w:r>
    </w:p>
    <w:p w14:paraId="6AE57742">
      <w:pPr>
        <w:pStyle w:val="8"/>
        <w:tabs>
          <w:tab w:val="left" w:pos="7513"/>
          <w:tab w:val="left" w:pos="8313"/>
        </w:tabs>
        <w:ind w:left="1470" w:right="1470"/>
        <w:jc w:val="right"/>
        <w:rPr>
          <w:rFonts w:ascii="宋体"/>
          <w:b w:val="0"/>
          <w:sz w:val="28"/>
          <w:szCs w:val="28"/>
        </w:rPr>
      </w:pPr>
    </w:p>
    <w:p w14:paraId="67B9226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bookmarkStart w:id="53" w:name="_Toc73517708"/>
      <w:bookmarkStart w:id="54" w:name="_Toc100052469"/>
      <w:bookmarkStart w:id="55" w:name="_Toc73521702"/>
      <w:bookmarkStart w:id="56" w:name="_Toc70748068"/>
      <w:bookmarkStart w:id="57" w:name="_Toc73521614"/>
      <w:bookmarkStart w:id="58" w:name="_Toc73518186"/>
      <w:bookmarkStart w:id="59" w:name="_Toc101074900"/>
      <w:bookmarkStart w:id="60" w:name="_Toc71860060"/>
      <w:bookmarkStart w:id="61" w:name="_Toc6250"/>
    </w:p>
    <w:p w14:paraId="1954BE6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p>
    <w:p w14:paraId="66BC6F0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p>
    <w:p w14:paraId="3BA0166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p>
    <w:p w14:paraId="14F9063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p>
    <w:p w14:paraId="014D1EF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p>
    <w:p w14:paraId="06ADA14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p>
    <w:p w14:paraId="32ACA69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p>
    <w:p w14:paraId="6D293F3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p>
    <w:p w14:paraId="5882B9A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附表：</w:t>
      </w:r>
    </w:p>
    <w:p w14:paraId="263B4445">
      <w:pPr>
        <w:jc w:val="center"/>
        <w:rPr>
          <w:rFonts w:hint="eastAsia" w:ascii="方正小标宋简体" w:hAnsi="方正小标宋简体" w:eastAsia="方正小标宋简体" w:cs="方正小标宋简体"/>
          <w:b w:val="0"/>
          <w:bCs w:val="0"/>
          <w:color w:val="auto"/>
          <w:kern w:val="2"/>
          <w:sz w:val="36"/>
          <w:szCs w:val="36"/>
          <w:lang w:val="en-US" w:eastAsia="zh-CN" w:bidi="ar-SA"/>
        </w:rPr>
      </w:pPr>
      <w:r>
        <w:rPr>
          <w:rFonts w:hint="eastAsia" w:ascii="方正小标宋简体" w:hAnsi="方正小标宋简体" w:eastAsia="方正小标宋简体" w:cs="方正小标宋简体"/>
          <w:b w:val="0"/>
          <w:bCs w:val="0"/>
          <w:color w:val="auto"/>
          <w:kern w:val="2"/>
          <w:sz w:val="36"/>
          <w:szCs w:val="36"/>
          <w:lang w:val="en-US" w:eastAsia="zh-CN" w:bidi="ar-SA"/>
        </w:rPr>
        <w:t>供应商基本情况表</w:t>
      </w:r>
    </w:p>
    <w:p w14:paraId="48CEAA8C">
      <w:pPr>
        <w:spacing w:line="240" w:lineRule="auto"/>
        <w:ind w:firstLine="0" w:firstLineChars="0"/>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填表单位：（加盖单位公章）</w:t>
      </w:r>
      <w:r>
        <w:rPr>
          <w:rFonts w:hint="eastAsia" w:ascii="方正仿宋_GBK" w:hAnsi="方正仿宋_GBK" w:eastAsia="方正仿宋_GBK" w:cs="方正仿宋_GBK"/>
          <w:color w:val="auto"/>
          <w:sz w:val="28"/>
          <w:szCs w:val="28"/>
          <w:lang w:val="en-US" w:eastAsia="zh-CN"/>
        </w:rPr>
        <w:tab/>
      </w:r>
      <w:r>
        <w:rPr>
          <w:rFonts w:hint="eastAsia" w:ascii="方正仿宋_GBK" w:hAnsi="方正仿宋_GBK" w:eastAsia="方正仿宋_GBK" w:cs="方正仿宋_GBK"/>
          <w:color w:val="auto"/>
          <w:sz w:val="28"/>
          <w:szCs w:val="28"/>
          <w:lang w:val="en-US" w:eastAsia="zh-CN"/>
        </w:rPr>
        <w:tab/>
      </w:r>
      <w:r>
        <w:rPr>
          <w:rFonts w:hint="eastAsia" w:ascii="方正仿宋_GBK" w:hAnsi="方正仿宋_GBK" w:eastAsia="方正仿宋_GBK" w:cs="方正仿宋_GBK"/>
          <w:color w:val="auto"/>
          <w:sz w:val="28"/>
          <w:szCs w:val="28"/>
          <w:lang w:val="en-US" w:eastAsia="zh-CN"/>
        </w:rPr>
        <w:t xml:space="preserve">       填表日期：    年   月   日</w:t>
      </w:r>
    </w:p>
    <w:tbl>
      <w:tblPr>
        <w:tblStyle w:val="18"/>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90"/>
        <w:gridCol w:w="863"/>
        <w:gridCol w:w="925"/>
        <w:gridCol w:w="1066"/>
        <w:gridCol w:w="1500"/>
        <w:gridCol w:w="1485"/>
      </w:tblGrid>
      <w:tr w14:paraId="75EE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412" w:type="dxa"/>
            <w:gridSpan w:val="2"/>
            <w:noWrap w:val="0"/>
            <w:vAlign w:val="center"/>
          </w:tcPr>
          <w:p w14:paraId="0617FA99">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采购人</w:t>
            </w:r>
          </w:p>
        </w:tc>
        <w:tc>
          <w:tcPr>
            <w:tcW w:w="2553" w:type="dxa"/>
            <w:gridSpan w:val="2"/>
            <w:noWrap w:val="0"/>
            <w:vAlign w:val="center"/>
          </w:tcPr>
          <w:p w14:paraId="2F3426A7">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rPr>
            </w:pPr>
          </w:p>
        </w:tc>
        <w:tc>
          <w:tcPr>
            <w:tcW w:w="1991" w:type="dxa"/>
            <w:gridSpan w:val="2"/>
            <w:noWrap w:val="0"/>
            <w:vAlign w:val="center"/>
          </w:tcPr>
          <w:p w14:paraId="5642AC18">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项目名称</w:t>
            </w:r>
          </w:p>
        </w:tc>
        <w:tc>
          <w:tcPr>
            <w:tcW w:w="2985" w:type="dxa"/>
            <w:gridSpan w:val="2"/>
            <w:noWrap w:val="0"/>
            <w:vAlign w:val="center"/>
          </w:tcPr>
          <w:p w14:paraId="5A7F528B">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rPr>
            </w:pPr>
          </w:p>
        </w:tc>
      </w:tr>
      <w:tr w14:paraId="5DC5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51CC4E28">
            <w:pPr>
              <w:keepNext w:val="0"/>
              <w:keepLines w:val="0"/>
              <w:suppressLineNumbers w:val="0"/>
              <w:snapToGrid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投标（响应）供应商</w:t>
            </w:r>
          </w:p>
        </w:tc>
        <w:tc>
          <w:tcPr>
            <w:tcW w:w="2553" w:type="dxa"/>
            <w:gridSpan w:val="2"/>
            <w:noWrap w:val="0"/>
            <w:vAlign w:val="center"/>
          </w:tcPr>
          <w:p w14:paraId="240A1E87">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rPr>
            </w:pPr>
          </w:p>
        </w:tc>
        <w:tc>
          <w:tcPr>
            <w:tcW w:w="1991" w:type="dxa"/>
            <w:gridSpan w:val="2"/>
            <w:noWrap w:val="0"/>
            <w:vAlign w:val="center"/>
          </w:tcPr>
          <w:p w14:paraId="1C654C09">
            <w:pPr>
              <w:keepNext w:val="0"/>
              <w:keepLines w:val="0"/>
              <w:suppressLineNumbers w:val="0"/>
              <w:snapToGrid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供应商统一社会信用代码</w:t>
            </w:r>
          </w:p>
        </w:tc>
        <w:tc>
          <w:tcPr>
            <w:tcW w:w="2985" w:type="dxa"/>
            <w:gridSpan w:val="2"/>
            <w:noWrap w:val="0"/>
            <w:vAlign w:val="center"/>
          </w:tcPr>
          <w:p w14:paraId="38461CDF">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rPr>
            </w:pPr>
          </w:p>
        </w:tc>
      </w:tr>
      <w:tr w14:paraId="55BE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1640D489">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b/>
                <w:bCs/>
                <w:color w:val="auto"/>
                <w:sz w:val="24"/>
                <w:szCs w:val="24"/>
                <w:vertAlign w:val="baseline"/>
                <w:lang w:val="en-US" w:eastAsia="zh-CN"/>
              </w:rPr>
              <w:t>投标（响应）供应商相关人员情况</w:t>
            </w:r>
          </w:p>
        </w:tc>
      </w:tr>
      <w:tr w14:paraId="34C9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5D8D698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序号</w:t>
            </w:r>
          </w:p>
        </w:tc>
        <w:tc>
          <w:tcPr>
            <w:tcW w:w="2366" w:type="dxa"/>
            <w:gridSpan w:val="2"/>
            <w:tcBorders>
              <w:bottom w:val="single" w:color="auto" w:sz="4" w:space="0"/>
            </w:tcBorders>
            <w:noWrap w:val="0"/>
            <w:vAlign w:val="center"/>
          </w:tcPr>
          <w:p w14:paraId="054F50E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职务</w:t>
            </w:r>
          </w:p>
        </w:tc>
        <w:tc>
          <w:tcPr>
            <w:tcW w:w="863" w:type="dxa"/>
            <w:tcBorders>
              <w:bottom w:val="single" w:color="auto" w:sz="4" w:space="0"/>
            </w:tcBorders>
            <w:noWrap w:val="0"/>
            <w:vAlign w:val="center"/>
          </w:tcPr>
          <w:p w14:paraId="3F05C18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姓名</w:t>
            </w:r>
          </w:p>
        </w:tc>
        <w:tc>
          <w:tcPr>
            <w:tcW w:w="1991" w:type="dxa"/>
            <w:gridSpan w:val="2"/>
            <w:tcBorders>
              <w:bottom w:val="single" w:color="auto" w:sz="4" w:space="0"/>
            </w:tcBorders>
            <w:noWrap w:val="0"/>
            <w:vAlign w:val="center"/>
          </w:tcPr>
          <w:p w14:paraId="747C0ED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身份证号码</w:t>
            </w:r>
          </w:p>
        </w:tc>
        <w:tc>
          <w:tcPr>
            <w:tcW w:w="1500" w:type="dxa"/>
            <w:tcBorders>
              <w:bottom w:val="single" w:color="auto" w:sz="4" w:space="0"/>
            </w:tcBorders>
            <w:noWrap w:val="0"/>
            <w:vAlign w:val="center"/>
          </w:tcPr>
          <w:p w14:paraId="5C038E5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劳动合同</w:t>
            </w:r>
          </w:p>
          <w:p w14:paraId="1D01B16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关系单位</w:t>
            </w:r>
          </w:p>
        </w:tc>
        <w:tc>
          <w:tcPr>
            <w:tcW w:w="1485" w:type="dxa"/>
            <w:tcBorders>
              <w:bottom w:val="single" w:color="auto" w:sz="4" w:space="0"/>
            </w:tcBorders>
            <w:noWrap w:val="0"/>
            <w:vAlign w:val="center"/>
          </w:tcPr>
          <w:p w14:paraId="2477C96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缴纳社会</w:t>
            </w:r>
          </w:p>
          <w:p w14:paraId="26D42E3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保险单位</w:t>
            </w:r>
          </w:p>
        </w:tc>
      </w:tr>
      <w:tr w14:paraId="2D41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2C7CDA2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vertAlign w:val="baseline"/>
                <w:lang w:val="en-US" w:eastAsia="zh-CN"/>
              </w:rPr>
              <w:t>1</w:t>
            </w:r>
          </w:p>
        </w:tc>
        <w:tc>
          <w:tcPr>
            <w:tcW w:w="2366" w:type="dxa"/>
            <w:gridSpan w:val="2"/>
            <w:tcBorders>
              <w:top w:val="single" w:color="auto" w:sz="4" w:space="0"/>
              <w:left w:val="single" w:color="auto" w:sz="4" w:space="0"/>
              <w:bottom w:val="single" w:color="auto" w:sz="4" w:space="0"/>
              <w:right w:val="single" w:color="auto" w:sz="4" w:space="0"/>
            </w:tcBorders>
            <w:noWrap w:val="0"/>
            <w:vAlign w:val="center"/>
          </w:tcPr>
          <w:p w14:paraId="7B10B60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880F44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1C35605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B0E517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5644879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r>
      <w:tr w14:paraId="00B16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4A660917">
            <w:pPr>
              <w:keepNext w:val="0"/>
              <w:keepLines w:val="0"/>
              <w:pageBreakBefore w:val="0"/>
              <w:widowControl w:val="0"/>
              <w:suppressLineNumbers w:val="0"/>
              <w:kinsoku/>
              <w:wordWrap/>
              <w:overflowPunct/>
              <w:topLinePunct w:val="0"/>
              <w:autoSpaceDE/>
              <w:autoSpaceDN/>
              <w:bidi w:val="0"/>
              <w:adjustRightInd/>
              <w:spacing w:before="0" w:beforeLines="0" w:beforeAutospacing="0" w:after="0" w:afterLines="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rPr>
              <w:t>2</w:t>
            </w:r>
          </w:p>
        </w:tc>
        <w:tc>
          <w:tcPr>
            <w:tcW w:w="2366" w:type="dxa"/>
            <w:gridSpan w:val="2"/>
            <w:tcBorders>
              <w:top w:val="single" w:color="auto" w:sz="4" w:space="0"/>
              <w:left w:val="single" w:color="auto" w:sz="4" w:space="0"/>
              <w:bottom w:val="single" w:color="auto" w:sz="4" w:space="0"/>
              <w:right w:val="single" w:color="auto" w:sz="4" w:space="0"/>
            </w:tcBorders>
            <w:noWrap w:val="0"/>
            <w:vAlign w:val="center"/>
          </w:tcPr>
          <w:p w14:paraId="7D620B4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项目投标授权代表人</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B859DF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3A80154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7A8B83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08BA446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r>
      <w:tr w14:paraId="0928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14:paraId="629FC006">
            <w:pPr>
              <w:keepNext w:val="0"/>
              <w:keepLines w:val="0"/>
              <w:pageBreakBefore w:val="0"/>
              <w:widowControl w:val="0"/>
              <w:suppressLineNumbers w:val="0"/>
              <w:kinsoku/>
              <w:wordWrap/>
              <w:overflowPunct/>
              <w:topLinePunct w:val="0"/>
              <w:autoSpaceDE/>
              <w:autoSpaceDN/>
              <w:bidi w:val="0"/>
              <w:adjustRightInd/>
              <w:spacing w:before="0" w:beforeLines="0" w:beforeAutospacing="0" w:after="0" w:afterLines="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lang w:bidi="ar"/>
              </w:rPr>
              <w:t>3</w:t>
            </w:r>
          </w:p>
        </w:tc>
        <w:tc>
          <w:tcPr>
            <w:tcW w:w="2366" w:type="dxa"/>
            <w:gridSpan w:val="2"/>
            <w:tcBorders>
              <w:top w:val="single" w:color="auto" w:sz="4" w:space="0"/>
            </w:tcBorders>
            <w:noWrap w:val="0"/>
            <w:vAlign w:val="center"/>
          </w:tcPr>
          <w:p w14:paraId="6765545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863" w:type="dxa"/>
            <w:tcBorders>
              <w:top w:val="single" w:color="auto" w:sz="4" w:space="0"/>
            </w:tcBorders>
            <w:noWrap w:val="0"/>
            <w:vAlign w:val="center"/>
          </w:tcPr>
          <w:p w14:paraId="6691B12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991" w:type="dxa"/>
            <w:gridSpan w:val="2"/>
            <w:tcBorders>
              <w:top w:val="single" w:color="auto" w:sz="4" w:space="0"/>
            </w:tcBorders>
            <w:noWrap w:val="0"/>
            <w:vAlign w:val="center"/>
          </w:tcPr>
          <w:p w14:paraId="387BB65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500" w:type="dxa"/>
            <w:tcBorders>
              <w:top w:val="single" w:color="auto" w:sz="4" w:space="0"/>
            </w:tcBorders>
            <w:noWrap w:val="0"/>
            <w:vAlign w:val="center"/>
          </w:tcPr>
          <w:p w14:paraId="27641A1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485" w:type="dxa"/>
            <w:tcBorders>
              <w:top w:val="single" w:color="auto" w:sz="4" w:space="0"/>
            </w:tcBorders>
            <w:noWrap w:val="0"/>
            <w:vAlign w:val="center"/>
          </w:tcPr>
          <w:p w14:paraId="7F9B87A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r>
      <w:tr w14:paraId="490D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415DE31A">
            <w:pPr>
              <w:keepNext w:val="0"/>
              <w:keepLines w:val="0"/>
              <w:pageBreakBefore w:val="0"/>
              <w:widowControl w:val="0"/>
              <w:suppressLineNumbers w:val="0"/>
              <w:kinsoku/>
              <w:wordWrap/>
              <w:overflowPunct/>
              <w:topLinePunct w:val="0"/>
              <w:autoSpaceDE/>
              <w:autoSpaceDN/>
              <w:bidi w:val="0"/>
              <w:adjustRightInd/>
              <w:spacing w:before="0" w:beforeLines="0" w:beforeAutospacing="0" w:after="0" w:afterLines="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lang w:bidi="ar"/>
              </w:rPr>
              <w:t>4</w:t>
            </w:r>
          </w:p>
        </w:tc>
        <w:tc>
          <w:tcPr>
            <w:tcW w:w="2366" w:type="dxa"/>
            <w:gridSpan w:val="2"/>
            <w:noWrap w:val="0"/>
            <w:vAlign w:val="center"/>
          </w:tcPr>
          <w:p w14:paraId="544333D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863" w:type="dxa"/>
            <w:noWrap w:val="0"/>
            <w:vAlign w:val="center"/>
          </w:tcPr>
          <w:p w14:paraId="0A78894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991" w:type="dxa"/>
            <w:gridSpan w:val="2"/>
            <w:noWrap w:val="0"/>
            <w:vAlign w:val="center"/>
          </w:tcPr>
          <w:p w14:paraId="32485D7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500" w:type="dxa"/>
            <w:noWrap w:val="0"/>
            <w:vAlign w:val="center"/>
          </w:tcPr>
          <w:p w14:paraId="083577D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485" w:type="dxa"/>
            <w:noWrap w:val="0"/>
            <w:vAlign w:val="center"/>
          </w:tcPr>
          <w:p w14:paraId="6B208C4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r>
      <w:tr w14:paraId="1470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6E2E467A">
            <w:pPr>
              <w:keepNext w:val="0"/>
              <w:keepLines w:val="0"/>
              <w:pageBreakBefore w:val="0"/>
              <w:widowControl w:val="0"/>
              <w:suppressLineNumbers w:val="0"/>
              <w:kinsoku/>
              <w:wordWrap/>
              <w:overflowPunct/>
              <w:topLinePunct w:val="0"/>
              <w:autoSpaceDE/>
              <w:autoSpaceDN/>
              <w:bidi w:val="0"/>
              <w:adjustRightInd/>
              <w:spacing w:before="0" w:beforeLines="0" w:beforeAutospacing="0" w:after="0" w:afterLines="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color w:val="auto"/>
                <w:sz w:val="24"/>
                <w:szCs w:val="24"/>
                <w:lang w:bidi="ar"/>
              </w:rPr>
              <w:t>5</w:t>
            </w:r>
          </w:p>
        </w:tc>
        <w:tc>
          <w:tcPr>
            <w:tcW w:w="2366" w:type="dxa"/>
            <w:gridSpan w:val="2"/>
            <w:noWrap w:val="0"/>
            <w:vAlign w:val="center"/>
          </w:tcPr>
          <w:p w14:paraId="7925203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00" w:lineRule="exact"/>
              <w:ind w:left="0" w:leftChars="0" w:right="0" w:firstLine="0" w:firstLineChars="0"/>
              <w:jc w:val="center"/>
              <w:textAlignment w:val="auto"/>
              <w:rPr>
                <w:rFonts w:hint="eastAsia" w:ascii="方正仿宋_GBK" w:hAnsi="方正仿宋_GBK" w:eastAsia="方正仿宋_GBK" w:cs="方正仿宋_GBK"/>
                <w:color w:val="auto"/>
                <w:kern w:val="2"/>
                <w:sz w:val="24"/>
                <w:szCs w:val="24"/>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投标文件编制人员</w:t>
            </w:r>
          </w:p>
        </w:tc>
        <w:tc>
          <w:tcPr>
            <w:tcW w:w="863" w:type="dxa"/>
            <w:noWrap w:val="0"/>
            <w:vAlign w:val="center"/>
          </w:tcPr>
          <w:p w14:paraId="5105582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991" w:type="dxa"/>
            <w:gridSpan w:val="2"/>
            <w:noWrap w:val="0"/>
            <w:vAlign w:val="center"/>
          </w:tcPr>
          <w:p w14:paraId="0484C7E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500" w:type="dxa"/>
            <w:noWrap w:val="0"/>
            <w:vAlign w:val="center"/>
          </w:tcPr>
          <w:p w14:paraId="695C99B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c>
          <w:tcPr>
            <w:tcW w:w="1485" w:type="dxa"/>
            <w:noWrap w:val="0"/>
            <w:vAlign w:val="center"/>
          </w:tcPr>
          <w:p w14:paraId="265025D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right="0" w:firstLine="0" w:firstLineChars="0"/>
              <w:jc w:val="center"/>
              <w:textAlignment w:val="auto"/>
              <w:rPr>
                <w:rFonts w:hint="eastAsia" w:ascii="方正仿宋_GBK" w:hAnsi="方正仿宋_GBK" w:eastAsia="方正仿宋_GBK" w:cs="方正仿宋_GBK"/>
                <w:color w:val="auto"/>
                <w:sz w:val="24"/>
                <w:szCs w:val="24"/>
                <w:vertAlign w:val="baseline"/>
                <w:lang w:val="en-US" w:eastAsia="zh-CN"/>
              </w:rPr>
            </w:pPr>
          </w:p>
        </w:tc>
      </w:tr>
      <w:tr w14:paraId="7A4D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941" w:type="dxa"/>
            <w:gridSpan w:val="8"/>
            <w:noWrap w:val="0"/>
            <w:vAlign w:val="center"/>
          </w:tcPr>
          <w:p w14:paraId="7B5C8945">
            <w:pPr>
              <w:keepNext w:val="0"/>
              <w:keepLines w:val="0"/>
              <w:suppressLineNumbers w:val="0"/>
              <w:spacing w:before="0" w:beforeAutospacing="0" w:after="0" w:afterAutospacing="0" w:line="240" w:lineRule="auto"/>
              <w:ind w:left="0" w:right="0" w:firstLine="0" w:firstLineChars="0"/>
              <w:jc w:val="left"/>
              <w:rPr>
                <w:rFonts w:hint="eastAsia" w:ascii="方正仿宋_GBK" w:hAnsi="方正仿宋_GBK" w:eastAsia="方正仿宋_GBK" w:cs="方正仿宋_GBK"/>
                <w:color w:val="auto"/>
                <w:sz w:val="24"/>
                <w:szCs w:val="24"/>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说明：同一职务有多人担任（如主要技术人员），应分行填写。</w:t>
            </w:r>
          </w:p>
        </w:tc>
      </w:tr>
      <w:tr w14:paraId="3E37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941" w:type="dxa"/>
            <w:gridSpan w:val="8"/>
            <w:noWrap w:val="0"/>
            <w:vAlign w:val="center"/>
          </w:tcPr>
          <w:p w14:paraId="1E373366">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b/>
                <w:bCs/>
                <w:color w:val="auto"/>
                <w:sz w:val="24"/>
                <w:szCs w:val="24"/>
                <w:vertAlign w:val="baseline"/>
                <w:lang w:val="en-US" w:eastAsia="zh-CN"/>
              </w:rPr>
            </w:pPr>
            <w:r>
              <w:rPr>
                <w:rFonts w:hint="eastAsia" w:ascii="方正仿宋_GBK" w:hAnsi="方正仿宋_GBK" w:eastAsia="方正仿宋_GBK" w:cs="方正仿宋_GBK"/>
                <w:b/>
                <w:bCs/>
                <w:color w:val="auto"/>
                <w:sz w:val="24"/>
                <w:szCs w:val="24"/>
                <w:vertAlign w:val="baseline"/>
                <w:lang w:val="en-US" w:eastAsia="zh-CN"/>
              </w:rPr>
              <w:t>投标（响应）供应商关联关系情况</w:t>
            </w:r>
          </w:p>
        </w:tc>
      </w:tr>
      <w:tr w14:paraId="7562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736" w:type="dxa"/>
            <w:tcBorders>
              <w:bottom w:val="single" w:color="auto" w:sz="4" w:space="0"/>
            </w:tcBorders>
            <w:noWrap w:val="0"/>
            <w:vAlign w:val="center"/>
          </w:tcPr>
          <w:p w14:paraId="4FF0FF2B">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bidi="ar"/>
              </w:rPr>
            </w:pPr>
            <w:r>
              <w:rPr>
                <w:rFonts w:hint="eastAsia" w:ascii="方正仿宋_GBK" w:hAnsi="方正仿宋_GBK" w:eastAsia="方正仿宋_GBK" w:cs="方正仿宋_GBK"/>
                <w:color w:val="auto"/>
                <w:sz w:val="24"/>
                <w:szCs w:val="24"/>
                <w:vertAlign w:val="baseline"/>
                <w:lang w:val="en-US" w:eastAsia="zh-CN" w:bidi="ar"/>
              </w:rPr>
              <w:t>序号</w:t>
            </w:r>
          </w:p>
        </w:tc>
        <w:tc>
          <w:tcPr>
            <w:tcW w:w="2366" w:type="dxa"/>
            <w:gridSpan w:val="2"/>
            <w:tcBorders>
              <w:bottom w:val="single" w:color="auto" w:sz="4" w:space="0"/>
            </w:tcBorders>
            <w:noWrap w:val="0"/>
            <w:vAlign w:val="center"/>
          </w:tcPr>
          <w:p w14:paraId="5DD44B50">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788" w:type="dxa"/>
            <w:gridSpan w:val="2"/>
            <w:tcBorders>
              <w:bottom w:val="single" w:color="auto" w:sz="4" w:space="0"/>
            </w:tcBorders>
            <w:noWrap w:val="0"/>
            <w:vAlign w:val="center"/>
          </w:tcPr>
          <w:p w14:paraId="2D5A058F">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051" w:type="dxa"/>
            <w:gridSpan w:val="3"/>
            <w:tcBorders>
              <w:bottom w:val="single" w:color="auto" w:sz="4" w:space="0"/>
            </w:tcBorders>
            <w:noWrap w:val="0"/>
            <w:vAlign w:val="center"/>
          </w:tcPr>
          <w:p w14:paraId="3C9689A7">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1BDD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569FFA84">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bidi="ar"/>
              </w:rPr>
            </w:pPr>
            <w:r>
              <w:rPr>
                <w:rFonts w:hint="eastAsia" w:ascii="方正仿宋_GBK" w:hAnsi="方正仿宋_GBK" w:eastAsia="方正仿宋_GBK" w:cs="方正仿宋_GBK"/>
                <w:color w:val="auto"/>
                <w:sz w:val="24"/>
                <w:szCs w:val="24"/>
                <w:vertAlign w:val="baseline"/>
                <w:lang w:val="en-US" w:eastAsia="zh-CN" w:bidi="ar"/>
              </w:rPr>
              <w:t>1</w:t>
            </w:r>
          </w:p>
        </w:tc>
        <w:tc>
          <w:tcPr>
            <w:tcW w:w="2366" w:type="dxa"/>
            <w:gridSpan w:val="2"/>
            <w:tcBorders>
              <w:top w:val="single" w:color="auto" w:sz="4" w:space="0"/>
              <w:left w:val="single" w:color="auto" w:sz="4" w:space="0"/>
              <w:bottom w:val="single" w:color="auto" w:sz="4" w:space="0"/>
              <w:right w:val="single" w:color="auto" w:sz="4" w:space="0"/>
            </w:tcBorders>
            <w:noWrap w:val="0"/>
            <w:vAlign w:val="center"/>
          </w:tcPr>
          <w:p w14:paraId="6F062C0F">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788" w:type="dxa"/>
            <w:gridSpan w:val="2"/>
            <w:tcBorders>
              <w:top w:val="single" w:color="auto" w:sz="4" w:space="0"/>
              <w:left w:val="single" w:color="auto" w:sz="4" w:space="0"/>
              <w:bottom w:val="single" w:color="auto" w:sz="4" w:space="0"/>
              <w:right w:val="single" w:color="auto" w:sz="4" w:space="0"/>
            </w:tcBorders>
            <w:noWrap w:val="0"/>
            <w:vAlign w:val="center"/>
          </w:tcPr>
          <w:p w14:paraId="25DC188E">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051" w:type="dxa"/>
            <w:gridSpan w:val="3"/>
            <w:tcBorders>
              <w:top w:val="single" w:color="auto" w:sz="4" w:space="0"/>
              <w:left w:val="single" w:color="auto" w:sz="4" w:space="0"/>
              <w:bottom w:val="single" w:color="auto" w:sz="4" w:space="0"/>
              <w:right w:val="single" w:color="auto" w:sz="4" w:space="0"/>
            </w:tcBorders>
            <w:noWrap w:val="0"/>
            <w:vAlign w:val="center"/>
          </w:tcPr>
          <w:p w14:paraId="35DB688E">
            <w:pPr>
              <w:keepNext w:val="0"/>
              <w:keepLines w:val="0"/>
              <w:suppressLineNumbers w:val="0"/>
              <w:snapToGrid w:val="0"/>
              <w:spacing w:before="0" w:beforeAutospacing="0" w:after="0" w:afterAutospacing="0" w:line="240" w:lineRule="auto"/>
              <w:ind w:left="0" w:right="0" w:firstLine="0" w:firstLineChars="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18"/>
                <w:szCs w:val="18"/>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233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C6B24A1">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vertAlign w:val="baseline"/>
                <w:lang w:val="en-US" w:eastAsia="zh-CN" w:bidi="ar"/>
              </w:rPr>
            </w:pPr>
            <w:r>
              <w:rPr>
                <w:rFonts w:hint="eastAsia" w:ascii="方正仿宋_GBK" w:hAnsi="方正仿宋_GBK" w:eastAsia="方正仿宋_GBK" w:cs="方正仿宋_GBK"/>
                <w:color w:val="auto"/>
                <w:sz w:val="24"/>
                <w:szCs w:val="24"/>
                <w:vertAlign w:val="baseline"/>
                <w:lang w:val="en-US" w:eastAsia="zh-CN" w:bidi="ar"/>
              </w:rPr>
              <w:t>2</w:t>
            </w:r>
          </w:p>
        </w:tc>
        <w:tc>
          <w:tcPr>
            <w:tcW w:w="2366" w:type="dxa"/>
            <w:gridSpan w:val="2"/>
            <w:tcBorders>
              <w:top w:val="single" w:color="auto" w:sz="4" w:space="0"/>
              <w:left w:val="single" w:color="auto" w:sz="4" w:space="0"/>
              <w:bottom w:val="single" w:color="auto" w:sz="4" w:space="0"/>
              <w:right w:val="single" w:color="auto" w:sz="4" w:space="0"/>
            </w:tcBorders>
            <w:noWrap w:val="0"/>
            <w:vAlign w:val="center"/>
          </w:tcPr>
          <w:p w14:paraId="63FDAEEA">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788" w:type="dxa"/>
            <w:gridSpan w:val="2"/>
            <w:tcBorders>
              <w:top w:val="single" w:color="auto" w:sz="4" w:space="0"/>
              <w:left w:val="single" w:color="auto" w:sz="4" w:space="0"/>
              <w:bottom w:val="single" w:color="auto" w:sz="4" w:space="0"/>
              <w:right w:val="single" w:color="auto" w:sz="4" w:space="0"/>
            </w:tcBorders>
            <w:noWrap w:val="0"/>
            <w:vAlign w:val="center"/>
          </w:tcPr>
          <w:p w14:paraId="0DFF50AD">
            <w:pPr>
              <w:keepNext w:val="0"/>
              <w:keepLines w:val="0"/>
              <w:suppressLineNumbers w:val="0"/>
              <w:spacing w:before="0" w:beforeAutospacing="0" w:after="0" w:afterAutospacing="0" w:line="240" w:lineRule="auto"/>
              <w:ind w:left="0" w:right="0" w:firstLine="0" w:firstLineChars="0"/>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051" w:type="dxa"/>
            <w:gridSpan w:val="3"/>
            <w:tcBorders>
              <w:top w:val="single" w:color="auto" w:sz="4" w:space="0"/>
              <w:left w:val="single" w:color="auto" w:sz="4" w:space="0"/>
              <w:bottom w:val="single" w:color="auto" w:sz="4" w:space="0"/>
              <w:right w:val="single" w:color="auto" w:sz="4" w:space="0"/>
            </w:tcBorders>
            <w:noWrap w:val="0"/>
            <w:vAlign w:val="center"/>
          </w:tcPr>
          <w:p w14:paraId="59F35D2E">
            <w:pPr>
              <w:keepNext w:val="0"/>
              <w:keepLines w:val="0"/>
              <w:suppressLineNumbers w:val="0"/>
              <w:snapToGrid w:val="0"/>
              <w:spacing w:before="0" w:beforeAutospacing="0" w:after="0" w:afterAutospacing="0" w:line="240" w:lineRule="auto"/>
              <w:ind w:left="0" w:right="0" w:firstLine="0" w:firstLineChars="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14:paraId="113B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69ACB3CD">
            <w:pPr>
              <w:keepNext w:val="0"/>
              <w:keepLines w:val="0"/>
              <w:suppressLineNumbers w:val="0"/>
              <w:snapToGrid w:val="0"/>
              <w:spacing w:before="0" w:beforeAutospacing="0" w:after="0" w:afterAutospacing="0" w:line="240" w:lineRule="auto"/>
              <w:ind w:left="0" w:right="0" w:firstLine="0" w:firstLineChars="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746966EC">
      <w:pPr>
        <w:pStyle w:val="15"/>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方正仿宋_GBK" w:hAnsi="方正仿宋_GBK" w:eastAsia="方正仿宋_GBK" w:cs="方正仿宋_GBK"/>
          <w:b/>
          <w:bCs/>
          <w:color w:val="auto"/>
          <w:kern w:val="2"/>
          <w:sz w:val="24"/>
          <w:szCs w:val="24"/>
          <w:highlight w:val="none"/>
          <w:vertAlign w:val="baseline"/>
          <w:lang w:val="en-US" w:eastAsia="zh-CN" w:bidi="ar-SA"/>
        </w:rPr>
      </w:pPr>
      <w:r>
        <w:rPr>
          <w:rFonts w:hint="eastAsia" w:ascii="方正仿宋_GBK" w:hAnsi="方正仿宋_GBK" w:eastAsia="方正仿宋_GBK" w:cs="方正仿宋_GBK"/>
          <w:b/>
          <w:bCs/>
          <w:color w:val="auto"/>
          <w:kern w:val="2"/>
          <w:sz w:val="24"/>
          <w:szCs w:val="24"/>
          <w:highlight w:val="none"/>
          <w:vertAlign w:val="baseline"/>
          <w:lang w:val="en-US" w:eastAsia="zh-CN" w:bidi="ar-SA"/>
        </w:rPr>
        <w:t>注：1.表格内容不得留空，无相关情况请填“无”或“/”；2.项目负责人、主要技术人员需提供以下证明材料：通过投标人缴纳的近一个月的社保证明作为本单位员工的证明依据，如供应商成立不足一个月或员工入职不足一个月无法提供社保的，提供情况说明函（格式自拟）。</w:t>
      </w:r>
    </w:p>
    <w:p w14:paraId="5AC5F794">
      <w:pPr>
        <w:jc w:val="center"/>
        <w:rPr>
          <w:rFonts w:hint="eastAsia" w:ascii="宋体" w:hAnsi="宋体"/>
          <w:b/>
          <w:bCs/>
          <w:color w:val="FF0000"/>
          <w:kern w:val="44"/>
          <w:sz w:val="28"/>
          <w:szCs w:val="44"/>
        </w:rPr>
      </w:pPr>
    </w:p>
    <w:p w14:paraId="3D967E6F">
      <w:pPr>
        <w:jc w:val="center"/>
        <w:rPr>
          <w:rFonts w:hint="eastAsia" w:ascii="宋体" w:hAnsi="宋体"/>
          <w:color w:val="FF0000"/>
          <w:szCs w:val="21"/>
        </w:rPr>
      </w:pPr>
      <w:r>
        <w:rPr>
          <w:rFonts w:hint="eastAsia" w:ascii="宋体" w:hAnsi="宋体"/>
          <w:b/>
          <w:bCs/>
          <w:color w:val="FF0000"/>
          <w:kern w:val="44"/>
          <w:sz w:val="28"/>
          <w:szCs w:val="44"/>
        </w:rPr>
        <w:t>警示条款</w:t>
      </w:r>
    </w:p>
    <w:p w14:paraId="1A46DA34">
      <w:pPr>
        <w:keepNext w:val="0"/>
        <w:keepLines w:val="0"/>
        <w:pageBreakBefore w:val="0"/>
        <w:widowControl w:val="0"/>
        <w:kinsoku/>
        <w:wordWrap/>
        <w:overflowPunct/>
        <w:topLinePunct w:val="0"/>
        <w:autoSpaceDE/>
        <w:autoSpaceDN/>
        <w:bidi w:val="0"/>
        <w:adjustRightInd/>
        <w:snapToGrid/>
        <w:spacing w:line="500" w:lineRule="exact"/>
        <w:ind w:firstLine="442" w:firstLineChars="200"/>
        <w:textAlignment w:val="auto"/>
        <w:rPr>
          <w:sz w:val="22"/>
          <w:szCs w:val="22"/>
        </w:rPr>
      </w:pPr>
      <w:r>
        <w:rPr>
          <w:rFonts w:hint="eastAsia" w:ascii="宋体" w:hAnsi="宋体"/>
          <w:b/>
          <w:bCs/>
          <w:color w:val="FF0000"/>
          <w:sz w:val="22"/>
          <w:szCs w:val="22"/>
        </w:rPr>
        <w:t>《深圳经济特区政府采购条例实施细则》第七十七条</w:t>
      </w:r>
      <w:r>
        <w:rPr>
          <w:rFonts w:hint="eastAsia" w:ascii="宋体" w:hAnsi="宋体"/>
          <w:b/>
          <w:bCs/>
          <w:color w:val="FF0000"/>
          <w:sz w:val="22"/>
          <w:szCs w:val="22"/>
          <w:lang w:val="en-US" w:eastAsia="zh-CN"/>
        </w:rPr>
        <w:t xml:space="preserve"> </w:t>
      </w:r>
      <w:r>
        <w:rPr>
          <w:rFonts w:hint="eastAsia" w:ascii="宋体" w:hAnsi="宋体"/>
          <w:color w:val="FF0000"/>
          <w:sz w:val="22"/>
          <w:szCs w:val="22"/>
        </w:rPr>
        <w:t>供应商有下列情形之一的，属于隐瞒真实情况，提供虚假资料，按照采购条例第五十七</w:t>
      </w:r>
      <w:r>
        <w:rPr>
          <w:rFonts w:hint="eastAsia" w:ascii="宋体" w:hAnsi="宋体"/>
          <w:color w:val="FF0000"/>
          <w:sz w:val="22"/>
          <w:szCs w:val="22"/>
          <w:lang w:eastAsia="zh-CN"/>
        </w:rPr>
        <w:t>条</w:t>
      </w:r>
      <w:r>
        <w:rPr>
          <w:rFonts w:hint="eastAsia" w:ascii="宋体" w:hAnsi="宋体"/>
          <w:color w:val="FF0000"/>
          <w:sz w:val="22"/>
          <w:szCs w:val="22"/>
        </w:rPr>
        <w:t>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0004FD0A">
      <w:pPr>
        <w:keepNext w:val="0"/>
        <w:keepLines w:val="0"/>
        <w:pageBreakBefore w:val="0"/>
        <w:kinsoku/>
        <w:wordWrap/>
        <w:overflowPunct/>
        <w:topLinePunct w:val="0"/>
        <w:autoSpaceDE w:val="0"/>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14:paraId="74A92B7D">
      <w:pPr>
        <w:rPr>
          <w:rFonts w:hint="eastAsia" w:ascii="黑体" w:eastAsia="黑体"/>
          <w:b w:val="0"/>
          <w:kern w:val="0"/>
          <w:sz w:val="24"/>
        </w:rPr>
      </w:pPr>
      <w:r>
        <w:rPr>
          <w:rFonts w:hint="eastAsia" w:ascii="黑体" w:eastAsia="黑体"/>
          <w:b w:val="0"/>
          <w:kern w:val="0"/>
          <w:sz w:val="24"/>
        </w:rPr>
        <w:br w:type="page"/>
      </w:r>
    </w:p>
    <w:p w14:paraId="4E926C8A">
      <w:pPr>
        <w:pStyle w:val="4"/>
        <w:jc w:val="center"/>
        <w:rPr>
          <w:rFonts w:ascii="黑体" w:eastAsia="黑体"/>
          <w:b w:val="0"/>
          <w:kern w:val="0"/>
          <w:sz w:val="24"/>
        </w:rPr>
      </w:pPr>
      <w:r>
        <w:rPr>
          <w:rFonts w:hint="eastAsia" w:ascii="黑体" w:eastAsia="黑体"/>
          <w:b w:val="0"/>
          <w:kern w:val="0"/>
          <w:sz w:val="24"/>
        </w:rPr>
        <w:t>六、投标人情况介绍</w:t>
      </w:r>
      <w:bookmarkEnd w:id="53"/>
      <w:bookmarkEnd w:id="54"/>
      <w:bookmarkEnd w:id="55"/>
      <w:bookmarkEnd w:id="56"/>
      <w:bookmarkEnd w:id="57"/>
      <w:bookmarkEnd w:id="58"/>
      <w:bookmarkEnd w:id="59"/>
      <w:bookmarkEnd w:id="60"/>
      <w:r>
        <w:rPr>
          <w:rFonts w:hint="eastAsia" w:ascii="黑体" w:eastAsia="黑体"/>
          <w:b w:val="0"/>
          <w:kern w:val="0"/>
          <w:sz w:val="24"/>
        </w:rPr>
        <w:t>及相关资质材料</w:t>
      </w:r>
      <w:bookmarkEnd w:id="61"/>
    </w:p>
    <w:tbl>
      <w:tblPr>
        <w:tblStyle w:val="17"/>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401"/>
        <w:gridCol w:w="2076"/>
        <w:gridCol w:w="4514"/>
        <w:gridCol w:w="1411"/>
      </w:tblGrid>
      <w:tr w14:paraId="58142A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7EC59BCC">
            <w:pPr>
              <w:jc w:val="center"/>
              <w:rPr>
                <w:b/>
                <w:szCs w:val="21"/>
              </w:rPr>
            </w:pPr>
            <w:r>
              <w:rPr>
                <w:rFonts w:hint="eastAsia"/>
                <w:b/>
                <w:szCs w:val="21"/>
              </w:rPr>
              <w:t>序号</w:t>
            </w:r>
          </w:p>
        </w:tc>
        <w:tc>
          <w:tcPr>
            <w:tcW w:w="2477" w:type="dxa"/>
            <w:gridSpan w:val="2"/>
            <w:noWrap w:val="0"/>
            <w:vAlign w:val="top"/>
          </w:tcPr>
          <w:p w14:paraId="694DFD6E">
            <w:pPr>
              <w:jc w:val="center"/>
              <w:rPr>
                <w:b/>
                <w:szCs w:val="21"/>
              </w:rPr>
            </w:pPr>
            <w:r>
              <w:rPr>
                <w:rFonts w:hint="eastAsia"/>
                <w:b/>
                <w:szCs w:val="21"/>
              </w:rPr>
              <w:t>项  目</w:t>
            </w:r>
          </w:p>
        </w:tc>
        <w:tc>
          <w:tcPr>
            <w:tcW w:w="4514" w:type="dxa"/>
            <w:noWrap w:val="0"/>
            <w:vAlign w:val="center"/>
          </w:tcPr>
          <w:p w14:paraId="53115B24">
            <w:pPr>
              <w:jc w:val="center"/>
              <w:rPr>
                <w:b/>
                <w:szCs w:val="21"/>
              </w:rPr>
            </w:pPr>
            <w:r>
              <w:rPr>
                <w:rFonts w:hint="eastAsia"/>
                <w:b/>
                <w:szCs w:val="21"/>
              </w:rPr>
              <w:t>内容及说明</w:t>
            </w:r>
          </w:p>
        </w:tc>
        <w:tc>
          <w:tcPr>
            <w:tcW w:w="1411" w:type="dxa"/>
            <w:noWrap w:val="0"/>
            <w:vAlign w:val="center"/>
          </w:tcPr>
          <w:p w14:paraId="216FC629">
            <w:pPr>
              <w:jc w:val="center"/>
              <w:rPr>
                <w:b/>
                <w:szCs w:val="21"/>
              </w:rPr>
            </w:pPr>
            <w:r>
              <w:rPr>
                <w:rFonts w:hint="eastAsia"/>
                <w:b/>
                <w:szCs w:val="21"/>
              </w:rPr>
              <w:t>备注</w:t>
            </w:r>
          </w:p>
        </w:tc>
      </w:tr>
      <w:tr w14:paraId="61B38A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3F50162A">
            <w:pPr>
              <w:jc w:val="center"/>
              <w:rPr>
                <w:b/>
                <w:szCs w:val="21"/>
              </w:rPr>
            </w:pPr>
            <w:r>
              <w:rPr>
                <w:rFonts w:hint="eastAsia"/>
                <w:b/>
                <w:szCs w:val="21"/>
              </w:rPr>
              <w:t>一</w:t>
            </w:r>
          </w:p>
        </w:tc>
        <w:tc>
          <w:tcPr>
            <w:tcW w:w="6991" w:type="dxa"/>
            <w:gridSpan w:val="3"/>
            <w:noWrap w:val="0"/>
            <w:vAlign w:val="top"/>
          </w:tcPr>
          <w:p w14:paraId="67F826B3">
            <w:pPr>
              <w:rPr>
                <w:b/>
                <w:szCs w:val="21"/>
              </w:rPr>
            </w:pPr>
            <w:r>
              <w:rPr>
                <w:rFonts w:hint="eastAsia"/>
                <w:b/>
                <w:szCs w:val="21"/>
              </w:rPr>
              <w:t>营业执照</w:t>
            </w:r>
          </w:p>
        </w:tc>
        <w:tc>
          <w:tcPr>
            <w:tcW w:w="1411" w:type="dxa"/>
            <w:noWrap w:val="0"/>
            <w:vAlign w:val="center"/>
          </w:tcPr>
          <w:p w14:paraId="0AABCAD5">
            <w:pPr>
              <w:jc w:val="center"/>
              <w:rPr>
                <w:szCs w:val="21"/>
              </w:rPr>
            </w:pPr>
            <w:r>
              <w:rPr>
                <w:rFonts w:hint="eastAsia"/>
                <w:szCs w:val="21"/>
              </w:rPr>
              <w:t>提供扫描件</w:t>
            </w:r>
          </w:p>
        </w:tc>
      </w:tr>
      <w:tr w14:paraId="5448E0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013FE72A">
            <w:pPr>
              <w:jc w:val="center"/>
              <w:rPr>
                <w:szCs w:val="21"/>
              </w:rPr>
            </w:pPr>
            <w:r>
              <w:rPr>
                <w:rFonts w:hint="eastAsia"/>
                <w:szCs w:val="21"/>
              </w:rPr>
              <w:t>1</w:t>
            </w:r>
          </w:p>
        </w:tc>
        <w:tc>
          <w:tcPr>
            <w:tcW w:w="2477" w:type="dxa"/>
            <w:gridSpan w:val="2"/>
            <w:noWrap w:val="0"/>
            <w:vAlign w:val="center"/>
          </w:tcPr>
          <w:p w14:paraId="484AAC01">
            <w:pPr>
              <w:jc w:val="center"/>
              <w:rPr>
                <w:szCs w:val="21"/>
              </w:rPr>
            </w:pPr>
            <w:r>
              <w:rPr>
                <w:rFonts w:hint="eastAsia"/>
                <w:szCs w:val="21"/>
              </w:rPr>
              <w:t>注册年度及注册编号</w:t>
            </w:r>
          </w:p>
        </w:tc>
        <w:tc>
          <w:tcPr>
            <w:tcW w:w="4514" w:type="dxa"/>
            <w:noWrap w:val="0"/>
            <w:vAlign w:val="center"/>
          </w:tcPr>
          <w:p w14:paraId="48F29300">
            <w:pPr>
              <w:rPr>
                <w:szCs w:val="21"/>
              </w:rPr>
            </w:pPr>
          </w:p>
        </w:tc>
        <w:tc>
          <w:tcPr>
            <w:tcW w:w="1411" w:type="dxa"/>
            <w:noWrap w:val="0"/>
            <w:vAlign w:val="center"/>
          </w:tcPr>
          <w:p w14:paraId="18DBFF0A">
            <w:pPr>
              <w:jc w:val="center"/>
              <w:rPr>
                <w:szCs w:val="21"/>
              </w:rPr>
            </w:pPr>
          </w:p>
        </w:tc>
      </w:tr>
      <w:tr w14:paraId="1862EA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65D842FD">
            <w:pPr>
              <w:jc w:val="center"/>
              <w:rPr>
                <w:szCs w:val="21"/>
              </w:rPr>
            </w:pPr>
            <w:r>
              <w:rPr>
                <w:rFonts w:hint="eastAsia"/>
                <w:szCs w:val="21"/>
              </w:rPr>
              <w:t>2</w:t>
            </w:r>
          </w:p>
        </w:tc>
        <w:tc>
          <w:tcPr>
            <w:tcW w:w="2477" w:type="dxa"/>
            <w:gridSpan w:val="2"/>
            <w:noWrap w:val="0"/>
            <w:vAlign w:val="center"/>
          </w:tcPr>
          <w:p w14:paraId="727CEADF">
            <w:pPr>
              <w:jc w:val="center"/>
              <w:rPr>
                <w:szCs w:val="21"/>
              </w:rPr>
            </w:pPr>
            <w:r>
              <w:rPr>
                <w:rFonts w:hint="eastAsia"/>
                <w:szCs w:val="21"/>
              </w:rPr>
              <w:t>注册资金（万元）</w:t>
            </w:r>
          </w:p>
        </w:tc>
        <w:tc>
          <w:tcPr>
            <w:tcW w:w="4514" w:type="dxa"/>
            <w:noWrap w:val="0"/>
            <w:vAlign w:val="center"/>
          </w:tcPr>
          <w:p w14:paraId="74B400ED">
            <w:pPr>
              <w:rPr>
                <w:szCs w:val="21"/>
              </w:rPr>
            </w:pPr>
          </w:p>
        </w:tc>
        <w:tc>
          <w:tcPr>
            <w:tcW w:w="1411" w:type="dxa"/>
            <w:noWrap w:val="0"/>
            <w:vAlign w:val="center"/>
          </w:tcPr>
          <w:p w14:paraId="5081A616">
            <w:pPr>
              <w:jc w:val="center"/>
              <w:rPr>
                <w:szCs w:val="21"/>
              </w:rPr>
            </w:pPr>
          </w:p>
        </w:tc>
      </w:tr>
      <w:tr w14:paraId="473C2B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515F5B11">
            <w:pPr>
              <w:jc w:val="center"/>
              <w:rPr>
                <w:szCs w:val="21"/>
              </w:rPr>
            </w:pPr>
            <w:r>
              <w:rPr>
                <w:rFonts w:hint="eastAsia"/>
                <w:szCs w:val="21"/>
              </w:rPr>
              <w:t>3</w:t>
            </w:r>
          </w:p>
        </w:tc>
        <w:tc>
          <w:tcPr>
            <w:tcW w:w="2477" w:type="dxa"/>
            <w:gridSpan w:val="2"/>
            <w:noWrap w:val="0"/>
            <w:vAlign w:val="center"/>
          </w:tcPr>
          <w:p w14:paraId="486C215F">
            <w:pPr>
              <w:jc w:val="center"/>
              <w:rPr>
                <w:szCs w:val="21"/>
              </w:rPr>
            </w:pPr>
            <w:r>
              <w:rPr>
                <w:rFonts w:hint="eastAsia"/>
                <w:szCs w:val="21"/>
              </w:rPr>
              <w:t>经营场所</w:t>
            </w:r>
          </w:p>
        </w:tc>
        <w:tc>
          <w:tcPr>
            <w:tcW w:w="4514" w:type="dxa"/>
            <w:noWrap w:val="0"/>
            <w:vAlign w:val="center"/>
          </w:tcPr>
          <w:p w14:paraId="1CB735A0">
            <w:pPr>
              <w:rPr>
                <w:szCs w:val="21"/>
              </w:rPr>
            </w:pPr>
          </w:p>
        </w:tc>
        <w:tc>
          <w:tcPr>
            <w:tcW w:w="1411" w:type="dxa"/>
            <w:noWrap w:val="0"/>
            <w:vAlign w:val="center"/>
          </w:tcPr>
          <w:p w14:paraId="640D2F44">
            <w:pPr>
              <w:jc w:val="center"/>
              <w:rPr>
                <w:szCs w:val="21"/>
              </w:rPr>
            </w:pPr>
          </w:p>
        </w:tc>
      </w:tr>
      <w:tr w14:paraId="1898EC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30C29BAA">
            <w:pPr>
              <w:jc w:val="center"/>
              <w:rPr>
                <w:szCs w:val="21"/>
              </w:rPr>
            </w:pPr>
            <w:r>
              <w:rPr>
                <w:rFonts w:hint="eastAsia"/>
                <w:szCs w:val="21"/>
              </w:rPr>
              <w:t>4</w:t>
            </w:r>
          </w:p>
        </w:tc>
        <w:tc>
          <w:tcPr>
            <w:tcW w:w="2477" w:type="dxa"/>
            <w:gridSpan w:val="2"/>
            <w:noWrap w:val="0"/>
            <w:vAlign w:val="center"/>
          </w:tcPr>
          <w:p w14:paraId="075C44F4">
            <w:pPr>
              <w:jc w:val="center"/>
              <w:rPr>
                <w:szCs w:val="21"/>
              </w:rPr>
            </w:pPr>
            <w:r>
              <w:rPr>
                <w:rFonts w:hint="eastAsia"/>
                <w:szCs w:val="21"/>
              </w:rPr>
              <w:t>有效期</w:t>
            </w:r>
          </w:p>
        </w:tc>
        <w:tc>
          <w:tcPr>
            <w:tcW w:w="4514" w:type="dxa"/>
            <w:noWrap w:val="0"/>
            <w:vAlign w:val="center"/>
          </w:tcPr>
          <w:p w14:paraId="229CCCD9">
            <w:pPr>
              <w:rPr>
                <w:szCs w:val="21"/>
              </w:rPr>
            </w:pPr>
          </w:p>
        </w:tc>
        <w:tc>
          <w:tcPr>
            <w:tcW w:w="1411" w:type="dxa"/>
            <w:noWrap w:val="0"/>
            <w:vAlign w:val="center"/>
          </w:tcPr>
          <w:p w14:paraId="47B4D967">
            <w:pPr>
              <w:jc w:val="center"/>
              <w:rPr>
                <w:szCs w:val="21"/>
              </w:rPr>
            </w:pPr>
          </w:p>
        </w:tc>
      </w:tr>
      <w:tr w14:paraId="238133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763AF95C">
            <w:pPr>
              <w:jc w:val="center"/>
              <w:rPr>
                <w:szCs w:val="21"/>
              </w:rPr>
            </w:pPr>
            <w:r>
              <w:rPr>
                <w:rFonts w:hint="eastAsia"/>
                <w:szCs w:val="21"/>
              </w:rPr>
              <w:t>二</w:t>
            </w:r>
          </w:p>
        </w:tc>
        <w:tc>
          <w:tcPr>
            <w:tcW w:w="6991" w:type="dxa"/>
            <w:gridSpan w:val="3"/>
            <w:noWrap w:val="0"/>
            <w:vAlign w:val="center"/>
          </w:tcPr>
          <w:p w14:paraId="32DBE8DF">
            <w:pPr>
              <w:rPr>
                <w:b/>
                <w:szCs w:val="21"/>
              </w:rPr>
            </w:pPr>
            <w:r>
              <w:rPr>
                <w:rFonts w:hint="eastAsia"/>
                <w:b/>
                <w:szCs w:val="21"/>
              </w:rPr>
              <w:t>资格（质）证书（</w:t>
            </w:r>
            <w:r>
              <w:rPr>
                <w:rFonts w:hint="eastAsia"/>
                <w:szCs w:val="21"/>
              </w:rPr>
              <w:t>若有其他资质证书，可按表格格式扩展</w:t>
            </w:r>
            <w:r>
              <w:rPr>
                <w:rFonts w:hint="eastAsia"/>
                <w:b/>
                <w:szCs w:val="21"/>
              </w:rPr>
              <w:t>）</w:t>
            </w:r>
          </w:p>
        </w:tc>
        <w:tc>
          <w:tcPr>
            <w:tcW w:w="1411" w:type="dxa"/>
            <w:noWrap w:val="0"/>
            <w:vAlign w:val="center"/>
          </w:tcPr>
          <w:p w14:paraId="4973D0E1">
            <w:pPr>
              <w:jc w:val="center"/>
              <w:rPr>
                <w:szCs w:val="21"/>
              </w:rPr>
            </w:pPr>
            <w:r>
              <w:rPr>
                <w:rFonts w:hint="eastAsia"/>
                <w:szCs w:val="21"/>
              </w:rPr>
              <w:t>提供扫描件</w:t>
            </w:r>
          </w:p>
        </w:tc>
      </w:tr>
      <w:tr w14:paraId="71E884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1E13E9CC">
            <w:pPr>
              <w:jc w:val="center"/>
              <w:rPr>
                <w:szCs w:val="21"/>
              </w:rPr>
            </w:pPr>
            <w:r>
              <w:rPr>
                <w:rFonts w:hint="eastAsia"/>
                <w:szCs w:val="21"/>
              </w:rPr>
              <w:t>1</w:t>
            </w:r>
          </w:p>
        </w:tc>
        <w:tc>
          <w:tcPr>
            <w:tcW w:w="2477" w:type="dxa"/>
            <w:gridSpan w:val="2"/>
            <w:noWrap w:val="0"/>
            <w:vAlign w:val="center"/>
          </w:tcPr>
          <w:p w14:paraId="5D445B28">
            <w:pPr>
              <w:jc w:val="center"/>
              <w:rPr>
                <w:szCs w:val="21"/>
              </w:rPr>
            </w:pPr>
            <w:r>
              <w:rPr>
                <w:rFonts w:hint="eastAsia"/>
                <w:szCs w:val="21"/>
              </w:rPr>
              <w:t>证书名称</w:t>
            </w:r>
          </w:p>
        </w:tc>
        <w:tc>
          <w:tcPr>
            <w:tcW w:w="4514" w:type="dxa"/>
            <w:noWrap w:val="0"/>
            <w:vAlign w:val="center"/>
          </w:tcPr>
          <w:p w14:paraId="64C4D578">
            <w:pPr>
              <w:jc w:val="center"/>
              <w:rPr>
                <w:szCs w:val="21"/>
              </w:rPr>
            </w:pPr>
          </w:p>
        </w:tc>
        <w:tc>
          <w:tcPr>
            <w:tcW w:w="1411" w:type="dxa"/>
            <w:noWrap w:val="0"/>
            <w:vAlign w:val="center"/>
          </w:tcPr>
          <w:p w14:paraId="4E15626A">
            <w:pPr>
              <w:jc w:val="center"/>
              <w:rPr>
                <w:szCs w:val="21"/>
              </w:rPr>
            </w:pPr>
          </w:p>
        </w:tc>
      </w:tr>
      <w:tr w14:paraId="4D4A26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0DA3EA56">
            <w:pPr>
              <w:jc w:val="center"/>
              <w:rPr>
                <w:szCs w:val="21"/>
              </w:rPr>
            </w:pPr>
            <w:r>
              <w:rPr>
                <w:rFonts w:hint="eastAsia"/>
                <w:szCs w:val="21"/>
              </w:rPr>
              <w:t>2</w:t>
            </w:r>
          </w:p>
        </w:tc>
        <w:tc>
          <w:tcPr>
            <w:tcW w:w="2477" w:type="dxa"/>
            <w:gridSpan w:val="2"/>
            <w:noWrap w:val="0"/>
            <w:vAlign w:val="center"/>
          </w:tcPr>
          <w:p w14:paraId="231EF753">
            <w:pPr>
              <w:jc w:val="center"/>
              <w:rPr>
                <w:szCs w:val="21"/>
              </w:rPr>
            </w:pPr>
            <w:r>
              <w:rPr>
                <w:rFonts w:hint="eastAsia"/>
                <w:szCs w:val="21"/>
              </w:rPr>
              <w:t>批准单位</w:t>
            </w:r>
          </w:p>
        </w:tc>
        <w:tc>
          <w:tcPr>
            <w:tcW w:w="4514" w:type="dxa"/>
            <w:noWrap w:val="0"/>
            <w:vAlign w:val="center"/>
          </w:tcPr>
          <w:p w14:paraId="6690992D">
            <w:pPr>
              <w:jc w:val="center"/>
              <w:rPr>
                <w:szCs w:val="21"/>
              </w:rPr>
            </w:pPr>
          </w:p>
        </w:tc>
        <w:tc>
          <w:tcPr>
            <w:tcW w:w="1411" w:type="dxa"/>
            <w:noWrap w:val="0"/>
            <w:vAlign w:val="center"/>
          </w:tcPr>
          <w:p w14:paraId="040B9945">
            <w:pPr>
              <w:jc w:val="center"/>
              <w:rPr>
                <w:szCs w:val="21"/>
              </w:rPr>
            </w:pPr>
          </w:p>
        </w:tc>
      </w:tr>
      <w:tr w14:paraId="6BE90C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2EDAD5E8">
            <w:pPr>
              <w:jc w:val="center"/>
              <w:rPr>
                <w:szCs w:val="21"/>
              </w:rPr>
            </w:pPr>
            <w:r>
              <w:rPr>
                <w:rFonts w:hint="eastAsia"/>
                <w:szCs w:val="21"/>
              </w:rPr>
              <w:t>3</w:t>
            </w:r>
          </w:p>
        </w:tc>
        <w:tc>
          <w:tcPr>
            <w:tcW w:w="2477" w:type="dxa"/>
            <w:gridSpan w:val="2"/>
            <w:noWrap w:val="0"/>
            <w:vAlign w:val="center"/>
          </w:tcPr>
          <w:p w14:paraId="6B4CB3E0">
            <w:pPr>
              <w:jc w:val="center"/>
              <w:rPr>
                <w:szCs w:val="21"/>
              </w:rPr>
            </w:pPr>
            <w:r>
              <w:rPr>
                <w:rFonts w:hint="eastAsia"/>
                <w:szCs w:val="21"/>
              </w:rPr>
              <w:t>等级</w:t>
            </w:r>
          </w:p>
        </w:tc>
        <w:tc>
          <w:tcPr>
            <w:tcW w:w="4514" w:type="dxa"/>
            <w:noWrap w:val="0"/>
            <w:vAlign w:val="center"/>
          </w:tcPr>
          <w:p w14:paraId="456B8427">
            <w:pPr>
              <w:jc w:val="center"/>
              <w:rPr>
                <w:szCs w:val="21"/>
              </w:rPr>
            </w:pPr>
          </w:p>
        </w:tc>
        <w:tc>
          <w:tcPr>
            <w:tcW w:w="1411" w:type="dxa"/>
            <w:noWrap w:val="0"/>
            <w:vAlign w:val="center"/>
          </w:tcPr>
          <w:p w14:paraId="7B5F3E99">
            <w:pPr>
              <w:jc w:val="center"/>
              <w:rPr>
                <w:szCs w:val="21"/>
              </w:rPr>
            </w:pPr>
          </w:p>
        </w:tc>
      </w:tr>
      <w:tr w14:paraId="762CF9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1D484CB6">
            <w:pPr>
              <w:jc w:val="center"/>
              <w:rPr>
                <w:szCs w:val="21"/>
              </w:rPr>
            </w:pPr>
            <w:r>
              <w:rPr>
                <w:rFonts w:hint="eastAsia"/>
                <w:szCs w:val="21"/>
              </w:rPr>
              <w:t>4</w:t>
            </w:r>
          </w:p>
        </w:tc>
        <w:tc>
          <w:tcPr>
            <w:tcW w:w="2477" w:type="dxa"/>
            <w:gridSpan w:val="2"/>
            <w:noWrap w:val="0"/>
            <w:vAlign w:val="center"/>
          </w:tcPr>
          <w:p w14:paraId="0167A340">
            <w:pPr>
              <w:jc w:val="center"/>
              <w:rPr>
                <w:szCs w:val="21"/>
              </w:rPr>
            </w:pPr>
            <w:r>
              <w:rPr>
                <w:rFonts w:hint="eastAsia"/>
                <w:szCs w:val="21"/>
              </w:rPr>
              <w:t>批准时间及编号</w:t>
            </w:r>
          </w:p>
        </w:tc>
        <w:tc>
          <w:tcPr>
            <w:tcW w:w="4514" w:type="dxa"/>
            <w:noWrap w:val="0"/>
            <w:vAlign w:val="center"/>
          </w:tcPr>
          <w:p w14:paraId="62F0F471">
            <w:pPr>
              <w:jc w:val="center"/>
              <w:rPr>
                <w:szCs w:val="21"/>
              </w:rPr>
            </w:pPr>
          </w:p>
        </w:tc>
        <w:tc>
          <w:tcPr>
            <w:tcW w:w="1411" w:type="dxa"/>
            <w:noWrap w:val="0"/>
            <w:vAlign w:val="center"/>
          </w:tcPr>
          <w:p w14:paraId="048A7630">
            <w:pPr>
              <w:jc w:val="center"/>
              <w:rPr>
                <w:szCs w:val="21"/>
              </w:rPr>
            </w:pPr>
          </w:p>
        </w:tc>
      </w:tr>
      <w:tr w14:paraId="086304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77F07B33">
            <w:pPr>
              <w:jc w:val="center"/>
              <w:rPr>
                <w:szCs w:val="21"/>
              </w:rPr>
            </w:pPr>
            <w:r>
              <w:rPr>
                <w:rFonts w:hint="eastAsia"/>
                <w:szCs w:val="21"/>
              </w:rPr>
              <w:t>5</w:t>
            </w:r>
          </w:p>
        </w:tc>
        <w:tc>
          <w:tcPr>
            <w:tcW w:w="2477" w:type="dxa"/>
            <w:gridSpan w:val="2"/>
            <w:noWrap w:val="0"/>
            <w:vAlign w:val="center"/>
          </w:tcPr>
          <w:p w14:paraId="3C4D4692">
            <w:pPr>
              <w:jc w:val="center"/>
              <w:rPr>
                <w:szCs w:val="21"/>
              </w:rPr>
            </w:pPr>
            <w:r>
              <w:rPr>
                <w:rFonts w:hint="eastAsia"/>
                <w:szCs w:val="21"/>
              </w:rPr>
              <w:t>有效期</w:t>
            </w:r>
          </w:p>
        </w:tc>
        <w:tc>
          <w:tcPr>
            <w:tcW w:w="4514" w:type="dxa"/>
            <w:noWrap w:val="0"/>
            <w:vAlign w:val="center"/>
          </w:tcPr>
          <w:p w14:paraId="6A5080C3">
            <w:pPr>
              <w:jc w:val="center"/>
              <w:rPr>
                <w:szCs w:val="21"/>
              </w:rPr>
            </w:pPr>
          </w:p>
        </w:tc>
        <w:tc>
          <w:tcPr>
            <w:tcW w:w="1411" w:type="dxa"/>
            <w:noWrap w:val="0"/>
            <w:vAlign w:val="center"/>
          </w:tcPr>
          <w:p w14:paraId="72F1FB4D">
            <w:pPr>
              <w:jc w:val="center"/>
              <w:rPr>
                <w:szCs w:val="21"/>
              </w:rPr>
            </w:pPr>
          </w:p>
        </w:tc>
      </w:tr>
      <w:tr w14:paraId="5BF78D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56DC8AE3">
            <w:pPr>
              <w:jc w:val="center"/>
              <w:rPr>
                <w:b/>
                <w:szCs w:val="21"/>
              </w:rPr>
            </w:pPr>
            <w:r>
              <w:rPr>
                <w:rFonts w:hint="eastAsia"/>
                <w:b/>
                <w:szCs w:val="21"/>
              </w:rPr>
              <w:t>三</w:t>
            </w:r>
          </w:p>
        </w:tc>
        <w:tc>
          <w:tcPr>
            <w:tcW w:w="6991" w:type="dxa"/>
            <w:gridSpan w:val="3"/>
            <w:noWrap w:val="0"/>
            <w:vAlign w:val="center"/>
          </w:tcPr>
          <w:p w14:paraId="76274AE8">
            <w:pPr>
              <w:rPr>
                <w:szCs w:val="21"/>
              </w:rPr>
            </w:pPr>
            <w:r>
              <w:rPr>
                <w:rFonts w:hint="eastAsia"/>
                <w:b/>
                <w:szCs w:val="21"/>
              </w:rPr>
              <w:t>得奖或评优项目（</w:t>
            </w:r>
            <w:r>
              <w:rPr>
                <w:rFonts w:hint="eastAsia"/>
                <w:szCs w:val="21"/>
              </w:rPr>
              <w:t>若有多个奖项，可按表格格式扩展</w:t>
            </w:r>
            <w:r>
              <w:rPr>
                <w:rFonts w:hint="eastAsia"/>
                <w:b/>
                <w:szCs w:val="21"/>
              </w:rPr>
              <w:t>）</w:t>
            </w:r>
          </w:p>
        </w:tc>
        <w:tc>
          <w:tcPr>
            <w:tcW w:w="1411" w:type="dxa"/>
            <w:noWrap w:val="0"/>
            <w:vAlign w:val="center"/>
          </w:tcPr>
          <w:p w14:paraId="18925673">
            <w:pPr>
              <w:jc w:val="center"/>
              <w:rPr>
                <w:szCs w:val="21"/>
              </w:rPr>
            </w:pPr>
          </w:p>
        </w:tc>
      </w:tr>
      <w:tr w14:paraId="5DEA83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64B0A4E1">
            <w:pPr>
              <w:jc w:val="center"/>
              <w:rPr>
                <w:szCs w:val="21"/>
              </w:rPr>
            </w:pPr>
            <w:r>
              <w:rPr>
                <w:rFonts w:hint="eastAsia"/>
                <w:szCs w:val="21"/>
              </w:rPr>
              <w:t>1</w:t>
            </w:r>
          </w:p>
        </w:tc>
        <w:tc>
          <w:tcPr>
            <w:tcW w:w="2477" w:type="dxa"/>
            <w:gridSpan w:val="2"/>
            <w:noWrap w:val="0"/>
            <w:vAlign w:val="center"/>
          </w:tcPr>
          <w:p w14:paraId="49D0DC05">
            <w:pPr>
              <w:jc w:val="center"/>
              <w:rPr>
                <w:szCs w:val="21"/>
              </w:rPr>
            </w:pPr>
            <w:r>
              <w:rPr>
                <w:rFonts w:hint="eastAsia"/>
                <w:szCs w:val="21"/>
              </w:rPr>
              <w:t>得奖或评优项目数量</w:t>
            </w:r>
          </w:p>
        </w:tc>
        <w:tc>
          <w:tcPr>
            <w:tcW w:w="4514" w:type="dxa"/>
            <w:noWrap w:val="0"/>
            <w:vAlign w:val="center"/>
          </w:tcPr>
          <w:p w14:paraId="30DA901C">
            <w:pPr>
              <w:jc w:val="center"/>
              <w:rPr>
                <w:szCs w:val="21"/>
              </w:rPr>
            </w:pPr>
          </w:p>
        </w:tc>
        <w:tc>
          <w:tcPr>
            <w:tcW w:w="1411" w:type="dxa"/>
            <w:noWrap w:val="0"/>
            <w:vAlign w:val="center"/>
          </w:tcPr>
          <w:p w14:paraId="19F4746B">
            <w:pPr>
              <w:jc w:val="center"/>
              <w:rPr>
                <w:szCs w:val="21"/>
              </w:rPr>
            </w:pPr>
          </w:p>
        </w:tc>
      </w:tr>
      <w:tr w14:paraId="31388A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vMerge w:val="restart"/>
            <w:noWrap w:val="0"/>
            <w:vAlign w:val="center"/>
          </w:tcPr>
          <w:p w14:paraId="2B0C3AB5">
            <w:pPr>
              <w:jc w:val="center"/>
              <w:rPr>
                <w:szCs w:val="21"/>
              </w:rPr>
            </w:pPr>
            <w:r>
              <w:rPr>
                <w:rFonts w:hint="eastAsia"/>
                <w:szCs w:val="21"/>
              </w:rPr>
              <w:t>2</w:t>
            </w:r>
          </w:p>
        </w:tc>
        <w:tc>
          <w:tcPr>
            <w:tcW w:w="401" w:type="dxa"/>
            <w:vMerge w:val="restart"/>
            <w:noWrap w:val="0"/>
            <w:vAlign w:val="center"/>
          </w:tcPr>
          <w:p w14:paraId="43F6B46A">
            <w:pPr>
              <w:jc w:val="center"/>
              <w:rPr>
                <w:szCs w:val="21"/>
              </w:rPr>
            </w:pPr>
            <w:r>
              <w:rPr>
                <w:rFonts w:hint="eastAsia"/>
                <w:szCs w:val="21"/>
              </w:rPr>
              <w:t>项目A</w:t>
            </w:r>
          </w:p>
        </w:tc>
        <w:tc>
          <w:tcPr>
            <w:tcW w:w="2076" w:type="dxa"/>
            <w:noWrap w:val="0"/>
            <w:vAlign w:val="center"/>
          </w:tcPr>
          <w:p w14:paraId="5327EB9D">
            <w:pPr>
              <w:jc w:val="center"/>
              <w:rPr>
                <w:szCs w:val="21"/>
              </w:rPr>
            </w:pPr>
            <w:r>
              <w:rPr>
                <w:rFonts w:hint="eastAsia"/>
                <w:szCs w:val="21"/>
              </w:rPr>
              <w:t>项目名称</w:t>
            </w:r>
          </w:p>
        </w:tc>
        <w:tc>
          <w:tcPr>
            <w:tcW w:w="4514" w:type="dxa"/>
            <w:noWrap w:val="0"/>
            <w:vAlign w:val="center"/>
          </w:tcPr>
          <w:p w14:paraId="7AAC939E">
            <w:pPr>
              <w:jc w:val="center"/>
              <w:rPr>
                <w:szCs w:val="21"/>
              </w:rPr>
            </w:pPr>
          </w:p>
        </w:tc>
        <w:tc>
          <w:tcPr>
            <w:tcW w:w="1411" w:type="dxa"/>
            <w:noWrap w:val="0"/>
            <w:vAlign w:val="center"/>
          </w:tcPr>
          <w:p w14:paraId="3C9D769B">
            <w:pPr>
              <w:jc w:val="center"/>
              <w:rPr>
                <w:szCs w:val="21"/>
              </w:rPr>
            </w:pPr>
          </w:p>
        </w:tc>
      </w:tr>
      <w:tr w14:paraId="022973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vMerge w:val="continue"/>
            <w:noWrap w:val="0"/>
            <w:vAlign w:val="center"/>
          </w:tcPr>
          <w:p w14:paraId="7A2C2512">
            <w:pPr>
              <w:jc w:val="center"/>
              <w:rPr>
                <w:szCs w:val="21"/>
              </w:rPr>
            </w:pPr>
          </w:p>
        </w:tc>
        <w:tc>
          <w:tcPr>
            <w:tcW w:w="401" w:type="dxa"/>
            <w:vMerge w:val="continue"/>
            <w:noWrap w:val="0"/>
            <w:vAlign w:val="center"/>
          </w:tcPr>
          <w:p w14:paraId="513ABD43">
            <w:pPr>
              <w:jc w:val="center"/>
              <w:rPr>
                <w:szCs w:val="21"/>
              </w:rPr>
            </w:pPr>
          </w:p>
        </w:tc>
        <w:tc>
          <w:tcPr>
            <w:tcW w:w="2076" w:type="dxa"/>
            <w:noWrap w:val="0"/>
            <w:vAlign w:val="center"/>
          </w:tcPr>
          <w:p w14:paraId="3C3C7E56">
            <w:pPr>
              <w:jc w:val="center"/>
              <w:rPr>
                <w:szCs w:val="21"/>
              </w:rPr>
            </w:pPr>
            <w:r>
              <w:rPr>
                <w:rFonts w:hint="eastAsia"/>
                <w:szCs w:val="21"/>
              </w:rPr>
              <w:t>奖项名称、等级及颁发单位</w:t>
            </w:r>
          </w:p>
        </w:tc>
        <w:tc>
          <w:tcPr>
            <w:tcW w:w="4514" w:type="dxa"/>
            <w:noWrap w:val="0"/>
            <w:vAlign w:val="center"/>
          </w:tcPr>
          <w:p w14:paraId="648BD689">
            <w:pPr>
              <w:jc w:val="center"/>
              <w:rPr>
                <w:szCs w:val="21"/>
              </w:rPr>
            </w:pPr>
          </w:p>
        </w:tc>
        <w:tc>
          <w:tcPr>
            <w:tcW w:w="1411" w:type="dxa"/>
            <w:noWrap w:val="0"/>
            <w:vAlign w:val="center"/>
          </w:tcPr>
          <w:p w14:paraId="3E66B862">
            <w:pPr>
              <w:jc w:val="center"/>
              <w:rPr>
                <w:szCs w:val="21"/>
              </w:rPr>
            </w:pPr>
            <w:r>
              <w:rPr>
                <w:rFonts w:hint="eastAsia"/>
                <w:szCs w:val="21"/>
              </w:rPr>
              <w:t>提供奖项扫描件</w:t>
            </w:r>
          </w:p>
        </w:tc>
      </w:tr>
      <w:tr w14:paraId="55734B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vMerge w:val="continue"/>
            <w:noWrap w:val="0"/>
            <w:vAlign w:val="center"/>
          </w:tcPr>
          <w:p w14:paraId="72563148">
            <w:pPr>
              <w:jc w:val="center"/>
              <w:rPr>
                <w:szCs w:val="21"/>
              </w:rPr>
            </w:pPr>
          </w:p>
        </w:tc>
        <w:tc>
          <w:tcPr>
            <w:tcW w:w="401" w:type="dxa"/>
            <w:vMerge w:val="continue"/>
            <w:noWrap w:val="0"/>
            <w:vAlign w:val="center"/>
          </w:tcPr>
          <w:p w14:paraId="7E3CA5DE">
            <w:pPr>
              <w:jc w:val="center"/>
              <w:rPr>
                <w:szCs w:val="21"/>
              </w:rPr>
            </w:pPr>
          </w:p>
        </w:tc>
        <w:tc>
          <w:tcPr>
            <w:tcW w:w="2076" w:type="dxa"/>
            <w:noWrap w:val="0"/>
            <w:vAlign w:val="center"/>
          </w:tcPr>
          <w:p w14:paraId="4A28E9E5">
            <w:pPr>
              <w:jc w:val="center"/>
              <w:rPr>
                <w:szCs w:val="21"/>
              </w:rPr>
            </w:pPr>
            <w:r>
              <w:rPr>
                <w:rFonts w:hint="eastAsia"/>
                <w:szCs w:val="21"/>
              </w:rPr>
              <w:t>项目规模及性质的简要说明</w:t>
            </w:r>
          </w:p>
        </w:tc>
        <w:tc>
          <w:tcPr>
            <w:tcW w:w="4514" w:type="dxa"/>
            <w:noWrap w:val="0"/>
            <w:vAlign w:val="center"/>
          </w:tcPr>
          <w:p w14:paraId="145DFD31">
            <w:pPr>
              <w:jc w:val="center"/>
              <w:rPr>
                <w:szCs w:val="21"/>
              </w:rPr>
            </w:pPr>
          </w:p>
        </w:tc>
        <w:tc>
          <w:tcPr>
            <w:tcW w:w="1411" w:type="dxa"/>
            <w:noWrap w:val="0"/>
            <w:vAlign w:val="center"/>
          </w:tcPr>
          <w:p w14:paraId="0C5BDC4F">
            <w:pPr>
              <w:jc w:val="center"/>
              <w:rPr>
                <w:szCs w:val="21"/>
              </w:rPr>
            </w:pPr>
          </w:p>
        </w:tc>
      </w:tr>
      <w:tr w14:paraId="52B691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vMerge w:val="restart"/>
            <w:noWrap w:val="0"/>
            <w:vAlign w:val="center"/>
          </w:tcPr>
          <w:p w14:paraId="1389400E">
            <w:pPr>
              <w:jc w:val="center"/>
              <w:rPr>
                <w:szCs w:val="21"/>
              </w:rPr>
            </w:pPr>
            <w:r>
              <w:rPr>
                <w:rFonts w:hint="eastAsia"/>
                <w:szCs w:val="21"/>
              </w:rPr>
              <w:t>3</w:t>
            </w:r>
          </w:p>
        </w:tc>
        <w:tc>
          <w:tcPr>
            <w:tcW w:w="401" w:type="dxa"/>
            <w:vMerge w:val="restart"/>
            <w:noWrap w:val="0"/>
            <w:vAlign w:val="center"/>
          </w:tcPr>
          <w:p w14:paraId="47B8EEFD">
            <w:pPr>
              <w:jc w:val="center"/>
              <w:rPr>
                <w:szCs w:val="21"/>
              </w:rPr>
            </w:pPr>
            <w:r>
              <w:rPr>
                <w:rFonts w:hint="eastAsia"/>
                <w:szCs w:val="21"/>
              </w:rPr>
              <w:t>项目B</w:t>
            </w:r>
          </w:p>
        </w:tc>
        <w:tc>
          <w:tcPr>
            <w:tcW w:w="2076" w:type="dxa"/>
            <w:noWrap w:val="0"/>
            <w:vAlign w:val="center"/>
          </w:tcPr>
          <w:p w14:paraId="436382BD">
            <w:pPr>
              <w:jc w:val="center"/>
              <w:rPr>
                <w:szCs w:val="21"/>
              </w:rPr>
            </w:pPr>
            <w:r>
              <w:rPr>
                <w:rFonts w:hint="eastAsia"/>
                <w:szCs w:val="21"/>
              </w:rPr>
              <w:t>项目名称</w:t>
            </w:r>
          </w:p>
        </w:tc>
        <w:tc>
          <w:tcPr>
            <w:tcW w:w="4514" w:type="dxa"/>
            <w:noWrap w:val="0"/>
            <w:vAlign w:val="center"/>
          </w:tcPr>
          <w:p w14:paraId="1E98B48B">
            <w:pPr>
              <w:jc w:val="center"/>
              <w:rPr>
                <w:szCs w:val="21"/>
              </w:rPr>
            </w:pPr>
          </w:p>
        </w:tc>
        <w:tc>
          <w:tcPr>
            <w:tcW w:w="1411" w:type="dxa"/>
            <w:noWrap w:val="0"/>
            <w:vAlign w:val="center"/>
          </w:tcPr>
          <w:p w14:paraId="034DC55D">
            <w:pPr>
              <w:jc w:val="center"/>
              <w:rPr>
                <w:szCs w:val="21"/>
              </w:rPr>
            </w:pPr>
          </w:p>
        </w:tc>
      </w:tr>
      <w:tr w14:paraId="412441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vMerge w:val="continue"/>
            <w:noWrap w:val="0"/>
            <w:vAlign w:val="center"/>
          </w:tcPr>
          <w:p w14:paraId="0B0336BE">
            <w:pPr>
              <w:jc w:val="center"/>
              <w:rPr>
                <w:szCs w:val="21"/>
              </w:rPr>
            </w:pPr>
          </w:p>
        </w:tc>
        <w:tc>
          <w:tcPr>
            <w:tcW w:w="401" w:type="dxa"/>
            <w:vMerge w:val="continue"/>
            <w:noWrap w:val="0"/>
            <w:vAlign w:val="center"/>
          </w:tcPr>
          <w:p w14:paraId="5F2231D2">
            <w:pPr>
              <w:jc w:val="center"/>
              <w:rPr>
                <w:szCs w:val="21"/>
              </w:rPr>
            </w:pPr>
          </w:p>
        </w:tc>
        <w:tc>
          <w:tcPr>
            <w:tcW w:w="2076" w:type="dxa"/>
            <w:noWrap w:val="0"/>
            <w:vAlign w:val="center"/>
          </w:tcPr>
          <w:p w14:paraId="5061FF00">
            <w:pPr>
              <w:jc w:val="center"/>
              <w:rPr>
                <w:szCs w:val="21"/>
              </w:rPr>
            </w:pPr>
            <w:r>
              <w:rPr>
                <w:rFonts w:hint="eastAsia"/>
                <w:szCs w:val="21"/>
              </w:rPr>
              <w:t>奖项名称、等级及颁发单位</w:t>
            </w:r>
          </w:p>
        </w:tc>
        <w:tc>
          <w:tcPr>
            <w:tcW w:w="4514" w:type="dxa"/>
            <w:noWrap w:val="0"/>
            <w:vAlign w:val="center"/>
          </w:tcPr>
          <w:p w14:paraId="3ECCC32C">
            <w:pPr>
              <w:jc w:val="center"/>
              <w:rPr>
                <w:szCs w:val="21"/>
              </w:rPr>
            </w:pPr>
          </w:p>
        </w:tc>
        <w:tc>
          <w:tcPr>
            <w:tcW w:w="1411" w:type="dxa"/>
            <w:noWrap w:val="0"/>
            <w:vAlign w:val="center"/>
          </w:tcPr>
          <w:p w14:paraId="29F8B2CF">
            <w:pPr>
              <w:jc w:val="center"/>
              <w:rPr>
                <w:szCs w:val="21"/>
              </w:rPr>
            </w:pPr>
            <w:r>
              <w:rPr>
                <w:rFonts w:hint="eastAsia"/>
                <w:szCs w:val="21"/>
              </w:rPr>
              <w:t>提供奖项扫描件</w:t>
            </w:r>
          </w:p>
        </w:tc>
      </w:tr>
      <w:tr w14:paraId="3C37E2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vMerge w:val="continue"/>
            <w:noWrap w:val="0"/>
            <w:vAlign w:val="center"/>
          </w:tcPr>
          <w:p w14:paraId="2E8143F4">
            <w:pPr>
              <w:jc w:val="center"/>
              <w:rPr>
                <w:szCs w:val="21"/>
              </w:rPr>
            </w:pPr>
          </w:p>
        </w:tc>
        <w:tc>
          <w:tcPr>
            <w:tcW w:w="401" w:type="dxa"/>
            <w:vMerge w:val="continue"/>
            <w:noWrap w:val="0"/>
            <w:vAlign w:val="center"/>
          </w:tcPr>
          <w:p w14:paraId="51658CF9">
            <w:pPr>
              <w:jc w:val="center"/>
              <w:rPr>
                <w:szCs w:val="21"/>
              </w:rPr>
            </w:pPr>
          </w:p>
        </w:tc>
        <w:tc>
          <w:tcPr>
            <w:tcW w:w="2076" w:type="dxa"/>
            <w:noWrap w:val="0"/>
            <w:vAlign w:val="center"/>
          </w:tcPr>
          <w:p w14:paraId="0FBEC564">
            <w:pPr>
              <w:jc w:val="center"/>
              <w:rPr>
                <w:szCs w:val="21"/>
              </w:rPr>
            </w:pPr>
            <w:r>
              <w:rPr>
                <w:rFonts w:hint="eastAsia"/>
                <w:szCs w:val="21"/>
              </w:rPr>
              <w:t>项目规模及性质的简要说明</w:t>
            </w:r>
          </w:p>
        </w:tc>
        <w:tc>
          <w:tcPr>
            <w:tcW w:w="4514" w:type="dxa"/>
            <w:noWrap w:val="0"/>
            <w:vAlign w:val="center"/>
          </w:tcPr>
          <w:p w14:paraId="1CE0424D">
            <w:pPr>
              <w:jc w:val="center"/>
              <w:rPr>
                <w:szCs w:val="21"/>
              </w:rPr>
            </w:pPr>
          </w:p>
        </w:tc>
        <w:tc>
          <w:tcPr>
            <w:tcW w:w="1411" w:type="dxa"/>
            <w:noWrap w:val="0"/>
            <w:vAlign w:val="center"/>
          </w:tcPr>
          <w:p w14:paraId="077707B8">
            <w:pPr>
              <w:jc w:val="center"/>
              <w:rPr>
                <w:szCs w:val="21"/>
              </w:rPr>
            </w:pPr>
          </w:p>
        </w:tc>
      </w:tr>
      <w:tr w14:paraId="717588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16B3E436">
            <w:pPr>
              <w:jc w:val="center"/>
              <w:rPr>
                <w:szCs w:val="21"/>
              </w:rPr>
            </w:pPr>
            <w:r>
              <w:rPr>
                <w:rFonts w:hint="eastAsia"/>
                <w:b/>
                <w:szCs w:val="21"/>
              </w:rPr>
              <w:t>四</w:t>
            </w:r>
          </w:p>
        </w:tc>
        <w:tc>
          <w:tcPr>
            <w:tcW w:w="6991" w:type="dxa"/>
            <w:gridSpan w:val="3"/>
            <w:noWrap w:val="0"/>
            <w:vAlign w:val="center"/>
          </w:tcPr>
          <w:p w14:paraId="00A59D13">
            <w:pPr>
              <w:rPr>
                <w:b/>
                <w:szCs w:val="21"/>
              </w:rPr>
            </w:pPr>
            <w:r>
              <w:rPr>
                <w:rFonts w:hint="eastAsia"/>
                <w:b/>
                <w:szCs w:val="21"/>
              </w:rPr>
              <w:t>企业技术力量</w:t>
            </w:r>
          </w:p>
        </w:tc>
        <w:tc>
          <w:tcPr>
            <w:tcW w:w="1411" w:type="dxa"/>
            <w:noWrap w:val="0"/>
            <w:vAlign w:val="center"/>
          </w:tcPr>
          <w:p w14:paraId="1EB4052A">
            <w:pPr>
              <w:jc w:val="center"/>
              <w:rPr>
                <w:szCs w:val="21"/>
              </w:rPr>
            </w:pPr>
          </w:p>
        </w:tc>
      </w:tr>
      <w:tr w14:paraId="6F360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36908278">
            <w:pPr>
              <w:jc w:val="center"/>
              <w:rPr>
                <w:szCs w:val="21"/>
              </w:rPr>
            </w:pPr>
            <w:r>
              <w:rPr>
                <w:rFonts w:hint="eastAsia"/>
                <w:szCs w:val="21"/>
              </w:rPr>
              <w:t>1</w:t>
            </w:r>
          </w:p>
        </w:tc>
        <w:tc>
          <w:tcPr>
            <w:tcW w:w="2477" w:type="dxa"/>
            <w:gridSpan w:val="2"/>
            <w:noWrap w:val="0"/>
            <w:vAlign w:val="center"/>
          </w:tcPr>
          <w:p w14:paraId="44D1A0EB">
            <w:pPr>
              <w:jc w:val="center"/>
              <w:rPr>
                <w:szCs w:val="21"/>
              </w:rPr>
            </w:pPr>
            <w:r>
              <w:rPr>
                <w:rFonts w:hint="eastAsia"/>
                <w:szCs w:val="21"/>
              </w:rPr>
              <w:t>企业技术人员构成情况</w:t>
            </w:r>
          </w:p>
        </w:tc>
        <w:tc>
          <w:tcPr>
            <w:tcW w:w="4514" w:type="dxa"/>
            <w:noWrap w:val="0"/>
            <w:vAlign w:val="center"/>
          </w:tcPr>
          <w:p w14:paraId="03D1870D">
            <w:pPr>
              <w:jc w:val="center"/>
              <w:rPr>
                <w:szCs w:val="21"/>
              </w:rPr>
            </w:pPr>
          </w:p>
        </w:tc>
        <w:tc>
          <w:tcPr>
            <w:tcW w:w="1411" w:type="dxa"/>
            <w:noWrap w:val="0"/>
            <w:vAlign w:val="center"/>
          </w:tcPr>
          <w:p w14:paraId="7E444398">
            <w:pPr>
              <w:jc w:val="center"/>
              <w:rPr>
                <w:szCs w:val="21"/>
              </w:rPr>
            </w:pPr>
          </w:p>
        </w:tc>
      </w:tr>
      <w:tr w14:paraId="16505DE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56B05454">
            <w:pPr>
              <w:jc w:val="center"/>
              <w:rPr>
                <w:szCs w:val="21"/>
              </w:rPr>
            </w:pPr>
            <w:r>
              <w:rPr>
                <w:rFonts w:hint="eastAsia"/>
                <w:szCs w:val="21"/>
              </w:rPr>
              <w:t>2</w:t>
            </w:r>
          </w:p>
        </w:tc>
        <w:tc>
          <w:tcPr>
            <w:tcW w:w="2477" w:type="dxa"/>
            <w:gridSpan w:val="2"/>
            <w:noWrap w:val="0"/>
            <w:vAlign w:val="center"/>
          </w:tcPr>
          <w:p w14:paraId="7900E233">
            <w:pPr>
              <w:jc w:val="center"/>
              <w:rPr>
                <w:szCs w:val="21"/>
              </w:rPr>
            </w:pPr>
            <w:r>
              <w:rPr>
                <w:rFonts w:hint="eastAsia"/>
                <w:szCs w:val="21"/>
              </w:rPr>
              <w:t>企业专业设施、设备情况</w:t>
            </w:r>
          </w:p>
        </w:tc>
        <w:tc>
          <w:tcPr>
            <w:tcW w:w="4514" w:type="dxa"/>
            <w:noWrap w:val="0"/>
            <w:vAlign w:val="center"/>
          </w:tcPr>
          <w:p w14:paraId="64118ACB">
            <w:pPr>
              <w:jc w:val="center"/>
              <w:rPr>
                <w:szCs w:val="21"/>
              </w:rPr>
            </w:pPr>
          </w:p>
        </w:tc>
        <w:tc>
          <w:tcPr>
            <w:tcW w:w="1411" w:type="dxa"/>
            <w:noWrap w:val="0"/>
            <w:vAlign w:val="center"/>
          </w:tcPr>
          <w:p w14:paraId="56E36998">
            <w:pPr>
              <w:jc w:val="center"/>
              <w:rPr>
                <w:szCs w:val="21"/>
              </w:rPr>
            </w:pPr>
          </w:p>
        </w:tc>
      </w:tr>
      <w:tr w14:paraId="334A76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29CD9DDB">
            <w:pPr>
              <w:jc w:val="center"/>
              <w:rPr>
                <w:szCs w:val="21"/>
              </w:rPr>
            </w:pPr>
            <w:r>
              <w:rPr>
                <w:rFonts w:hint="eastAsia"/>
                <w:szCs w:val="21"/>
              </w:rPr>
              <w:t>3</w:t>
            </w:r>
          </w:p>
        </w:tc>
        <w:tc>
          <w:tcPr>
            <w:tcW w:w="2477" w:type="dxa"/>
            <w:gridSpan w:val="2"/>
            <w:noWrap w:val="0"/>
            <w:vAlign w:val="center"/>
          </w:tcPr>
          <w:p w14:paraId="19752333">
            <w:pPr>
              <w:jc w:val="center"/>
              <w:rPr>
                <w:szCs w:val="21"/>
              </w:rPr>
            </w:pPr>
          </w:p>
        </w:tc>
        <w:tc>
          <w:tcPr>
            <w:tcW w:w="4514" w:type="dxa"/>
            <w:noWrap w:val="0"/>
            <w:vAlign w:val="center"/>
          </w:tcPr>
          <w:p w14:paraId="5472A1E5">
            <w:pPr>
              <w:jc w:val="center"/>
              <w:rPr>
                <w:szCs w:val="21"/>
              </w:rPr>
            </w:pPr>
          </w:p>
        </w:tc>
        <w:tc>
          <w:tcPr>
            <w:tcW w:w="1411" w:type="dxa"/>
            <w:noWrap w:val="0"/>
            <w:vAlign w:val="center"/>
          </w:tcPr>
          <w:p w14:paraId="7D7E2C10">
            <w:pPr>
              <w:jc w:val="center"/>
              <w:rPr>
                <w:szCs w:val="21"/>
              </w:rPr>
            </w:pPr>
          </w:p>
        </w:tc>
      </w:tr>
      <w:tr w14:paraId="5734A6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4D7EEFC0">
            <w:pPr>
              <w:jc w:val="center"/>
              <w:rPr>
                <w:b/>
                <w:szCs w:val="21"/>
              </w:rPr>
            </w:pPr>
            <w:r>
              <w:rPr>
                <w:rFonts w:hint="eastAsia"/>
                <w:b/>
                <w:szCs w:val="21"/>
              </w:rPr>
              <w:t>五</w:t>
            </w:r>
          </w:p>
        </w:tc>
        <w:tc>
          <w:tcPr>
            <w:tcW w:w="6991" w:type="dxa"/>
            <w:gridSpan w:val="3"/>
            <w:noWrap w:val="0"/>
            <w:vAlign w:val="center"/>
          </w:tcPr>
          <w:p w14:paraId="7EB69BDF">
            <w:pPr>
              <w:rPr>
                <w:b/>
                <w:szCs w:val="21"/>
              </w:rPr>
            </w:pPr>
            <w:r>
              <w:rPr>
                <w:rFonts w:hint="eastAsia"/>
                <w:b/>
                <w:szCs w:val="21"/>
              </w:rPr>
              <w:t>其他</w:t>
            </w:r>
            <w:r>
              <w:rPr>
                <w:rFonts w:hint="eastAsia"/>
                <w:szCs w:val="21"/>
              </w:rPr>
              <w:t>（投标人认为需补充的其他说明）</w:t>
            </w:r>
          </w:p>
        </w:tc>
        <w:tc>
          <w:tcPr>
            <w:tcW w:w="1411" w:type="dxa"/>
            <w:noWrap w:val="0"/>
            <w:vAlign w:val="center"/>
          </w:tcPr>
          <w:p w14:paraId="42CAC527">
            <w:pPr>
              <w:jc w:val="center"/>
              <w:rPr>
                <w:szCs w:val="21"/>
              </w:rPr>
            </w:pPr>
          </w:p>
        </w:tc>
      </w:tr>
      <w:tr w14:paraId="1031E9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735" w:type="dxa"/>
            <w:noWrap w:val="0"/>
            <w:vAlign w:val="center"/>
          </w:tcPr>
          <w:p w14:paraId="7410A690">
            <w:pPr>
              <w:jc w:val="center"/>
              <w:rPr>
                <w:szCs w:val="21"/>
              </w:rPr>
            </w:pPr>
            <w:r>
              <w:rPr>
                <w:rFonts w:hint="eastAsia"/>
                <w:szCs w:val="21"/>
              </w:rPr>
              <w:t>1</w:t>
            </w:r>
          </w:p>
        </w:tc>
        <w:tc>
          <w:tcPr>
            <w:tcW w:w="2477" w:type="dxa"/>
            <w:gridSpan w:val="2"/>
            <w:noWrap w:val="0"/>
            <w:vAlign w:val="center"/>
          </w:tcPr>
          <w:p w14:paraId="1B69A2BA">
            <w:pPr>
              <w:jc w:val="center"/>
              <w:rPr>
                <w:szCs w:val="21"/>
              </w:rPr>
            </w:pPr>
          </w:p>
        </w:tc>
        <w:tc>
          <w:tcPr>
            <w:tcW w:w="4514" w:type="dxa"/>
            <w:noWrap w:val="0"/>
            <w:vAlign w:val="center"/>
          </w:tcPr>
          <w:p w14:paraId="604B0698">
            <w:pPr>
              <w:jc w:val="center"/>
              <w:rPr>
                <w:szCs w:val="21"/>
              </w:rPr>
            </w:pPr>
          </w:p>
        </w:tc>
        <w:tc>
          <w:tcPr>
            <w:tcW w:w="1411" w:type="dxa"/>
            <w:noWrap w:val="0"/>
            <w:vAlign w:val="center"/>
          </w:tcPr>
          <w:p w14:paraId="623E9277">
            <w:pPr>
              <w:jc w:val="center"/>
              <w:rPr>
                <w:szCs w:val="21"/>
              </w:rPr>
            </w:pPr>
          </w:p>
        </w:tc>
      </w:tr>
    </w:tbl>
    <w:p w14:paraId="58108B0B">
      <w:pPr>
        <w:keepNext w:val="0"/>
        <w:keepLines w:val="0"/>
        <w:pageBreakBefore w:val="0"/>
        <w:widowControl w:val="0"/>
        <w:kinsoku/>
        <w:wordWrap/>
        <w:overflowPunct/>
        <w:topLinePunct w:val="0"/>
        <w:autoSpaceDE/>
        <w:autoSpaceDN/>
        <w:bidi w:val="0"/>
        <w:adjustRightInd/>
        <w:snapToGrid/>
        <w:spacing w:line="500" w:lineRule="exact"/>
        <w:ind w:left="0" w:hanging="720" w:hangingChars="300"/>
        <w:textAlignment w:val="auto"/>
        <w:rPr>
          <w:rFonts w:hint="eastAsia" w:ascii="方正仿宋_GBK" w:hAnsi="方正仿宋_GBK" w:eastAsia="方正仿宋_GBK" w:cs="方正仿宋_GBK"/>
          <w:b/>
          <w:bCs/>
          <w:color w:val="auto"/>
          <w:kern w:val="2"/>
          <w:sz w:val="24"/>
          <w:szCs w:val="24"/>
          <w:highlight w:val="none"/>
          <w:vertAlign w:val="baseline"/>
          <w:lang w:val="en-US" w:eastAsia="zh-CN" w:bidi="ar-SA"/>
        </w:rPr>
      </w:pPr>
      <w:r>
        <w:rPr>
          <w:rFonts w:hint="eastAsia" w:ascii="方正仿宋_GBK" w:hAnsi="方正仿宋_GBK" w:eastAsia="方正仿宋_GBK" w:cs="方正仿宋_GBK"/>
          <w:b/>
          <w:bCs/>
          <w:color w:val="auto"/>
          <w:kern w:val="2"/>
          <w:sz w:val="24"/>
          <w:szCs w:val="24"/>
          <w:highlight w:val="none"/>
          <w:vertAlign w:val="baseline"/>
          <w:lang w:val="en-US" w:eastAsia="zh-CN" w:bidi="ar-SA"/>
        </w:rPr>
        <w:t>注：1、在按要求填写好此表格后，各投标单位可以用其它的方式，就公司整体情况作出详细的介绍。</w:t>
      </w:r>
    </w:p>
    <w:p w14:paraId="7BDEFACC">
      <w:pPr>
        <w:keepNext w:val="0"/>
        <w:keepLines w:val="0"/>
        <w:pageBreakBefore w:val="0"/>
        <w:widowControl w:val="0"/>
        <w:kinsoku/>
        <w:wordWrap/>
        <w:overflowPunct/>
        <w:topLinePunct w:val="0"/>
        <w:autoSpaceDE/>
        <w:autoSpaceDN/>
        <w:bidi w:val="0"/>
        <w:adjustRightInd/>
        <w:snapToGrid/>
        <w:spacing w:line="500" w:lineRule="exact"/>
        <w:ind w:left="721" w:leftChars="229" w:hanging="240" w:hangingChars="100"/>
        <w:textAlignment w:val="auto"/>
        <w:rPr>
          <w:rFonts w:hint="eastAsia" w:ascii="方正仿宋_GBK" w:hAnsi="方正仿宋_GBK" w:eastAsia="方正仿宋_GBK" w:cs="方正仿宋_GBK"/>
          <w:b/>
          <w:bCs/>
          <w:color w:val="auto"/>
          <w:kern w:val="2"/>
          <w:sz w:val="24"/>
          <w:szCs w:val="24"/>
          <w:highlight w:val="none"/>
          <w:vertAlign w:val="baseline"/>
          <w:lang w:val="en-US" w:eastAsia="zh-CN" w:bidi="ar-SA"/>
        </w:rPr>
      </w:pPr>
      <w:r>
        <w:rPr>
          <w:rFonts w:hint="eastAsia" w:ascii="方正仿宋_GBK" w:hAnsi="方正仿宋_GBK" w:eastAsia="方正仿宋_GBK" w:cs="方正仿宋_GBK"/>
          <w:b/>
          <w:bCs/>
          <w:color w:val="auto"/>
          <w:kern w:val="2"/>
          <w:sz w:val="24"/>
          <w:szCs w:val="24"/>
          <w:highlight w:val="none"/>
          <w:vertAlign w:val="baseline"/>
          <w:lang w:val="en-US" w:eastAsia="zh-CN" w:bidi="ar-SA"/>
        </w:rPr>
        <w:t>2、需提供扫描件的有关资质和获奖等情况请附在表格后面，</w:t>
      </w:r>
      <w:r>
        <w:rPr>
          <w:rFonts w:hint="eastAsia"/>
          <w:b/>
          <w:bCs/>
        </w:rPr>
        <w:t>原件备查</w:t>
      </w:r>
      <w:r>
        <w:rPr>
          <w:rFonts w:hint="eastAsia" w:ascii="方正仿宋_GBK" w:hAnsi="方正仿宋_GBK" w:eastAsia="方正仿宋_GBK" w:cs="方正仿宋_GBK"/>
          <w:b/>
          <w:bCs/>
          <w:color w:val="auto"/>
          <w:kern w:val="2"/>
          <w:sz w:val="24"/>
          <w:szCs w:val="24"/>
          <w:highlight w:val="none"/>
          <w:vertAlign w:val="baseline"/>
          <w:lang w:val="en-US" w:eastAsia="zh-CN" w:bidi="ar-SA"/>
        </w:rPr>
        <w:t>。</w:t>
      </w:r>
    </w:p>
    <w:p w14:paraId="701CB6D6">
      <w:pPr>
        <w:ind w:left="632" w:hanging="632" w:hangingChars="300"/>
        <w:rPr>
          <w:rFonts w:hint="eastAsia"/>
          <w:b/>
          <w:bCs/>
        </w:rPr>
      </w:pPr>
    </w:p>
    <w:p w14:paraId="083EB010">
      <w:pPr>
        <w:ind w:left="632" w:hanging="632" w:hangingChars="300"/>
        <w:rPr>
          <w:rFonts w:hint="eastAsia"/>
          <w:b/>
          <w:bCs/>
        </w:rPr>
      </w:pPr>
    </w:p>
    <w:p w14:paraId="73DE4C6F">
      <w:pPr>
        <w:keepNext w:val="0"/>
        <w:keepLines w:val="0"/>
        <w:pageBreakBefore w:val="0"/>
        <w:widowControl w:val="0"/>
        <w:kinsoku/>
        <w:wordWrap/>
        <w:overflowPunct/>
        <w:topLinePunct w:val="0"/>
        <w:autoSpaceDE/>
        <w:autoSpaceDN/>
        <w:bidi w:val="0"/>
        <w:adjustRightInd/>
        <w:snapToGrid/>
        <w:spacing w:after="157" w:afterLines="50" w:line="500" w:lineRule="exact"/>
        <w:jc w:val="both"/>
        <w:textAlignment w:val="auto"/>
        <w:outlineLvl w:val="3"/>
        <w:rPr>
          <w:rFonts w:hint="eastAsia" w:ascii="黑体" w:hAnsi="宋体" w:eastAsia="黑体" w:cs="Times New Roman"/>
          <w:b w:val="0"/>
          <w:bCs w:val="0"/>
          <w:kern w:val="0"/>
          <w:sz w:val="24"/>
          <w:szCs w:val="32"/>
          <w:lang w:val="en-US" w:eastAsia="zh-CN" w:bidi="ar-SA"/>
        </w:rPr>
      </w:pPr>
      <w:r>
        <w:rPr>
          <w:rFonts w:hint="eastAsia" w:ascii="黑体" w:hAnsi="宋体" w:eastAsia="黑体" w:cs="Times New Roman"/>
          <w:b w:val="0"/>
          <w:bCs w:val="0"/>
          <w:kern w:val="0"/>
          <w:sz w:val="24"/>
          <w:szCs w:val="32"/>
          <w:lang w:val="en-US" w:eastAsia="zh-CN" w:bidi="ar-SA"/>
        </w:rPr>
        <w:t>中小企业声明函、残疾人福利性单位声明函及监狱企业声明函（可选项，不选可删除）</w:t>
      </w:r>
    </w:p>
    <w:p w14:paraId="14D14A8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填写指引：</w:t>
      </w:r>
    </w:p>
    <w:p w14:paraId="0201933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1、该部分内容由投标人根据自身实际情况填写，不符合要求的投标人可以不填写或直接删除相应的声明函。投标人提供的声明函不属实的，属于提供虚假资料谋取中标，依照《中华人民共和国政府采购法》等国家有关规定追究相应责任。</w:t>
      </w:r>
    </w:p>
    <w:p w14:paraId="77E48BF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2、该部分内容填写需要参考的相关文件：(</w:t>
      </w:r>
      <w:r>
        <w:rPr>
          <w:rFonts w:hint="default" w:ascii="仿宋_GB2312" w:hAnsi="仿宋_GB2312" w:eastAsia="仿宋_GB2312" w:cs="仿宋_GB2312"/>
          <w:color w:val="FF0000"/>
          <w:sz w:val="28"/>
          <w:szCs w:val="28"/>
          <w:lang w:val="en-US" w:eastAsia="zh-CN"/>
        </w:rPr>
        <w:t>1</w:t>
      </w:r>
      <w:r>
        <w:rPr>
          <w:rFonts w:hint="eastAsia" w:ascii="仿宋_GB2312" w:hAnsi="仿宋_GB2312" w:eastAsia="仿宋_GB2312" w:cs="仿宋_GB2312"/>
          <w:color w:val="FF0000"/>
          <w:sz w:val="28"/>
          <w:szCs w:val="28"/>
          <w:lang w:val="en-US" w:eastAsia="zh-CN"/>
        </w:rPr>
        <w:t>)财政部《政府采购促进中小企业发展管理办法》（财库〔2020〕46号）；(</w:t>
      </w:r>
      <w:r>
        <w:rPr>
          <w:rFonts w:hint="default" w:ascii="仿宋_GB2312" w:hAnsi="仿宋_GB2312" w:eastAsia="仿宋_GB2312" w:cs="仿宋_GB2312"/>
          <w:color w:val="FF0000"/>
          <w:sz w:val="28"/>
          <w:szCs w:val="28"/>
          <w:lang w:val="en-US" w:eastAsia="zh-CN"/>
        </w:rPr>
        <w:t>2</w:t>
      </w:r>
      <w:r>
        <w:rPr>
          <w:rFonts w:hint="eastAsia" w:ascii="仿宋_GB2312" w:hAnsi="仿宋_GB2312" w:eastAsia="仿宋_GB2312" w:cs="仿宋_GB2312"/>
          <w:color w:val="FF0000"/>
          <w:sz w:val="28"/>
          <w:szCs w:val="28"/>
          <w:lang w:val="en-US" w:eastAsia="zh-CN"/>
        </w:rPr>
        <w:t>)</w:t>
      </w:r>
      <w:bookmarkStart w:id="62" w:name="_Hlk71925120"/>
      <w:r>
        <w:rPr>
          <w:rFonts w:hint="eastAsia" w:ascii="仿宋_GB2312" w:hAnsi="仿宋_GB2312" w:eastAsia="仿宋_GB2312" w:cs="仿宋_GB2312"/>
          <w:color w:val="FF0000"/>
          <w:sz w:val="28"/>
          <w:szCs w:val="28"/>
          <w:lang w:val="en-US" w:eastAsia="zh-CN"/>
        </w:rPr>
        <w:t>《工业和信息化部、国家统计局、国家发展和改革委员会、财政部关于印发中小企业划型标准规定的通知》（工信部联企业〔2011〕300 号</w:t>
      </w:r>
      <w:bookmarkEnd w:id="62"/>
      <w:r>
        <w:rPr>
          <w:rFonts w:hint="eastAsia" w:ascii="仿宋_GB2312" w:hAnsi="仿宋_GB2312" w:eastAsia="仿宋_GB2312" w:cs="仿宋_GB2312"/>
          <w:color w:val="FF0000"/>
          <w:sz w:val="28"/>
          <w:szCs w:val="28"/>
          <w:lang w:val="en-US" w:eastAsia="zh-CN"/>
        </w:rPr>
        <w:t>，以下简称3</w:t>
      </w:r>
      <w:r>
        <w:rPr>
          <w:rFonts w:hint="default" w:ascii="仿宋_GB2312" w:hAnsi="仿宋_GB2312" w:eastAsia="仿宋_GB2312" w:cs="仿宋_GB2312"/>
          <w:color w:val="FF0000"/>
          <w:sz w:val="28"/>
          <w:szCs w:val="28"/>
          <w:lang w:val="en-US" w:eastAsia="zh-CN"/>
        </w:rPr>
        <w:t>00</w:t>
      </w:r>
      <w:r>
        <w:rPr>
          <w:rFonts w:hint="eastAsia" w:ascii="仿宋_GB2312" w:hAnsi="仿宋_GB2312" w:eastAsia="仿宋_GB2312" w:cs="仿宋_GB2312"/>
          <w:color w:val="FF0000"/>
          <w:sz w:val="28"/>
          <w:szCs w:val="28"/>
          <w:lang w:val="en-US" w:eastAsia="zh-CN"/>
        </w:rPr>
        <w:t>号文）。</w:t>
      </w:r>
    </w:p>
    <w:p w14:paraId="3EA5931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3、请依照提供的格式和内容填写声明函，不要随意变更格式；声明函不需要盖章或签字；满足多项优惠政策的投标人，不重复享受多项价格扣除政策。</w:t>
      </w:r>
    </w:p>
    <w:p w14:paraId="4AB440C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4、声明函具体填写要求：</w:t>
      </w:r>
    </w:p>
    <w:p w14:paraId="171EB2C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（1）声明是中小企业须填写《中小企业声明函》的以下内容：</w:t>
      </w:r>
    </w:p>
    <w:p w14:paraId="7A09A6D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第一处，在“单位名称”下划线处如实填写采购人名称；</w:t>
      </w:r>
    </w:p>
    <w:p w14:paraId="11D9E03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第二处，在“项目名称”下划线处如实填写采购项目名称；</w:t>
      </w:r>
    </w:p>
    <w:p w14:paraId="417FFE8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第三处，在“标的名称”下划线处填写采购文件中相对应的名称；</w:t>
      </w:r>
    </w:p>
    <w:p w14:paraId="58A3B33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第四处，在“采购文件中明确的所属行业”下划线处填写采购标的对应的中小企业划分标准所属行业（所属行业可在采购文件“其他关键信息”中查看）；</w:t>
      </w:r>
    </w:p>
    <w:p w14:paraId="37CE1E4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第五处，在“企业名称”下划线处如实填写承接</w:t>
      </w:r>
      <w:r>
        <w:rPr>
          <w:rFonts w:hint="default" w:ascii="仿宋_GB2312" w:hAnsi="仿宋_GB2312" w:eastAsia="仿宋_GB2312" w:cs="仿宋_GB2312"/>
          <w:color w:val="FF0000"/>
          <w:sz w:val="28"/>
          <w:szCs w:val="28"/>
          <w:lang w:val="en-US" w:eastAsia="zh-CN"/>
        </w:rPr>
        <w:t>企业</w:t>
      </w:r>
      <w:r>
        <w:rPr>
          <w:rFonts w:hint="eastAsia" w:ascii="仿宋_GB2312" w:hAnsi="仿宋_GB2312" w:eastAsia="仿宋_GB2312" w:cs="仿宋_GB2312"/>
          <w:color w:val="FF0000"/>
          <w:sz w:val="28"/>
          <w:szCs w:val="28"/>
          <w:lang w:val="en-US" w:eastAsia="zh-CN"/>
        </w:rPr>
        <w:t>名称；在“从业人员”、“营业收入”、“资产总额”下划线处如实填写从业人员、营业收入、资产总额；在“中型企业、小型企业、微型企业”下划线处如实依照300号文填写相应的企业类型；从业人员、营业收入、资产总额填报上一年度数据，无上一年度数据的新成立企业可以不填报。</w:t>
      </w:r>
    </w:p>
    <w:p w14:paraId="70EDE66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（2）声明是残疾人福利性单位须填写《残疾人福利性单位声明函》的相关内容，具体参照以上《中小企业声明函》填写要求执行。</w:t>
      </w:r>
    </w:p>
    <w:p w14:paraId="750D08D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（3）声明是监狱企业须填写《监狱企业声明函》的三项内容（填写位置的字体已加粗），具体参照以上《中小企业声明函》填写要求执行。</w:t>
      </w:r>
    </w:p>
    <w:p w14:paraId="2874F48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pPr>
      <w:r>
        <w:rPr>
          <w:rFonts w:hint="eastAsia" w:ascii="仿宋_GB2312" w:hAnsi="仿宋_GB2312" w:eastAsia="仿宋_GB2312" w:cs="仿宋_GB2312"/>
          <w:color w:val="FF0000"/>
          <w:sz w:val="28"/>
          <w:szCs w:val="28"/>
          <w:lang w:val="en-US" w:eastAsia="zh-CN"/>
        </w:rPr>
        <w:t>5、声明函的有效性最终由采购评审小组判定；如采购评审小组判定声明函无效，相关供应商不享受价格扣除（但不作投标无效处理）。</w:t>
      </w:r>
    </w:p>
    <w:p w14:paraId="256D1887">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ind w:firstLine="562" w:firstLineChars="200"/>
        <w:jc w:val="center"/>
        <w:textAlignment w:val="auto"/>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（1）中小企业声明函</w:t>
      </w:r>
    </w:p>
    <w:p w14:paraId="38B4F4B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本投标人郑重声明，根据《政府采购促进中小企业发展管理办法》（财库﹝2020﹞46号）的规定，本投标人参加深圳市盐田区中英街管理局的（项目名称）采购活动，工程的施工单位全部为符合政策要求的中小企业承建。相关企业的具体情况如下：</w:t>
      </w:r>
    </w:p>
    <w:p w14:paraId="2376F45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1.</w:t>
      </w:r>
      <w:r>
        <w:rPr>
          <w:rFonts w:hint="eastAsia" w:ascii="仿宋_GB2312" w:hAnsi="仿宋_GB2312" w:eastAsia="仿宋_GB2312" w:cs="仿宋_GB2312"/>
          <w:b/>
          <w:bCs/>
          <w:color w:val="FF0000"/>
          <w:sz w:val="28"/>
          <w:szCs w:val="28"/>
          <w:u w:val="single"/>
          <w:lang w:val="en-US" w:eastAsia="zh-CN"/>
        </w:rPr>
        <w:t xml:space="preserve"> （标的名称） </w:t>
      </w:r>
      <w:r>
        <w:rPr>
          <w:rFonts w:hint="eastAsia" w:ascii="仿宋_GB2312" w:hAnsi="仿宋_GB2312" w:eastAsia="仿宋_GB2312" w:cs="仿宋_GB2312"/>
          <w:color w:val="FF0000"/>
          <w:sz w:val="28"/>
          <w:szCs w:val="28"/>
          <w:lang w:val="en-US" w:eastAsia="zh-CN"/>
        </w:rPr>
        <w:t>，属于</w:t>
      </w:r>
      <w:r>
        <w:rPr>
          <w:rFonts w:hint="eastAsia" w:ascii="仿宋_GB2312" w:hAnsi="仿宋_GB2312" w:eastAsia="仿宋_GB2312" w:cs="仿宋_GB2312"/>
          <w:b/>
          <w:bCs/>
          <w:color w:val="FF0000"/>
          <w:sz w:val="28"/>
          <w:szCs w:val="28"/>
          <w:u w:val="single"/>
          <w:lang w:val="en-US" w:eastAsia="zh-CN"/>
        </w:rPr>
        <w:t xml:space="preserve">（采购文件中明确的所属行业） </w:t>
      </w:r>
      <w:r>
        <w:rPr>
          <w:rFonts w:hint="eastAsia" w:ascii="仿宋_GB2312" w:hAnsi="仿宋_GB2312" w:eastAsia="仿宋_GB2312" w:cs="仿宋_GB2312"/>
          <w:color w:val="FF0000"/>
          <w:sz w:val="28"/>
          <w:szCs w:val="28"/>
          <w:lang w:val="en-US" w:eastAsia="zh-CN"/>
        </w:rPr>
        <w:t>行业；承接企业为</w:t>
      </w:r>
      <w:r>
        <w:rPr>
          <w:rFonts w:hint="eastAsia" w:ascii="仿宋_GB2312" w:hAnsi="仿宋_GB2312" w:eastAsia="仿宋_GB2312" w:cs="仿宋_GB2312"/>
          <w:b/>
          <w:bCs/>
          <w:color w:val="FF0000"/>
          <w:sz w:val="28"/>
          <w:szCs w:val="28"/>
          <w:u w:val="single"/>
          <w:lang w:val="en-US" w:eastAsia="zh-CN"/>
        </w:rPr>
        <w:t>（企业名称）</w:t>
      </w:r>
      <w:r>
        <w:rPr>
          <w:rFonts w:hint="eastAsia" w:ascii="仿宋_GB2312" w:hAnsi="仿宋_GB2312" w:eastAsia="仿宋_GB2312" w:cs="仿宋_GB2312"/>
          <w:color w:val="FF0000"/>
          <w:sz w:val="28"/>
          <w:szCs w:val="28"/>
          <w:lang w:val="en-US" w:eastAsia="zh-CN"/>
        </w:rPr>
        <w:t>，从业人员人，营业收入为万元，资产总额为万元 ，属于</w:t>
      </w:r>
      <w:r>
        <w:rPr>
          <w:rFonts w:hint="eastAsia" w:ascii="仿宋_GB2312" w:hAnsi="仿宋_GB2312" w:eastAsia="仿宋_GB2312" w:cs="仿宋_GB2312"/>
          <w:b/>
          <w:bCs/>
          <w:color w:val="FF0000"/>
          <w:sz w:val="28"/>
          <w:szCs w:val="28"/>
          <w:u w:val="single"/>
          <w:lang w:val="en-US" w:eastAsia="zh-CN"/>
        </w:rPr>
        <w:t>（中型企业、小型企业、微型企业）</w:t>
      </w:r>
      <w:r>
        <w:rPr>
          <w:rFonts w:hint="eastAsia" w:ascii="仿宋_GB2312" w:hAnsi="仿宋_GB2312" w:eastAsia="仿宋_GB2312" w:cs="仿宋_GB2312"/>
          <w:color w:val="FF0000"/>
          <w:sz w:val="28"/>
          <w:szCs w:val="28"/>
          <w:lang w:val="en-US" w:eastAsia="zh-CN"/>
        </w:rPr>
        <w:t>；</w:t>
      </w:r>
    </w:p>
    <w:p w14:paraId="106F384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2.</w:t>
      </w:r>
      <w:r>
        <w:rPr>
          <w:rFonts w:hint="eastAsia" w:ascii="仿宋_GB2312" w:hAnsi="仿宋_GB2312" w:eastAsia="仿宋_GB2312" w:cs="仿宋_GB2312"/>
          <w:b/>
          <w:bCs/>
          <w:color w:val="FF0000"/>
          <w:sz w:val="28"/>
          <w:szCs w:val="28"/>
          <w:u w:val="single"/>
          <w:lang w:val="en-US" w:eastAsia="zh-CN"/>
        </w:rPr>
        <w:t xml:space="preserve"> （标的名称） </w:t>
      </w:r>
      <w:r>
        <w:rPr>
          <w:rFonts w:hint="eastAsia" w:ascii="仿宋_GB2312" w:hAnsi="仿宋_GB2312" w:eastAsia="仿宋_GB2312" w:cs="仿宋_GB2312"/>
          <w:color w:val="FF0000"/>
          <w:sz w:val="28"/>
          <w:szCs w:val="28"/>
          <w:lang w:val="en-US" w:eastAsia="zh-CN"/>
        </w:rPr>
        <w:t>，属于</w:t>
      </w:r>
      <w:r>
        <w:rPr>
          <w:rFonts w:hint="eastAsia" w:ascii="仿宋_GB2312" w:hAnsi="仿宋_GB2312" w:eastAsia="仿宋_GB2312" w:cs="仿宋_GB2312"/>
          <w:b/>
          <w:bCs/>
          <w:color w:val="FF0000"/>
          <w:sz w:val="28"/>
          <w:szCs w:val="28"/>
          <w:u w:val="single"/>
          <w:lang w:val="en-US" w:eastAsia="zh-CN"/>
        </w:rPr>
        <w:t xml:space="preserve">（采购文件中明确的所属行业） </w:t>
      </w:r>
      <w:r>
        <w:rPr>
          <w:rFonts w:hint="eastAsia" w:ascii="仿宋_GB2312" w:hAnsi="仿宋_GB2312" w:eastAsia="仿宋_GB2312" w:cs="仿宋_GB2312"/>
          <w:color w:val="FF0000"/>
          <w:sz w:val="28"/>
          <w:szCs w:val="28"/>
          <w:lang w:val="en-US" w:eastAsia="zh-CN"/>
        </w:rPr>
        <w:t>行业；承接企业为</w:t>
      </w:r>
      <w:r>
        <w:rPr>
          <w:rFonts w:hint="eastAsia" w:ascii="仿宋_GB2312" w:hAnsi="仿宋_GB2312" w:eastAsia="仿宋_GB2312" w:cs="仿宋_GB2312"/>
          <w:b/>
          <w:bCs/>
          <w:color w:val="FF0000"/>
          <w:sz w:val="28"/>
          <w:szCs w:val="28"/>
          <w:u w:val="single"/>
          <w:lang w:val="en-US" w:eastAsia="zh-CN"/>
        </w:rPr>
        <w:t>（企业名称）</w:t>
      </w:r>
      <w:r>
        <w:rPr>
          <w:rFonts w:hint="eastAsia" w:ascii="仿宋_GB2312" w:hAnsi="仿宋_GB2312" w:eastAsia="仿宋_GB2312" w:cs="仿宋_GB2312"/>
          <w:color w:val="FF0000"/>
          <w:sz w:val="28"/>
          <w:szCs w:val="28"/>
          <w:lang w:val="en-US" w:eastAsia="zh-CN"/>
        </w:rPr>
        <w:t>，从业人员人，营业收入为万元，资产总额为万元 ，属于</w:t>
      </w:r>
      <w:r>
        <w:rPr>
          <w:rFonts w:hint="eastAsia" w:ascii="仿宋_GB2312" w:hAnsi="仿宋_GB2312" w:eastAsia="仿宋_GB2312" w:cs="仿宋_GB2312"/>
          <w:b/>
          <w:bCs/>
          <w:color w:val="FF0000"/>
          <w:sz w:val="28"/>
          <w:szCs w:val="28"/>
          <w:u w:val="single"/>
          <w:lang w:val="en-US" w:eastAsia="zh-CN"/>
        </w:rPr>
        <w:t>（中型企业、小型企业、微型企业）</w:t>
      </w:r>
      <w:r>
        <w:rPr>
          <w:rFonts w:hint="eastAsia" w:ascii="仿宋_GB2312" w:hAnsi="仿宋_GB2312" w:eastAsia="仿宋_GB2312" w:cs="仿宋_GB2312"/>
          <w:color w:val="FF0000"/>
          <w:sz w:val="28"/>
          <w:szCs w:val="28"/>
          <w:lang w:val="en-US" w:eastAsia="zh-CN"/>
        </w:rPr>
        <w:t>；</w:t>
      </w:r>
    </w:p>
    <w:p w14:paraId="2EE1C77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w:t>
      </w:r>
    </w:p>
    <w:p w14:paraId="10B9AD9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以上企业，不属于大企业的分支机构，不存在控股股东为大企业的情形，也不存在与大企业的负责人为同一人的情形。</w:t>
      </w:r>
    </w:p>
    <w:p w14:paraId="43A03C9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bookmarkStart w:id="63" w:name="_Hlk73562203"/>
      <w:r>
        <w:rPr>
          <w:rFonts w:hint="eastAsia" w:ascii="仿宋_GB2312" w:hAnsi="仿宋_GB2312" w:eastAsia="仿宋_GB2312" w:cs="仿宋_GB2312"/>
          <w:color w:val="FF0000"/>
          <w:sz w:val="28"/>
          <w:szCs w:val="28"/>
          <w:lang w:val="en-US" w:eastAsia="zh-CN"/>
        </w:rPr>
        <w:t>本投标人已知悉《政府采购促进中小企业发展管理办法》（财库〔2020〕 46号）、《中小企业划型标准规定》（工信部联企〔2011〕300号）、《统计上大中小微型企业划分办法（2017）》等规定，承诺提供的声明函内容是真实的，并知悉根据《政府采购促进中小企业发展管理办法》（财库〔2020〕46号）第二十条规定，投标人按照本办法规定提供声明函内容不实的，属于提供虚假材料谋取中标，依照《政府采购法》等政府采购有关法律法规规定追究相应责任。</w:t>
      </w:r>
      <w:bookmarkEnd w:id="63"/>
    </w:p>
    <w:p w14:paraId="1CFA91BA">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color w:val="FF0000"/>
          <w:sz w:val="24"/>
        </w:rPr>
      </w:pPr>
    </w:p>
    <w:p w14:paraId="25EC9F54">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ind w:firstLine="562" w:firstLineChars="200"/>
        <w:jc w:val="center"/>
        <w:textAlignment w:val="auto"/>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（2）残疾人福利性单位声明函</w:t>
      </w:r>
    </w:p>
    <w:p w14:paraId="022E8EA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本投标人郑重声明，根据《财政部民政部中国残疾人联合会关于促进残疾人就业政府采购政策的通知》（财库〔2017〕141号）的规定，本投标人参加深圳市盐田区中英街管理局的</w:t>
      </w:r>
      <w:r>
        <w:rPr>
          <w:rFonts w:hint="eastAsia" w:ascii="仿宋_GB2312" w:hAnsi="仿宋_GB2312" w:eastAsia="仿宋_GB2312" w:cs="仿宋_GB2312"/>
          <w:b/>
          <w:bCs/>
          <w:color w:val="FF0000"/>
          <w:sz w:val="28"/>
          <w:szCs w:val="28"/>
          <w:u w:val="single"/>
          <w:lang w:val="en-US" w:eastAsia="zh-CN"/>
        </w:rPr>
        <w:t>（项目名称）</w:t>
      </w:r>
      <w:r>
        <w:rPr>
          <w:rFonts w:hint="eastAsia" w:ascii="仿宋_GB2312" w:hAnsi="仿宋_GB2312" w:eastAsia="仿宋_GB2312" w:cs="仿宋_GB2312"/>
          <w:color w:val="FF0000"/>
          <w:sz w:val="28"/>
          <w:szCs w:val="28"/>
          <w:lang w:val="en-US" w:eastAsia="zh-CN"/>
        </w:rPr>
        <w:t>采购活动，并由本单位承担工程。</w:t>
      </w:r>
    </w:p>
    <w:p w14:paraId="0441C31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bookmarkStart w:id="64" w:name="_Hlk73562331"/>
      <w:bookmarkStart w:id="65" w:name="_Hlk73562245"/>
      <w:r>
        <w:rPr>
          <w:rFonts w:hint="eastAsia" w:ascii="仿宋_GB2312" w:hAnsi="仿宋_GB2312" w:eastAsia="仿宋_GB2312" w:cs="仿宋_GB2312"/>
          <w:color w:val="FF0000"/>
          <w:sz w:val="28"/>
          <w:szCs w:val="28"/>
          <w:lang w:val="en-US" w:eastAsia="zh-CN"/>
        </w:rPr>
        <w:t>本投标人已知悉《财政部民政部中国残疾人联合会关于促进残疾人就业政府采购政策的通知》（财库〔2017〕141 号）的规定，承诺提供的声明函内容是真实的，如提供声明函内容不实，则依法追究相关法律责任。</w:t>
      </w:r>
      <w:bookmarkEnd w:id="64"/>
    </w:p>
    <w:bookmarkEnd w:id="65"/>
    <w:p w14:paraId="0EAF5E16">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ascii="宋体" w:hAnsi="宋体"/>
          <w:color w:val="FF0000"/>
          <w:szCs w:val="21"/>
        </w:rPr>
      </w:pPr>
    </w:p>
    <w:p w14:paraId="09668161">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ind w:firstLine="562" w:firstLineChars="200"/>
        <w:jc w:val="center"/>
        <w:textAlignment w:val="auto"/>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（3）狱企业声明函【提供监狱企业货物的供应商如需享受优惠政策，还须另行提供省级以上监狱管理局、戒毒管理局（含新疆生产建设兵团）出具的监狱企业证明文件】</w:t>
      </w:r>
    </w:p>
    <w:p w14:paraId="5A05FA2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本投标人郑重声明，根据《财政部司法部关于政府采购支持监狱企业发展有关问题的通知》（财库〔2014〕68号）的规定，本投标人参加深圳市盐田区中英街管理局的</w:t>
      </w:r>
      <w:r>
        <w:rPr>
          <w:rFonts w:hint="eastAsia" w:ascii="仿宋_GB2312" w:hAnsi="仿宋_GB2312" w:eastAsia="仿宋_GB2312" w:cs="仿宋_GB2312"/>
          <w:b/>
          <w:bCs/>
          <w:color w:val="FF0000"/>
          <w:sz w:val="28"/>
          <w:szCs w:val="28"/>
          <w:u w:val="single"/>
          <w:lang w:val="en-US" w:eastAsia="zh-CN"/>
        </w:rPr>
        <w:t>（项目名称）</w:t>
      </w:r>
      <w:r>
        <w:rPr>
          <w:rFonts w:hint="eastAsia" w:ascii="仿宋_GB2312" w:hAnsi="仿宋_GB2312" w:eastAsia="仿宋_GB2312" w:cs="仿宋_GB2312"/>
          <w:color w:val="FF0000"/>
          <w:sz w:val="28"/>
          <w:szCs w:val="28"/>
          <w:lang w:val="en-US" w:eastAsia="zh-CN"/>
        </w:rPr>
        <w:t>采购活动，并由本单位承担工程。</w:t>
      </w:r>
    </w:p>
    <w:p w14:paraId="3DC7468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本投标人对上述声明内容的真实性负责。如有虚假，将依法承担相应责任。</w:t>
      </w:r>
    </w:p>
    <w:p w14:paraId="5471CA2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附：省级以上监狱管理局、戒毒管理局（含新疆生产建设兵团）出具的监狱企业证明文件。</w:t>
      </w:r>
    </w:p>
    <w:p w14:paraId="454CC9EB">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bCs/>
        </w:rPr>
      </w:pPr>
    </w:p>
    <w:p w14:paraId="206395C1">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color w:val="auto"/>
          <w:sz w:val="32"/>
          <w:szCs w:val="32"/>
        </w:rPr>
      </w:pPr>
      <w:r>
        <w:rPr>
          <w:rFonts w:hint="eastAsia"/>
          <w:b/>
          <w:color w:val="auto"/>
          <w:sz w:val="32"/>
          <w:szCs w:val="32"/>
        </w:rPr>
        <w:t>其它内容格式自定：</w:t>
      </w:r>
    </w:p>
    <w:p w14:paraId="282FCE93">
      <w:pPr>
        <w:ind w:left="632" w:hanging="632" w:hangingChars="300"/>
        <w:rPr>
          <w:rFonts w:hint="eastAsia"/>
          <w:b/>
          <w:bCs/>
        </w:rPr>
      </w:pPr>
    </w:p>
    <w:p w14:paraId="63AA8EFD">
      <w:pPr>
        <w:pStyle w:val="4"/>
        <w:jc w:val="center"/>
        <w:rPr>
          <w:rFonts w:hint="eastAsia" w:ascii="黑体" w:hAnsi="宋体" w:eastAsia="黑体" w:cs="Times New Roman"/>
          <w:b w:val="0"/>
          <w:bCs w:val="0"/>
          <w:kern w:val="0"/>
          <w:sz w:val="24"/>
          <w:szCs w:val="32"/>
          <w:lang w:val="en-US" w:eastAsia="zh-CN" w:bidi="ar-SA"/>
        </w:rPr>
      </w:pPr>
      <w:bookmarkStart w:id="66" w:name="_Toc22125"/>
      <w:r>
        <w:rPr>
          <w:rFonts w:hint="eastAsia" w:ascii="黑体" w:hAnsi="宋体" w:eastAsia="黑体" w:cs="Times New Roman"/>
          <w:b w:val="0"/>
          <w:bCs w:val="0"/>
          <w:kern w:val="0"/>
          <w:sz w:val="24"/>
          <w:szCs w:val="32"/>
          <w:lang w:val="en-US" w:eastAsia="zh-CN" w:bidi="ar-SA"/>
        </w:rPr>
        <w:t>七、投标人通过相关认证情况</w:t>
      </w:r>
      <w:bookmarkEnd w:id="66"/>
    </w:p>
    <w:p w14:paraId="2DC5FF90">
      <w:pPr>
        <w:pStyle w:val="4"/>
        <w:jc w:val="center"/>
        <w:rPr>
          <w:rFonts w:hint="eastAsia" w:ascii="黑体" w:hAnsi="宋体" w:eastAsia="黑体" w:cs="Times New Roman"/>
          <w:b w:val="0"/>
          <w:bCs w:val="0"/>
          <w:kern w:val="0"/>
          <w:sz w:val="24"/>
          <w:szCs w:val="32"/>
          <w:lang w:val="en-US" w:eastAsia="zh-CN" w:bidi="ar-SA"/>
        </w:rPr>
      </w:pPr>
      <w:bookmarkStart w:id="67" w:name="_Toc23707"/>
      <w:r>
        <w:rPr>
          <w:rFonts w:hint="eastAsia" w:ascii="黑体" w:hAnsi="宋体" w:eastAsia="黑体" w:cs="Times New Roman"/>
          <w:b w:val="0"/>
          <w:bCs w:val="0"/>
          <w:kern w:val="0"/>
          <w:sz w:val="24"/>
          <w:szCs w:val="32"/>
          <w:lang w:val="en-US" w:eastAsia="zh-CN" w:bidi="ar-SA"/>
        </w:rPr>
        <w:t>八、投标人同类项目业绩情况</w:t>
      </w:r>
      <w:bookmarkEnd w:id="67"/>
    </w:p>
    <w:p w14:paraId="3043E2B7">
      <w:pPr>
        <w:pStyle w:val="4"/>
        <w:jc w:val="center"/>
        <w:rPr>
          <w:rFonts w:ascii="黑体" w:eastAsia="黑体"/>
          <w:b w:val="0"/>
          <w:kern w:val="0"/>
          <w:sz w:val="24"/>
        </w:rPr>
      </w:pPr>
      <w:bookmarkStart w:id="68" w:name="_Toc30841"/>
      <w:r>
        <w:rPr>
          <w:rFonts w:hint="eastAsia" w:ascii="黑体" w:eastAsia="黑体"/>
          <w:b w:val="0"/>
          <w:kern w:val="0"/>
          <w:sz w:val="24"/>
          <w:lang w:eastAsia="zh-CN"/>
        </w:rPr>
        <w:t>九</w:t>
      </w:r>
      <w:r>
        <w:rPr>
          <w:rFonts w:hint="eastAsia" w:ascii="黑体" w:eastAsia="黑体"/>
          <w:b w:val="0"/>
          <w:kern w:val="0"/>
          <w:sz w:val="24"/>
        </w:rPr>
        <w:t>、拟安排的项目经理情况（仅限一人）</w:t>
      </w:r>
      <w:bookmarkEnd w:id="68"/>
    </w:p>
    <w:p w14:paraId="2169F313">
      <w:pPr>
        <w:pStyle w:val="4"/>
        <w:jc w:val="center"/>
        <w:rPr>
          <w:rFonts w:ascii="黑体" w:eastAsia="黑体"/>
          <w:b w:val="0"/>
          <w:kern w:val="0"/>
          <w:sz w:val="24"/>
        </w:rPr>
      </w:pPr>
      <w:bookmarkStart w:id="69" w:name="_Toc453"/>
      <w:r>
        <w:rPr>
          <w:rFonts w:hint="eastAsia" w:ascii="黑体" w:eastAsia="黑体"/>
          <w:b w:val="0"/>
          <w:kern w:val="0"/>
          <w:sz w:val="24"/>
        </w:rPr>
        <w:t>十、拟安排的项目主要团队成员（主要技术人员）情况（项目经理除外）</w:t>
      </w:r>
      <w:bookmarkEnd w:id="69"/>
    </w:p>
    <w:p w14:paraId="0AF75B06">
      <w:pPr>
        <w:rPr>
          <w:rFonts w:hint="eastAsia" w:ascii="黑体" w:eastAsia="黑体"/>
          <w:b w:val="0"/>
          <w:kern w:val="0"/>
          <w:sz w:val="24"/>
        </w:rPr>
      </w:pPr>
      <w:bookmarkStart w:id="70" w:name="_Toc32169"/>
      <w:r>
        <w:rPr>
          <w:rFonts w:hint="eastAsia" w:ascii="黑体" w:eastAsia="黑体"/>
          <w:b w:val="0"/>
          <w:kern w:val="0"/>
          <w:sz w:val="24"/>
        </w:rPr>
        <w:br w:type="page"/>
      </w:r>
    </w:p>
    <w:p w14:paraId="6E9FD055">
      <w:pPr>
        <w:pStyle w:val="4"/>
        <w:jc w:val="center"/>
        <w:rPr>
          <w:rFonts w:ascii="黑体" w:eastAsia="黑体"/>
          <w:b w:val="0"/>
          <w:kern w:val="0"/>
          <w:sz w:val="24"/>
        </w:rPr>
      </w:pPr>
      <w:r>
        <w:rPr>
          <w:rFonts w:hint="eastAsia" w:ascii="黑体" w:eastAsia="黑体"/>
          <w:b w:val="0"/>
          <w:kern w:val="0"/>
          <w:sz w:val="24"/>
        </w:rPr>
        <w:t>十</w:t>
      </w:r>
      <w:r>
        <w:rPr>
          <w:rFonts w:hint="eastAsia" w:ascii="黑体" w:eastAsia="黑体"/>
          <w:b w:val="0"/>
          <w:kern w:val="0"/>
          <w:sz w:val="24"/>
          <w:lang w:eastAsia="zh-CN"/>
        </w:rPr>
        <w:t>一</w:t>
      </w:r>
      <w:r>
        <w:rPr>
          <w:rFonts w:hint="eastAsia" w:ascii="黑体" w:eastAsia="黑体"/>
          <w:b w:val="0"/>
          <w:kern w:val="0"/>
          <w:sz w:val="24"/>
        </w:rPr>
        <w:t>、政府采购违法行为风险知悉确认书</w:t>
      </w:r>
      <w:bookmarkEnd w:id="70"/>
    </w:p>
    <w:p w14:paraId="36B89A6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本公司在投标前已充分知悉以下情形为参与政府采购活动时的重大风险事项，并承诺已对下述风险提示事项重点排查，做到严谨、诚信、依法依规参与政府采购活动。</w:t>
      </w:r>
    </w:p>
    <w:p w14:paraId="71ABE624">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一、本公司已充分知悉“隐瞒真实情况，提供虚假资料”的法定情形，相关情形包括但不限于：</w:t>
      </w:r>
    </w:p>
    <w:p w14:paraId="0821ED3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（一）通过转让或者租借等方式从其他单位获取资格或者资质证书投标的。</w:t>
      </w:r>
    </w:p>
    <w:p w14:paraId="72EC59A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（二）由其他单位或者其他单位负责人在投标供应商编制的投标文件上加盖印章或者签字的。</w:t>
      </w:r>
    </w:p>
    <w:p w14:paraId="52CEE1D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（三）项目负责人或者主要技术人员不是本单位人员的。</w:t>
      </w:r>
    </w:p>
    <w:p w14:paraId="4294D16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（四）投标保证金不是从投标供应商基本账户转出的。</w:t>
      </w:r>
    </w:p>
    <w:p w14:paraId="0DDB20F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（五）其他隐瞒真实情况、提供虚假资料的行为。</w:t>
      </w:r>
    </w:p>
    <w:p w14:paraId="46D28EDC">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二、本公司已充分知悉“与其他采购参加人串通投标”的法定情形，相关情形包括但不限于：</w:t>
      </w:r>
    </w:p>
    <w:p w14:paraId="420D06A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（一）投标供应商之间相互约定给予未中标的供应商利益补偿。</w:t>
      </w:r>
    </w:p>
    <w:p w14:paraId="28902B7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（二）不同投标供应商的法定代表人、主要经营负责人、项目投标授权代表人、项目负责人、主要技术人员为同一人、属同一单位或者在同一单位缴纳社会保险。</w:t>
      </w:r>
    </w:p>
    <w:p w14:paraId="105B716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（三）不同投标供应商的投标文件由同一单位或者同一人编制，或者由同一人分阶段参与编制的。</w:t>
      </w:r>
    </w:p>
    <w:p w14:paraId="2F1F441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（四）不同投标供应商的投标文件或部分投标文件相互混装。</w:t>
      </w:r>
    </w:p>
    <w:p w14:paraId="61D410D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（五）不同投标供应商的投标文件内容存在非正常一致。</w:t>
      </w:r>
    </w:p>
    <w:p w14:paraId="33C2A65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（六）由同一单位工作人员为两家以上（含两家）供应商进行同一项投标活动的。</w:t>
      </w:r>
    </w:p>
    <w:p w14:paraId="7D4B393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（七）不同投标人的投标报价呈规律性差异。</w:t>
      </w:r>
    </w:p>
    <w:p w14:paraId="23591EC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（八）不同投标人的投标保证金从同一单位或者个人的账户转出。</w:t>
      </w:r>
    </w:p>
    <w:p w14:paraId="13527AC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（九）主管部门依照法律、法规认定的其他情形。</w:t>
      </w:r>
    </w:p>
    <w:p w14:paraId="01E2E8A1">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三、本公司已充分知悉下列情形所对应的法律风险，并在投标前已对相关风险事项进行排查。</w:t>
      </w:r>
    </w:p>
    <w:p w14:paraId="2C8E105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color w:val="auto"/>
          <w:sz w:val="28"/>
          <w:szCs w:val="28"/>
          <w:lang w:val="en-US" w:eastAsia="zh-CN"/>
        </w:rPr>
        <w:t>（一）对于从其他主体获取的投标资料，供应商应审慎核查，确保投标资料的真实性。</w:t>
      </w:r>
      <w:r>
        <w:rPr>
          <w:rFonts w:hint="eastAsia" w:ascii="仿宋_GB2312" w:hAnsi="仿宋_GB2312" w:eastAsia="仿宋_GB2312" w:cs="仿宋_GB2312"/>
          <w:b/>
          <w:bCs/>
          <w:color w:val="auto"/>
          <w:sz w:val="28"/>
          <w:szCs w:val="28"/>
          <w:lang w:val="en-US" w:eastAsia="zh-CN"/>
        </w:rPr>
        <w:t>如主管部门查实投标文件中存在虚假资料的，无论相关资料是否由第三方或本公司员工提供，均不影响主管部门对供应商存在“隐瞒真实情况，提供虚假资料”违法行为的认定。</w:t>
      </w:r>
    </w:p>
    <w:p w14:paraId="46410D7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（二）对于涉及国家机关出具的公文、证件、证明材料等文件，一旦涉嫌虚假，经查实，主管部门将依法从严处理，并移送有关部门追究法律责任；涉嫌犯罪的，主管部门将一并移送司法机关追究法律责任。</w:t>
      </w:r>
    </w:p>
    <w:p w14:paraId="0EDDD86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（三）对于涉及安全生产、特种作业、抢险救灾、防疫等政府采购项目，供应商实施提供虚假资料、串通投标等违法行为的，主管部门将依法从严处理。</w:t>
      </w:r>
    </w:p>
    <w:p w14:paraId="609F8F0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四）供应商应严格规范项目授权代表、员工参与招标投标的行为，加强对投标文件的审核。项目授权代表、员工编制、上传投标文件等行为违反政府采购法律法规或采购文件要求的，投标供应商应当依法承担相应法律责任。</w:t>
      </w:r>
    </w:p>
    <w:p w14:paraId="6FCDE91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66F52D8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31082A13">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四、本公司已充分知悉政府采购违法、违规行为的法律后果。</w:t>
      </w:r>
    </w:p>
    <w:p w14:paraId="078F4F1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color w:val="auto"/>
          <w:sz w:val="28"/>
          <w:szCs w:val="28"/>
          <w:lang w:val="en-US" w:eastAsia="zh-CN"/>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r>
        <w:rPr>
          <w:rFonts w:hint="eastAsia" w:ascii="仿宋_GB2312" w:hAnsi="仿宋_GB2312" w:eastAsia="仿宋_GB2312" w:cs="仿宋_GB2312"/>
          <w:b/>
          <w:bCs/>
          <w:color w:val="auto"/>
          <w:sz w:val="28"/>
          <w:szCs w:val="28"/>
          <w:lang w:val="en-US" w:eastAsia="zh-CN"/>
        </w:rPr>
        <w:t>以下文字请投标供应商抄写并确认：“本公司已仔细阅读《政府采购违法行为风险知悉确认书》，充分知悉违法行为的法律后果，并承诺将严谨、诚信、依法依规参与政府采购活动”。</w:t>
      </w:r>
    </w:p>
    <w:tbl>
      <w:tblPr>
        <w:tblStyle w:val="17"/>
        <w:tblW w:w="0" w:type="auto"/>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14:paraId="7BEDEC9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PrEx>
        <w:trPr>
          <w:trHeight w:val="304" w:hRule="atLeast"/>
        </w:trPr>
        <w:tc>
          <w:tcPr>
            <w:tcW w:w="8529" w:type="dxa"/>
            <w:tcBorders>
              <w:top w:val="nil"/>
              <w:left w:val="nil"/>
              <w:bottom w:val="single" w:color="000000" w:sz="8" w:space="0"/>
              <w:right w:val="nil"/>
            </w:tcBorders>
            <w:noWrap w:val="0"/>
            <w:vAlign w:val="top"/>
          </w:tcPr>
          <w:p w14:paraId="527A9B0C">
            <w:pPr>
              <w:autoSpaceDE w:val="0"/>
              <w:autoSpaceDN w:val="0"/>
              <w:spacing w:line="400" w:lineRule="exact"/>
              <w:rPr>
                <w:rFonts w:ascii="宋体" w:hAnsi="宋体"/>
                <w:spacing w:val="-4"/>
                <w:kern w:val="0"/>
                <w:szCs w:val="21"/>
              </w:rPr>
            </w:pPr>
          </w:p>
        </w:tc>
      </w:tr>
      <w:tr w14:paraId="5FD5B23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noWrap w:val="0"/>
            <w:vAlign w:val="top"/>
          </w:tcPr>
          <w:p w14:paraId="0CE2CA9B">
            <w:pPr>
              <w:autoSpaceDE w:val="0"/>
              <w:autoSpaceDN w:val="0"/>
              <w:spacing w:line="400" w:lineRule="exact"/>
              <w:rPr>
                <w:rFonts w:ascii="宋体" w:hAnsi="宋体"/>
                <w:spacing w:val="-4"/>
                <w:kern w:val="0"/>
                <w:szCs w:val="21"/>
              </w:rPr>
            </w:pPr>
          </w:p>
        </w:tc>
      </w:tr>
      <w:tr w14:paraId="201767F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noWrap w:val="0"/>
            <w:vAlign w:val="top"/>
          </w:tcPr>
          <w:p w14:paraId="33643FD4">
            <w:pPr>
              <w:autoSpaceDE w:val="0"/>
              <w:autoSpaceDN w:val="0"/>
              <w:spacing w:line="400" w:lineRule="exact"/>
              <w:rPr>
                <w:rFonts w:ascii="宋体" w:hAnsi="宋体"/>
                <w:spacing w:val="-4"/>
                <w:kern w:val="0"/>
                <w:szCs w:val="21"/>
              </w:rPr>
            </w:pPr>
          </w:p>
        </w:tc>
      </w:tr>
      <w:tr w14:paraId="079732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noWrap w:val="0"/>
            <w:vAlign w:val="top"/>
          </w:tcPr>
          <w:p w14:paraId="6CCFDD7C">
            <w:pPr>
              <w:autoSpaceDE w:val="0"/>
              <w:autoSpaceDN w:val="0"/>
              <w:spacing w:line="400" w:lineRule="exact"/>
              <w:rPr>
                <w:rFonts w:ascii="宋体" w:hAnsi="宋体"/>
                <w:spacing w:val="-4"/>
                <w:kern w:val="0"/>
                <w:szCs w:val="21"/>
              </w:rPr>
            </w:pPr>
          </w:p>
        </w:tc>
      </w:tr>
    </w:tbl>
    <w:p w14:paraId="054315D2">
      <w:pPr>
        <w:autoSpaceDE w:val="0"/>
        <w:autoSpaceDN w:val="0"/>
        <w:spacing w:line="400" w:lineRule="exact"/>
        <w:ind w:firstLine="406" w:firstLineChars="200"/>
        <w:jc w:val="left"/>
        <w:rPr>
          <w:rFonts w:ascii="宋体" w:hAnsi="宋体"/>
          <w:b/>
          <w:bCs/>
          <w:color w:val="FF0000"/>
          <w:spacing w:val="-4"/>
          <w:kern w:val="0"/>
          <w:szCs w:val="21"/>
        </w:rPr>
      </w:pPr>
      <w:r>
        <w:rPr>
          <w:rFonts w:hint="eastAsia" w:ascii="宋体" w:hAnsi="宋体"/>
          <w:b/>
          <w:bCs/>
          <w:color w:val="FF0000"/>
          <w:spacing w:val="-4"/>
          <w:kern w:val="0"/>
          <w:szCs w:val="21"/>
        </w:rPr>
        <w:t>注：1.政府采购违法行为风险知悉确认书不作为资格性审查及符合性审查条件。</w:t>
      </w:r>
    </w:p>
    <w:p w14:paraId="2054EFCB">
      <w:pPr>
        <w:autoSpaceDE w:val="0"/>
        <w:autoSpaceDN w:val="0"/>
        <w:spacing w:line="400" w:lineRule="exact"/>
        <w:ind w:firstLine="406" w:firstLineChars="200"/>
        <w:rPr>
          <w:rFonts w:ascii="宋体" w:hAnsi="宋体"/>
          <w:color w:val="FF0000"/>
          <w:spacing w:val="-4"/>
          <w:kern w:val="0"/>
          <w:szCs w:val="21"/>
        </w:rPr>
      </w:pPr>
      <w:r>
        <w:rPr>
          <w:rFonts w:hint="eastAsia" w:ascii="宋体" w:hAnsi="宋体"/>
          <w:b/>
          <w:bCs/>
          <w:color w:val="FF0000"/>
          <w:spacing w:val="-4"/>
          <w:kern w:val="0"/>
          <w:szCs w:val="21"/>
        </w:rPr>
        <w:t>2.投标供应商负责人或投标授权代表签字并加盖单位公章后，扫描上传至投标文件一并提交。</w:t>
      </w:r>
    </w:p>
    <w:p w14:paraId="4A649A9D">
      <w:pPr>
        <w:wordWrap w:val="0"/>
        <w:autoSpaceDE w:val="0"/>
        <w:autoSpaceDN w:val="0"/>
        <w:spacing w:line="400" w:lineRule="exact"/>
        <w:ind w:firstLine="404" w:firstLineChars="200"/>
        <w:jc w:val="right"/>
        <w:rPr>
          <w:rFonts w:hint="eastAsia" w:ascii="宋体" w:hAnsi="宋体"/>
          <w:spacing w:val="-4"/>
          <w:kern w:val="0"/>
          <w:szCs w:val="21"/>
        </w:rPr>
      </w:pPr>
    </w:p>
    <w:p w14:paraId="05FDFE93">
      <w:pPr>
        <w:wordWrap/>
        <w:autoSpaceDE w:val="0"/>
        <w:autoSpaceDN w:val="0"/>
        <w:spacing w:line="400" w:lineRule="exact"/>
        <w:ind w:firstLine="404" w:firstLineChars="200"/>
        <w:jc w:val="right"/>
        <w:rPr>
          <w:rFonts w:hint="eastAsia" w:ascii="宋体" w:hAnsi="宋体"/>
          <w:spacing w:val="-4"/>
          <w:kern w:val="0"/>
          <w:szCs w:val="21"/>
        </w:rPr>
      </w:pPr>
    </w:p>
    <w:p w14:paraId="5306E715">
      <w:pPr>
        <w:keepNext w:val="0"/>
        <w:keepLines w:val="0"/>
        <w:pageBreakBefore w:val="0"/>
        <w:widowControl w:val="0"/>
        <w:kinsoku/>
        <w:wordWrap/>
        <w:overflowPunct/>
        <w:topLinePunct w:val="0"/>
        <w:autoSpaceDE/>
        <w:autoSpaceDN/>
        <w:bidi w:val="0"/>
        <w:adjustRightInd/>
        <w:snapToGrid/>
        <w:spacing w:line="500" w:lineRule="exact"/>
        <w:ind w:firstLine="3640" w:firstLineChars="13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单位负责人/投标授权代表签名：     </w:t>
      </w:r>
    </w:p>
    <w:p w14:paraId="59D5168F">
      <w:pPr>
        <w:keepNext w:val="0"/>
        <w:keepLines w:val="0"/>
        <w:pageBreakBefore w:val="0"/>
        <w:widowControl w:val="0"/>
        <w:kinsoku/>
        <w:wordWrap/>
        <w:overflowPunct/>
        <w:topLinePunct w:val="0"/>
        <w:autoSpaceDE/>
        <w:autoSpaceDN/>
        <w:bidi w:val="0"/>
        <w:adjustRightInd/>
        <w:snapToGrid/>
        <w:spacing w:line="500" w:lineRule="exact"/>
        <w:ind w:firstLine="4480" w:firstLineChars="16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（加盖公章）</w:t>
      </w:r>
    </w:p>
    <w:p w14:paraId="6D254880">
      <w:pPr>
        <w:keepNext w:val="0"/>
        <w:keepLines w:val="0"/>
        <w:pageBreakBefore w:val="0"/>
        <w:widowControl w:val="0"/>
        <w:kinsoku/>
        <w:wordWrap/>
        <w:overflowPunct/>
        <w:topLinePunct w:val="0"/>
        <w:autoSpaceDE/>
        <w:autoSpaceDN/>
        <w:bidi w:val="0"/>
        <w:adjustRightInd/>
        <w:snapToGrid/>
        <w:spacing w:line="500" w:lineRule="exact"/>
        <w:ind w:firstLine="4760" w:firstLineChars="17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日期：   </w:t>
      </w:r>
    </w:p>
    <w:p w14:paraId="5D452FA5">
      <w:pPr>
        <w:rPr>
          <w:b/>
          <w:bCs/>
        </w:rPr>
      </w:pPr>
    </w:p>
    <w:p w14:paraId="5D5BD151">
      <w:pPr>
        <w:rPr>
          <w:b/>
          <w:bCs/>
        </w:rPr>
      </w:pPr>
    </w:p>
    <w:p w14:paraId="01262094">
      <w:pPr>
        <w:ind w:left="632" w:hanging="632" w:hangingChars="300"/>
        <w:rPr>
          <w:rFonts w:hint="eastAsia"/>
          <w:b/>
          <w:bCs/>
        </w:rPr>
      </w:pPr>
      <w:r>
        <w:rPr>
          <w:b/>
          <w:bCs/>
        </w:rPr>
        <w:br w:type="page"/>
      </w:r>
    </w:p>
    <w:p w14:paraId="1B72FB8C">
      <w:pPr>
        <w:pStyle w:val="4"/>
        <w:rPr>
          <w:bCs/>
          <w:color w:val="FF0000"/>
        </w:rPr>
      </w:pPr>
      <w:bookmarkStart w:id="71" w:name="_Toc16305"/>
      <w:r>
        <w:rPr>
          <w:rFonts w:hint="eastAsia"/>
          <w:bCs/>
          <w:color w:val="FF0000"/>
        </w:rPr>
        <w:t>投标文件第二</w:t>
      </w:r>
      <w:r>
        <w:rPr>
          <w:bCs/>
          <w:color w:val="FF0000"/>
        </w:rPr>
        <w:t>部分</w:t>
      </w:r>
      <w:r>
        <w:rPr>
          <w:rFonts w:hint="eastAsia"/>
          <w:bCs/>
          <w:color w:val="FF0000"/>
        </w:rPr>
        <w:t>：</w:t>
      </w:r>
      <w:bookmarkEnd w:id="71"/>
    </w:p>
    <w:p w14:paraId="6AE502C4">
      <w:pPr>
        <w:pStyle w:val="4"/>
        <w:jc w:val="center"/>
        <w:rPr>
          <w:rFonts w:hint="eastAsia" w:ascii="黑体" w:hAnsi="宋体" w:eastAsia="黑体" w:cs="Times New Roman"/>
          <w:b w:val="0"/>
          <w:kern w:val="0"/>
          <w:sz w:val="24"/>
        </w:rPr>
      </w:pPr>
      <w:bookmarkStart w:id="72" w:name="_Toc26669"/>
      <w:bookmarkStart w:id="73" w:name="_Toc2026"/>
      <w:r>
        <w:rPr>
          <w:rFonts w:hint="eastAsia" w:ascii="黑体" w:hAnsi="宋体" w:eastAsia="黑体" w:cs="Times New Roman"/>
          <w:b w:val="0"/>
          <w:kern w:val="0"/>
          <w:sz w:val="24"/>
        </w:rPr>
        <w:t>一、授权委托代理人联系方式</w:t>
      </w:r>
      <w:bookmarkEnd w:id="72"/>
    </w:p>
    <w:p w14:paraId="4F38A35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本授权委托书声明：我</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（姓名）系</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（投标人名称）的法定代表人，现授权委托</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（单位名称）的</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（姓名）为我公司签署本项目已递交的投标文件的法定代表人的授权委托代理人，代理人全权代表我所签署的本项目已递交的投标文件内容我均承认。</w:t>
      </w:r>
    </w:p>
    <w:p w14:paraId="0E66A16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代理人无转委托权，特此委托。</w:t>
      </w:r>
    </w:p>
    <w:p w14:paraId="715357E2">
      <w:pPr>
        <w:rPr>
          <w:szCs w:val="21"/>
        </w:rPr>
      </w:pPr>
    </w:p>
    <w:p w14:paraId="48CF471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u w:val="single"/>
          <w:lang w:val="en-US" w:eastAsia="zh-CN"/>
        </w:rPr>
      </w:pPr>
      <w:r>
        <w:rPr>
          <w:rFonts w:hint="eastAsia" w:ascii="仿宋_GB2312" w:hAnsi="仿宋_GB2312" w:eastAsia="仿宋_GB2312" w:cs="仿宋_GB2312"/>
          <w:color w:val="auto"/>
          <w:sz w:val="28"/>
          <w:szCs w:val="28"/>
          <w:lang w:val="en-US" w:eastAsia="zh-CN"/>
        </w:rPr>
        <w:t>代理人：</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性别：</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年龄：</w:t>
      </w:r>
      <w:r>
        <w:rPr>
          <w:rFonts w:hint="eastAsia" w:ascii="仿宋_GB2312" w:hAnsi="仿宋_GB2312" w:eastAsia="仿宋_GB2312" w:cs="仿宋_GB2312"/>
          <w:color w:val="auto"/>
          <w:sz w:val="28"/>
          <w:szCs w:val="28"/>
          <w:u w:val="single"/>
          <w:lang w:val="en-US" w:eastAsia="zh-CN"/>
        </w:rPr>
        <w:t xml:space="preserve">           </w:t>
      </w:r>
    </w:p>
    <w:p w14:paraId="39CB9E2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联系电话：</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手机：</w:t>
      </w:r>
      <w:r>
        <w:rPr>
          <w:rFonts w:hint="eastAsia" w:ascii="仿宋_GB2312" w:hAnsi="仿宋_GB2312" w:eastAsia="仿宋_GB2312" w:cs="仿宋_GB2312"/>
          <w:color w:val="auto"/>
          <w:sz w:val="28"/>
          <w:szCs w:val="28"/>
          <w:u w:val="single"/>
          <w:lang w:val="en-US" w:eastAsia="zh-CN"/>
        </w:rPr>
        <w:t xml:space="preserve">                   </w:t>
      </w:r>
    </w:p>
    <w:p w14:paraId="04829AD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身份证号码：</w:t>
      </w:r>
      <w:r>
        <w:rPr>
          <w:rFonts w:hint="eastAsia" w:ascii="仿宋_GB2312" w:hAnsi="仿宋_GB2312" w:eastAsia="仿宋_GB2312" w:cs="仿宋_GB2312"/>
          <w:color w:val="auto"/>
          <w:sz w:val="28"/>
          <w:szCs w:val="28"/>
          <w:u w:val="single"/>
          <w:lang w:val="en-US" w:eastAsia="zh-CN"/>
        </w:rPr>
        <w:t xml:space="preserve">                        </w:t>
      </w:r>
    </w:p>
    <w:p w14:paraId="464F81D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投标人：</w:t>
      </w:r>
      <w:r>
        <w:rPr>
          <w:rFonts w:hint="eastAsia" w:ascii="仿宋_GB2312" w:hAnsi="仿宋_GB2312" w:eastAsia="仿宋_GB2312" w:cs="仿宋_GB2312"/>
          <w:color w:val="auto"/>
          <w:sz w:val="28"/>
          <w:szCs w:val="28"/>
          <w:u w:val="single"/>
          <w:lang w:val="en-US" w:eastAsia="zh-CN"/>
        </w:rPr>
        <w:t xml:space="preserve">                                         </w:t>
      </w:r>
    </w:p>
    <w:p w14:paraId="42FFA74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法定代表人：</w:t>
      </w:r>
      <w:r>
        <w:rPr>
          <w:rFonts w:hint="eastAsia" w:ascii="仿宋_GB2312" w:hAnsi="仿宋_GB2312" w:eastAsia="仿宋_GB2312" w:cs="仿宋_GB2312"/>
          <w:color w:val="auto"/>
          <w:sz w:val="28"/>
          <w:szCs w:val="28"/>
          <w:u w:val="single"/>
          <w:lang w:val="en-US" w:eastAsia="zh-CN"/>
        </w:rPr>
        <w:t xml:space="preserve">                           </w:t>
      </w:r>
    </w:p>
    <w:p w14:paraId="03B8F28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授权委托日期：</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年</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月</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日</w:t>
      </w:r>
    </w:p>
    <w:p w14:paraId="40A23D32">
      <w:pPr>
        <w:rPr>
          <w:rFonts w:hint="eastAsia" w:ascii="黑体" w:eastAsia="黑体"/>
          <w:b w:val="0"/>
          <w:kern w:val="0"/>
          <w:sz w:val="24"/>
          <w:lang w:eastAsia="zh-CN"/>
        </w:rPr>
      </w:pPr>
      <w:r>
        <w:rPr>
          <w:rFonts w:hint="eastAsia" w:ascii="黑体" w:eastAsia="黑体"/>
          <w:b w:val="0"/>
          <w:kern w:val="0"/>
          <w:sz w:val="24"/>
          <w:lang w:eastAsia="zh-CN"/>
        </w:rPr>
        <w:br w:type="page"/>
      </w:r>
    </w:p>
    <w:p w14:paraId="085B165D">
      <w:pPr>
        <w:pStyle w:val="4"/>
        <w:jc w:val="center"/>
        <w:rPr>
          <w:rFonts w:hint="eastAsia" w:ascii="黑体" w:eastAsia="黑体"/>
          <w:b w:val="0"/>
          <w:kern w:val="0"/>
          <w:sz w:val="24"/>
          <w:lang w:eastAsia="zh-CN"/>
        </w:rPr>
      </w:pPr>
      <w:r>
        <w:rPr>
          <w:rFonts w:hint="eastAsia" w:ascii="黑体" w:eastAsia="黑体"/>
          <w:b w:val="0"/>
          <w:kern w:val="0"/>
          <w:sz w:val="24"/>
          <w:lang w:eastAsia="zh-CN"/>
        </w:rPr>
        <w:t>二</w:t>
      </w:r>
      <w:r>
        <w:rPr>
          <w:rFonts w:hint="eastAsia" w:ascii="黑体" w:eastAsia="黑体"/>
          <w:b w:val="0"/>
          <w:kern w:val="0"/>
          <w:sz w:val="24"/>
        </w:rPr>
        <w:t>、</w:t>
      </w:r>
      <w:bookmarkEnd w:id="73"/>
      <w:r>
        <w:rPr>
          <w:rFonts w:hint="eastAsia" w:ascii="黑体" w:eastAsia="黑体"/>
          <w:b w:val="0"/>
          <w:kern w:val="0"/>
          <w:sz w:val="24"/>
          <w:lang w:eastAsia="zh-CN"/>
        </w:rPr>
        <w:t>工程量清单报价格式</w:t>
      </w:r>
    </w:p>
    <w:p w14:paraId="23A0946B">
      <w:pPr>
        <w:spacing w:line="560" w:lineRule="exact"/>
        <w:jc w:val="center"/>
        <w:rPr>
          <w:rFonts w:hint="eastAsia" w:ascii="方正小标宋简体" w:hAnsi="方正小标宋简体" w:eastAsia="方正小标宋简体" w:cs="方正小标宋简体"/>
          <w:sz w:val="44"/>
          <w:szCs w:val="44"/>
          <w:u w:val="none"/>
        </w:rPr>
      </w:pPr>
      <w:bookmarkStart w:id="74" w:name="_Toc69878058"/>
      <w:bookmarkStart w:id="75" w:name="_Toc45964657"/>
      <w:bookmarkStart w:id="76" w:name="_Toc71860049"/>
      <w:bookmarkStart w:id="77" w:name="_Toc84303613"/>
      <w:bookmarkStart w:id="78" w:name="_Toc100052462"/>
      <w:bookmarkStart w:id="79" w:name="_Toc101074893"/>
      <w:bookmarkStart w:id="80" w:name="_Toc71860051"/>
      <w:r>
        <w:rPr>
          <w:rFonts w:hint="eastAsia" w:ascii="方正小标宋简体" w:hAnsi="方正小标宋简体" w:eastAsia="方正小标宋简体" w:cs="方正小标宋简体"/>
          <w:sz w:val="44"/>
          <w:szCs w:val="44"/>
          <w:u w:val="none"/>
        </w:rPr>
        <w:t>分部分项工程量清单计价表</w:t>
      </w:r>
    </w:p>
    <w:tbl>
      <w:tblPr>
        <w:tblStyle w:val="17"/>
        <w:tblW w:w="9224" w:type="dxa"/>
        <w:jc w:val="center"/>
        <w:tblLayout w:type="fixed"/>
        <w:tblCellMar>
          <w:top w:w="0" w:type="dxa"/>
          <w:left w:w="0" w:type="dxa"/>
          <w:bottom w:w="0" w:type="dxa"/>
          <w:right w:w="0" w:type="dxa"/>
        </w:tblCellMar>
      </w:tblPr>
      <w:tblGrid>
        <w:gridCol w:w="737"/>
        <w:gridCol w:w="1275"/>
        <w:gridCol w:w="2410"/>
        <w:gridCol w:w="1701"/>
        <w:gridCol w:w="573"/>
        <w:gridCol w:w="709"/>
        <w:gridCol w:w="709"/>
        <w:gridCol w:w="1110"/>
      </w:tblGrid>
      <w:tr w14:paraId="21D22728">
        <w:tblPrEx>
          <w:tblCellMar>
            <w:top w:w="0" w:type="dxa"/>
            <w:left w:w="0" w:type="dxa"/>
            <w:bottom w:w="0" w:type="dxa"/>
            <w:right w:w="0" w:type="dxa"/>
          </w:tblCellMar>
        </w:tblPrEx>
        <w:trPr>
          <w:trHeight w:val="379" w:hRule="atLeast"/>
          <w:jc w:val="center"/>
        </w:trPr>
        <w:tc>
          <w:tcPr>
            <w:tcW w:w="737" w:type="dxa"/>
            <w:vMerge w:val="restart"/>
            <w:tcBorders>
              <w:top w:val="single" w:color="auto" w:sz="4" w:space="0"/>
              <w:left w:val="single" w:color="auto" w:sz="4" w:space="0"/>
              <w:bottom w:val="single" w:color="000000" w:sz="4" w:space="0"/>
              <w:right w:val="single" w:color="000000" w:sz="4" w:space="0"/>
            </w:tcBorders>
            <w:shd w:val="clear" w:color="000000" w:fill="auto"/>
            <w:noWrap w:val="0"/>
            <w:tcMar>
              <w:left w:w="15" w:type="dxa"/>
              <w:right w:w="15" w:type="dxa"/>
            </w:tcMar>
            <w:vAlign w:val="center"/>
          </w:tcPr>
          <w:p w14:paraId="1AE0FA6A">
            <w:pPr>
              <w:wordWrap w:val="0"/>
              <w:jc w:val="center"/>
              <w:rPr>
                <w:rFonts w:ascii="宋体" w:hAnsi="宋体"/>
                <w:color w:val="000000"/>
                <w:sz w:val="20"/>
                <w:szCs w:val="20"/>
              </w:rPr>
            </w:pPr>
            <w:r>
              <w:rPr>
                <w:rFonts w:ascii="Calibri" w:hAnsi="宋体"/>
                <w:color w:val="000000"/>
                <w:sz w:val="20"/>
                <w:szCs w:val="20"/>
              </w:rPr>
              <w:t>序号</w:t>
            </w:r>
          </w:p>
        </w:tc>
        <w:tc>
          <w:tcPr>
            <w:tcW w:w="1275" w:type="dxa"/>
            <w:vMerge w:val="restart"/>
            <w:tcBorders>
              <w:top w:val="single" w:color="auto" w:sz="4" w:space="0"/>
              <w:left w:val="single" w:color="000000" w:sz="4" w:space="0"/>
              <w:bottom w:val="single" w:color="000000" w:sz="4" w:space="0"/>
              <w:right w:val="single" w:color="000000" w:sz="4" w:space="0"/>
            </w:tcBorders>
            <w:shd w:val="clear" w:color="000000" w:fill="auto"/>
            <w:noWrap w:val="0"/>
            <w:tcMar>
              <w:left w:w="15" w:type="dxa"/>
              <w:right w:w="15" w:type="dxa"/>
            </w:tcMar>
            <w:vAlign w:val="center"/>
          </w:tcPr>
          <w:p w14:paraId="3F771EBC">
            <w:pPr>
              <w:wordWrap w:val="0"/>
              <w:jc w:val="center"/>
              <w:rPr>
                <w:rFonts w:ascii="宋体" w:hAnsi="宋体"/>
                <w:color w:val="000000"/>
                <w:sz w:val="20"/>
                <w:szCs w:val="20"/>
              </w:rPr>
            </w:pPr>
            <w:r>
              <w:rPr>
                <w:rFonts w:ascii="Calibri" w:hAnsi="宋体"/>
                <w:color w:val="000000"/>
                <w:sz w:val="20"/>
                <w:szCs w:val="20"/>
              </w:rPr>
              <w:t>项目编码</w:t>
            </w:r>
          </w:p>
        </w:tc>
        <w:tc>
          <w:tcPr>
            <w:tcW w:w="2410" w:type="dxa"/>
            <w:vMerge w:val="restart"/>
            <w:tcBorders>
              <w:top w:val="single" w:color="auto" w:sz="4" w:space="0"/>
              <w:left w:val="single" w:color="000000" w:sz="4" w:space="0"/>
              <w:bottom w:val="single" w:color="000000" w:sz="4" w:space="0"/>
              <w:right w:val="single" w:color="000000" w:sz="4" w:space="0"/>
            </w:tcBorders>
            <w:shd w:val="clear" w:color="000000" w:fill="auto"/>
            <w:noWrap w:val="0"/>
            <w:tcMar>
              <w:left w:w="15" w:type="dxa"/>
              <w:right w:w="15" w:type="dxa"/>
            </w:tcMar>
            <w:vAlign w:val="center"/>
          </w:tcPr>
          <w:p w14:paraId="4C6A9C66">
            <w:pPr>
              <w:wordWrap w:val="0"/>
              <w:jc w:val="center"/>
              <w:rPr>
                <w:rFonts w:ascii="宋体" w:hAnsi="宋体"/>
                <w:color w:val="000000"/>
                <w:sz w:val="20"/>
                <w:szCs w:val="20"/>
              </w:rPr>
            </w:pPr>
            <w:r>
              <w:rPr>
                <w:rFonts w:ascii="Calibri" w:hAnsi="宋体"/>
                <w:color w:val="000000"/>
                <w:sz w:val="20"/>
                <w:szCs w:val="20"/>
              </w:rPr>
              <w:t>项目名称</w:t>
            </w:r>
          </w:p>
        </w:tc>
        <w:tc>
          <w:tcPr>
            <w:tcW w:w="1701" w:type="dxa"/>
            <w:vMerge w:val="restart"/>
            <w:tcBorders>
              <w:top w:val="single" w:color="auto" w:sz="4" w:space="0"/>
              <w:left w:val="single" w:color="000000" w:sz="4" w:space="0"/>
              <w:bottom w:val="single" w:color="000000" w:sz="4" w:space="0"/>
              <w:right w:val="single" w:color="000000" w:sz="4" w:space="0"/>
            </w:tcBorders>
            <w:shd w:val="clear" w:color="000000" w:fill="auto"/>
            <w:noWrap w:val="0"/>
            <w:tcMar>
              <w:left w:w="15" w:type="dxa"/>
              <w:right w:w="15" w:type="dxa"/>
            </w:tcMar>
            <w:vAlign w:val="center"/>
          </w:tcPr>
          <w:p w14:paraId="66593EDC">
            <w:pPr>
              <w:wordWrap w:val="0"/>
              <w:jc w:val="center"/>
              <w:rPr>
                <w:rFonts w:ascii="宋体" w:hAnsi="宋体"/>
                <w:color w:val="000000"/>
                <w:sz w:val="18"/>
                <w:szCs w:val="18"/>
              </w:rPr>
            </w:pPr>
            <w:r>
              <w:rPr>
                <w:rFonts w:ascii="Calibri" w:hAnsi="宋体"/>
                <w:color w:val="000000"/>
                <w:sz w:val="18"/>
                <w:szCs w:val="18"/>
              </w:rPr>
              <w:t>项目特征描述</w:t>
            </w:r>
          </w:p>
        </w:tc>
        <w:tc>
          <w:tcPr>
            <w:tcW w:w="573" w:type="dxa"/>
            <w:vMerge w:val="restart"/>
            <w:tcBorders>
              <w:top w:val="single" w:color="auto" w:sz="4" w:space="0"/>
              <w:left w:val="single" w:color="000000" w:sz="4" w:space="0"/>
              <w:bottom w:val="single" w:color="000000" w:sz="4" w:space="0"/>
              <w:right w:val="single" w:color="000000" w:sz="4" w:space="0"/>
            </w:tcBorders>
            <w:shd w:val="clear" w:color="000000" w:fill="auto"/>
            <w:noWrap w:val="0"/>
            <w:tcMar>
              <w:left w:w="15" w:type="dxa"/>
              <w:right w:w="15" w:type="dxa"/>
            </w:tcMar>
            <w:vAlign w:val="center"/>
          </w:tcPr>
          <w:p w14:paraId="0499EE18">
            <w:pPr>
              <w:wordWrap w:val="0"/>
              <w:jc w:val="center"/>
              <w:rPr>
                <w:rFonts w:ascii="宋体" w:hAnsi="宋体"/>
                <w:color w:val="000000"/>
                <w:sz w:val="20"/>
                <w:szCs w:val="20"/>
              </w:rPr>
            </w:pPr>
            <w:r>
              <w:rPr>
                <w:rFonts w:ascii="Calibri" w:hAnsi="宋体"/>
                <w:color w:val="000000"/>
                <w:sz w:val="20"/>
                <w:szCs w:val="20"/>
              </w:rPr>
              <w:t>计量</w:t>
            </w:r>
            <w:r>
              <w:rPr>
                <w:rFonts w:ascii="Calibri" w:hAnsi="宋体"/>
                <w:color w:val="000000"/>
                <w:sz w:val="20"/>
                <w:szCs w:val="20"/>
              </w:rPr>
              <w:br w:type="textWrapping"/>
            </w:r>
            <w:r>
              <w:rPr>
                <w:rFonts w:ascii="Calibri" w:hAnsi="宋体"/>
                <w:color w:val="000000"/>
                <w:sz w:val="20"/>
                <w:szCs w:val="20"/>
              </w:rPr>
              <w:t>单位</w:t>
            </w:r>
          </w:p>
        </w:tc>
        <w:tc>
          <w:tcPr>
            <w:tcW w:w="709" w:type="dxa"/>
            <w:vMerge w:val="restart"/>
            <w:tcBorders>
              <w:top w:val="single" w:color="auto" w:sz="4" w:space="0"/>
              <w:left w:val="single" w:color="000000" w:sz="4" w:space="0"/>
              <w:bottom w:val="single" w:color="000000" w:sz="4" w:space="0"/>
              <w:right w:val="single" w:color="000000" w:sz="4" w:space="0"/>
            </w:tcBorders>
            <w:shd w:val="clear" w:color="000000" w:fill="auto"/>
            <w:noWrap w:val="0"/>
            <w:tcMar>
              <w:left w:w="15" w:type="dxa"/>
              <w:right w:w="15" w:type="dxa"/>
            </w:tcMar>
            <w:vAlign w:val="center"/>
          </w:tcPr>
          <w:p w14:paraId="0800609B">
            <w:pPr>
              <w:wordWrap w:val="0"/>
              <w:jc w:val="center"/>
              <w:rPr>
                <w:rFonts w:ascii="宋体" w:hAnsi="宋体"/>
                <w:color w:val="000000"/>
                <w:sz w:val="20"/>
                <w:szCs w:val="20"/>
              </w:rPr>
            </w:pPr>
            <w:r>
              <w:rPr>
                <w:rFonts w:ascii="Calibri" w:hAnsi="宋体"/>
                <w:color w:val="000000"/>
                <w:sz w:val="20"/>
                <w:szCs w:val="20"/>
              </w:rPr>
              <w:t>工程量</w:t>
            </w:r>
          </w:p>
        </w:tc>
        <w:tc>
          <w:tcPr>
            <w:tcW w:w="1819" w:type="dxa"/>
            <w:gridSpan w:val="2"/>
            <w:tcBorders>
              <w:top w:val="single" w:color="auto" w:sz="4" w:space="0"/>
              <w:left w:val="nil"/>
              <w:bottom w:val="single" w:color="000000" w:sz="4" w:space="0"/>
              <w:right w:val="single" w:color="000000" w:sz="4" w:space="0"/>
            </w:tcBorders>
            <w:shd w:val="clear" w:color="000000" w:fill="auto"/>
            <w:noWrap w:val="0"/>
            <w:tcMar>
              <w:left w:w="15" w:type="dxa"/>
              <w:right w:w="15" w:type="dxa"/>
            </w:tcMar>
            <w:vAlign w:val="center"/>
          </w:tcPr>
          <w:p w14:paraId="3931521F">
            <w:pPr>
              <w:wordWrap w:val="0"/>
              <w:jc w:val="center"/>
              <w:rPr>
                <w:rFonts w:ascii="宋体" w:hAnsi="宋体"/>
                <w:color w:val="000000"/>
                <w:sz w:val="20"/>
                <w:szCs w:val="20"/>
              </w:rPr>
            </w:pPr>
            <w:r>
              <w:rPr>
                <w:rFonts w:ascii="Calibri" w:hAnsi="宋体"/>
                <w:color w:val="000000"/>
                <w:sz w:val="20"/>
                <w:szCs w:val="20"/>
              </w:rPr>
              <w:t>金额(元)</w:t>
            </w:r>
          </w:p>
        </w:tc>
      </w:tr>
      <w:tr w14:paraId="123880B1">
        <w:tblPrEx>
          <w:tblCellMar>
            <w:top w:w="0" w:type="dxa"/>
            <w:left w:w="0" w:type="dxa"/>
            <w:bottom w:w="0" w:type="dxa"/>
            <w:right w:w="0" w:type="dxa"/>
          </w:tblCellMar>
        </w:tblPrEx>
        <w:trPr>
          <w:trHeight w:val="619" w:hRule="atLeast"/>
          <w:jc w:val="center"/>
        </w:trPr>
        <w:tc>
          <w:tcPr>
            <w:tcW w:w="737" w:type="dxa"/>
            <w:vMerge w:val="continue"/>
            <w:tcBorders>
              <w:top w:val="single" w:color="auto" w:sz="4" w:space="0"/>
              <w:left w:val="single" w:color="auto" w:sz="4" w:space="0"/>
              <w:bottom w:val="single" w:color="000000" w:sz="4" w:space="0"/>
              <w:right w:val="single" w:color="000000" w:sz="4" w:space="0"/>
            </w:tcBorders>
            <w:shd w:val="clear" w:color="000000" w:fill="auto"/>
            <w:noWrap w:val="0"/>
            <w:vAlign w:val="center"/>
          </w:tcPr>
          <w:p w14:paraId="29BD72D9"/>
        </w:tc>
        <w:tc>
          <w:tcPr>
            <w:tcW w:w="1275" w:type="dxa"/>
            <w:vMerge w:val="continue"/>
            <w:tcBorders>
              <w:top w:val="single" w:color="auto" w:sz="4" w:space="0"/>
              <w:left w:val="single" w:color="000000" w:sz="4" w:space="0"/>
              <w:bottom w:val="single" w:color="000000" w:sz="4" w:space="0"/>
              <w:right w:val="single" w:color="000000" w:sz="4" w:space="0"/>
            </w:tcBorders>
            <w:shd w:val="clear" w:color="000000" w:fill="auto"/>
            <w:noWrap w:val="0"/>
            <w:vAlign w:val="center"/>
          </w:tcPr>
          <w:p w14:paraId="37DA2CC3"/>
        </w:tc>
        <w:tc>
          <w:tcPr>
            <w:tcW w:w="2410" w:type="dxa"/>
            <w:vMerge w:val="continue"/>
            <w:tcBorders>
              <w:top w:val="single" w:color="auto" w:sz="4" w:space="0"/>
              <w:left w:val="single" w:color="000000" w:sz="4" w:space="0"/>
              <w:bottom w:val="single" w:color="000000" w:sz="4" w:space="0"/>
              <w:right w:val="single" w:color="000000" w:sz="4" w:space="0"/>
            </w:tcBorders>
            <w:shd w:val="clear" w:color="000000" w:fill="auto"/>
            <w:noWrap w:val="0"/>
            <w:vAlign w:val="center"/>
          </w:tcPr>
          <w:p w14:paraId="15DEC72A"/>
        </w:tc>
        <w:tc>
          <w:tcPr>
            <w:tcW w:w="1701" w:type="dxa"/>
            <w:vMerge w:val="continue"/>
            <w:tcBorders>
              <w:top w:val="single" w:color="auto" w:sz="4" w:space="0"/>
              <w:left w:val="single" w:color="000000" w:sz="4" w:space="0"/>
              <w:bottom w:val="single" w:color="000000" w:sz="4" w:space="0"/>
              <w:right w:val="single" w:color="000000" w:sz="4" w:space="0"/>
            </w:tcBorders>
            <w:shd w:val="clear" w:color="000000" w:fill="auto"/>
            <w:noWrap w:val="0"/>
            <w:vAlign w:val="center"/>
          </w:tcPr>
          <w:p w14:paraId="3068F9EB"/>
        </w:tc>
        <w:tc>
          <w:tcPr>
            <w:tcW w:w="573" w:type="dxa"/>
            <w:vMerge w:val="continue"/>
            <w:tcBorders>
              <w:top w:val="single" w:color="auto" w:sz="4" w:space="0"/>
              <w:left w:val="single" w:color="000000" w:sz="4" w:space="0"/>
              <w:bottom w:val="single" w:color="000000" w:sz="4" w:space="0"/>
              <w:right w:val="single" w:color="000000" w:sz="4" w:space="0"/>
            </w:tcBorders>
            <w:shd w:val="clear" w:color="000000" w:fill="auto"/>
            <w:noWrap w:val="0"/>
            <w:vAlign w:val="center"/>
          </w:tcPr>
          <w:p w14:paraId="0BD86720"/>
        </w:tc>
        <w:tc>
          <w:tcPr>
            <w:tcW w:w="709" w:type="dxa"/>
            <w:vMerge w:val="continue"/>
            <w:tcBorders>
              <w:top w:val="single" w:color="auto" w:sz="4" w:space="0"/>
              <w:left w:val="single" w:color="000000" w:sz="4" w:space="0"/>
              <w:bottom w:val="single" w:color="000000" w:sz="4" w:space="0"/>
              <w:right w:val="single" w:color="000000" w:sz="4" w:space="0"/>
            </w:tcBorders>
            <w:shd w:val="clear" w:color="000000" w:fill="auto"/>
            <w:noWrap w:val="0"/>
            <w:vAlign w:val="center"/>
          </w:tcPr>
          <w:p w14:paraId="1F6A44E0"/>
        </w:tc>
        <w:tc>
          <w:tcPr>
            <w:tcW w:w="709" w:type="dxa"/>
            <w:tcBorders>
              <w:top w:val="nil"/>
              <w:left w:val="nil"/>
              <w:bottom w:val="single" w:color="auto" w:sz="4" w:space="0"/>
              <w:right w:val="single" w:color="000000" w:sz="4" w:space="0"/>
            </w:tcBorders>
            <w:shd w:val="clear" w:color="000000" w:fill="auto"/>
            <w:noWrap w:val="0"/>
            <w:tcMar>
              <w:left w:w="15" w:type="dxa"/>
              <w:right w:w="15" w:type="dxa"/>
            </w:tcMar>
            <w:vAlign w:val="center"/>
          </w:tcPr>
          <w:p w14:paraId="400D0796">
            <w:pPr>
              <w:wordWrap w:val="0"/>
              <w:jc w:val="center"/>
              <w:rPr>
                <w:rFonts w:ascii="宋体" w:hAnsi="宋体"/>
                <w:color w:val="000000"/>
                <w:sz w:val="20"/>
                <w:szCs w:val="20"/>
              </w:rPr>
            </w:pPr>
            <w:r>
              <w:rPr>
                <w:rFonts w:ascii="Calibri" w:hAnsi="宋体"/>
                <w:color w:val="000000"/>
                <w:sz w:val="20"/>
                <w:szCs w:val="20"/>
              </w:rPr>
              <w:t>综合</w:t>
            </w:r>
            <w:r>
              <w:rPr>
                <w:rFonts w:ascii="Calibri" w:hAnsi="宋体"/>
                <w:color w:val="000000"/>
                <w:sz w:val="20"/>
                <w:szCs w:val="20"/>
              </w:rPr>
              <w:br w:type="textWrapping"/>
            </w:r>
            <w:r>
              <w:rPr>
                <w:rFonts w:ascii="Calibri" w:hAnsi="宋体"/>
                <w:color w:val="000000"/>
                <w:sz w:val="20"/>
                <w:szCs w:val="20"/>
              </w:rPr>
              <w:t>单价</w:t>
            </w:r>
          </w:p>
        </w:tc>
        <w:tc>
          <w:tcPr>
            <w:tcW w:w="1110" w:type="dxa"/>
            <w:tcBorders>
              <w:top w:val="nil"/>
              <w:left w:val="nil"/>
              <w:bottom w:val="single" w:color="auto" w:sz="4" w:space="0"/>
              <w:right w:val="single" w:color="000000" w:sz="4" w:space="0"/>
            </w:tcBorders>
            <w:shd w:val="clear" w:color="000000" w:fill="auto"/>
            <w:noWrap w:val="0"/>
            <w:tcMar>
              <w:left w:w="15" w:type="dxa"/>
              <w:right w:w="15" w:type="dxa"/>
            </w:tcMar>
            <w:vAlign w:val="center"/>
          </w:tcPr>
          <w:p w14:paraId="3EDA5DE4">
            <w:pPr>
              <w:wordWrap w:val="0"/>
              <w:jc w:val="center"/>
              <w:rPr>
                <w:rFonts w:ascii="宋体" w:hAnsi="宋体"/>
                <w:color w:val="000000"/>
                <w:sz w:val="20"/>
                <w:szCs w:val="20"/>
              </w:rPr>
            </w:pPr>
            <w:r>
              <w:rPr>
                <w:rFonts w:ascii="Calibri" w:hAnsi="宋体"/>
                <w:color w:val="000000"/>
                <w:sz w:val="20"/>
                <w:szCs w:val="20"/>
              </w:rPr>
              <w:t>合价</w:t>
            </w:r>
          </w:p>
        </w:tc>
      </w:tr>
      <w:tr w14:paraId="193509F4">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5ED4A6D2">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50A1605">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64758C4">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9C5D506">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F207C40">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520E2EC">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C64D953">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6A9BBA3">
            <w:pPr>
              <w:wordWrap w:val="0"/>
              <w:jc w:val="right"/>
              <w:rPr>
                <w:rFonts w:ascii="宋体" w:hAnsi="宋体"/>
                <w:color w:val="000000"/>
                <w:sz w:val="18"/>
                <w:szCs w:val="18"/>
              </w:rPr>
            </w:pPr>
            <w:r>
              <w:rPr>
                <w:rFonts w:ascii="Calibri" w:hAnsi="宋体"/>
                <w:color w:val="000000"/>
                <w:sz w:val="18"/>
                <w:szCs w:val="18"/>
              </w:rPr>
              <w:t xml:space="preserve"> </w:t>
            </w:r>
          </w:p>
        </w:tc>
      </w:tr>
      <w:tr w14:paraId="7E7E0898">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563563AF">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7CCCC9B">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84A1B64">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CC6C42B">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4DDA174">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6E7FE8E">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AD506B4">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E61F191">
            <w:pPr>
              <w:wordWrap w:val="0"/>
              <w:jc w:val="right"/>
              <w:rPr>
                <w:rFonts w:ascii="宋体" w:hAnsi="宋体"/>
                <w:color w:val="000000"/>
                <w:sz w:val="18"/>
                <w:szCs w:val="18"/>
              </w:rPr>
            </w:pPr>
            <w:r>
              <w:rPr>
                <w:rFonts w:ascii="Calibri" w:hAnsi="宋体"/>
                <w:color w:val="000000"/>
                <w:sz w:val="18"/>
                <w:szCs w:val="18"/>
              </w:rPr>
              <w:t xml:space="preserve"> </w:t>
            </w:r>
          </w:p>
        </w:tc>
      </w:tr>
      <w:tr w14:paraId="014806E2">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29530782">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ABC070E">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85270A4">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CEB3778">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B7F94EB">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5B71AF3">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F8B49C4">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A18ACBF">
            <w:pPr>
              <w:wordWrap w:val="0"/>
              <w:jc w:val="right"/>
              <w:rPr>
                <w:rFonts w:ascii="宋体" w:hAnsi="宋体"/>
                <w:color w:val="000000"/>
                <w:sz w:val="18"/>
                <w:szCs w:val="18"/>
              </w:rPr>
            </w:pPr>
            <w:r>
              <w:rPr>
                <w:rFonts w:ascii="Calibri" w:hAnsi="宋体"/>
                <w:color w:val="000000"/>
                <w:sz w:val="18"/>
                <w:szCs w:val="18"/>
              </w:rPr>
              <w:t xml:space="preserve"> </w:t>
            </w:r>
          </w:p>
        </w:tc>
      </w:tr>
      <w:tr w14:paraId="3D9F331D">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281C943A">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34F493C">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7713FF4">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86703D6">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DCC19CB">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F4A02E6">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182C0F7">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169CB0F">
            <w:pPr>
              <w:wordWrap w:val="0"/>
              <w:jc w:val="right"/>
              <w:rPr>
                <w:rFonts w:ascii="宋体" w:hAnsi="宋体"/>
                <w:color w:val="000000"/>
                <w:sz w:val="18"/>
                <w:szCs w:val="18"/>
              </w:rPr>
            </w:pPr>
            <w:r>
              <w:rPr>
                <w:rFonts w:ascii="Calibri" w:hAnsi="宋体"/>
                <w:color w:val="000000"/>
                <w:sz w:val="18"/>
                <w:szCs w:val="18"/>
              </w:rPr>
              <w:t xml:space="preserve"> </w:t>
            </w:r>
          </w:p>
        </w:tc>
      </w:tr>
      <w:tr w14:paraId="1CF8E00A">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68979CCA">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9F46E88">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122B702F">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0338719">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D16E949">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3CE8078">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FE1E67E">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DC5FF97">
            <w:pPr>
              <w:wordWrap w:val="0"/>
              <w:jc w:val="right"/>
              <w:rPr>
                <w:rFonts w:ascii="宋体" w:hAnsi="宋体"/>
                <w:color w:val="000000"/>
                <w:sz w:val="18"/>
                <w:szCs w:val="18"/>
              </w:rPr>
            </w:pPr>
            <w:r>
              <w:rPr>
                <w:rFonts w:ascii="Calibri" w:hAnsi="宋体"/>
                <w:color w:val="000000"/>
                <w:sz w:val="18"/>
                <w:szCs w:val="18"/>
              </w:rPr>
              <w:t xml:space="preserve"> </w:t>
            </w:r>
          </w:p>
        </w:tc>
      </w:tr>
      <w:tr w14:paraId="3A2C9027">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34B5A8D3">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76EA16F">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A5D2D09">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1FA604A">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0328309">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3BFA488">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A73B511">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0CE96F1">
            <w:pPr>
              <w:wordWrap w:val="0"/>
              <w:jc w:val="right"/>
              <w:rPr>
                <w:rFonts w:ascii="宋体" w:hAnsi="宋体"/>
                <w:color w:val="000000"/>
                <w:sz w:val="18"/>
                <w:szCs w:val="18"/>
              </w:rPr>
            </w:pPr>
            <w:r>
              <w:rPr>
                <w:rFonts w:ascii="Calibri" w:hAnsi="宋体"/>
                <w:color w:val="000000"/>
                <w:sz w:val="18"/>
                <w:szCs w:val="18"/>
              </w:rPr>
              <w:t xml:space="preserve"> </w:t>
            </w:r>
          </w:p>
        </w:tc>
      </w:tr>
      <w:tr w14:paraId="14E0E351">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778F1AA9">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ACB472D">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80CC2D3">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5D78808">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53C0D75">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7DE2E03">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F861023">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2EE6081">
            <w:pPr>
              <w:wordWrap w:val="0"/>
              <w:jc w:val="right"/>
              <w:rPr>
                <w:rFonts w:ascii="宋体" w:hAnsi="宋体"/>
                <w:color w:val="000000"/>
                <w:sz w:val="18"/>
                <w:szCs w:val="18"/>
              </w:rPr>
            </w:pPr>
            <w:r>
              <w:rPr>
                <w:rFonts w:ascii="Calibri" w:hAnsi="宋体"/>
                <w:color w:val="000000"/>
                <w:sz w:val="18"/>
                <w:szCs w:val="18"/>
              </w:rPr>
              <w:t xml:space="preserve"> </w:t>
            </w:r>
          </w:p>
        </w:tc>
      </w:tr>
      <w:tr w14:paraId="77CBC2D6">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37DCC360">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46B0A5E">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357AE59">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C38F27B">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3F0BF70">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AC5348F">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1E2FCC38">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D79C577">
            <w:pPr>
              <w:wordWrap w:val="0"/>
              <w:jc w:val="right"/>
              <w:rPr>
                <w:rFonts w:ascii="宋体" w:hAnsi="宋体"/>
                <w:color w:val="000000"/>
                <w:sz w:val="18"/>
                <w:szCs w:val="18"/>
              </w:rPr>
            </w:pPr>
            <w:r>
              <w:rPr>
                <w:rFonts w:ascii="Calibri" w:hAnsi="宋体"/>
                <w:color w:val="000000"/>
                <w:sz w:val="18"/>
                <w:szCs w:val="18"/>
              </w:rPr>
              <w:t xml:space="preserve"> </w:t>
            </w:r>
          </w:p>
        </w:tc>
      </w:tr>
      <w:tr w14:paraId="35D73683">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7D5FEC5E">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1F0692FD">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C7CB47A">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56AE249">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E3C28D7">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9221E0C">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B11B8A0">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60383FC">
            <w:pPr>
              <w:wordWrap w:val="0"/>
              <w:jc w:val="right"/>
              <w:rPr>
                <w:rFonts w:ascii="宋体" w:hAnsi="宋体"/>
                <w:color w:val="000000"/>
                <w:sz w:val="18"/>
                <w:szCs w:val="18"/>
              </w:rPr>
            </w:pPr>
            <w:r>
              <w:rPr>
                <w:rFonts w:ascii="Calibri" w:hAnsi="宋体"/>
                <w:color w:val="000000"/>
                <w:sz w:val="18"/>
                <w:szCs w:val="18"/>
              </w:rPr>
              <w:t xml:space="preserve"> </w:t>
            </w:r>
          </w:p>
        </w:tc>
      </w:tr>
      <w:tr w14:paraId="3DBCE55F">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0D10BFC0">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7EDE871">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5A4FE1B">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4688FAD">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2CF84BA">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66102F5">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21D95A0">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150692BF">
            <w:pPr>
              <w:wordWrap w:val="0"/>
              <w:jc w:val="right"/>
              <w:rPr>
                <w:rFonts w:ascii="宋体" w:hAnsi="宋体"/>
                <w:color w:val="000000"/>
                <w:sz w:val="18"/>
                <w:szCs w:val="18"/>
              </w:rPr>
            </w:pPr>
            <w:r>
              <w:rPr>
                <w:rFonts w:ascii="Calibri" w:hAnsi="宋体"/>
                <w:color w:val="000000"/>
                <w:sz w:val="18"/>
                <w:szCs w:val="18"/>
              </w:rPr>
              <w:t xml:space="preserve"> </w:t>
            </w:r>
          </w:p>
        </w:tc>
      </w:tr>
      <w:tr w14:paraId="2E532FD7">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1FEF1AFB">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0C5B929">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E8630F1">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55A9C9D">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1A06477">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74DA63A">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24E4822">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78E6F74">
            <w:pPr>
              <w:wordWrap w:val="0"/>
              <w:jc w:val="right"/>
              <w:rPr>
                <w:rFonts w:ascii="宋体" w:hAnsi="宋体"/>
                <w:color w:val="000000"/>
                <w:sz w:val="18"/>
                <w:szCs w:val="18"/>
              </w:rPr>
            </w:pPr>
            <w:r>
              <w:rPr>
                <w:rFonts w:ascii="Calibri" w:hAnsi="宋体"/>
                <w:color w:val="000000"/>
                <w:sz w:val="18"/>
                <w:szCs w:val="18"/>
              </w:rPr>
              <w:t xml:space="preserve"> </w:t>
            </w:r>
          </w:p>
        </w:tc>
      </w:tr>
      <w:tr w14:paraId="6CEBF03E">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719C400C">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F766230">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510633E">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164030F6">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130E7CF">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C3371EE">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0CBD550">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2832D86">
            <w:pPr>
              <w:wordWrap w:val="0"/>
              <w:jc w:val="right"/>
              <w:rPr>
                <w:rFonts w:ascii="宋体" w:hAnsi="宋体"/>
                <w:color w:val="000000"/>
                <w:sz w:val="18"/>
                <w:szCs w:val="18"/>
              </w:rPr>
            </w:pPr>
            <w:r>
              <w:rPr>
                <w:rFonts w:ascii="Calibri" w:hAnsi="宋体"/>
                <w:color w:val="000000"/>
                <w:sz w:val="18"/>
                <w:szCs w:val="18"/>
              </w:rPr>
              <w:t xml:space="preserve"> </w:t>
            </w:r>
          </w:p>
        </w:tc>
      </w:tr>
      <w:tr w14:paraId="54AD6EC1">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677FB7FB">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3F02482">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F165EAB">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781B274">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5959F74">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76C914E">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02A84B7">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4BCCF35">
            <w:pPr>
              <w:wordWrap w:val="0"/>
              <w:jc w:val="right"/>
              <w:rPr>
                <w:rFonts w:ascii="宋体" w:hAnsi="宋体"/>
                <w:color w:val="000000"/>
                <w:sz w:val="18"/>
                <w:szCs w:val="18"/>
              </w:rPr>
            </w:pPr>
            <w:r>
              <w:rPr>
                <w:rFonts w:ascii="Calibri" w:hAnsi="宋体"/>
                <w:color w:val="000000"/>
                <w:sz w:val="18"/>
                <w:szCs w:val="18"/>
              </w:rPr>
              <w:t xml:space="preserve"> </w:t>
            </w:r>
          </w:p>
        </w:tc>
      </w:tr>
      <w:tr w14:paraId="7403FF5F">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681E5401">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F6D06B5">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D844F87">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A5D997F">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4486733">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4978C9D">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1D9DE46">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1D31FD2D">
            <w:pPr>
              <w:wordWrap w:val="0"/>
              <w:jc w:val="right"/>
              <w:rPr>
                <w:rFonts w:ascii="宋体" w:hAnsi="宋体"/>
                <w:color w:val="000000"/>
                <w:sz w:val="18"/>
                <w:szCs w:val="18"/>
              </w:rPr>
            </w:pPr>
            <w:r>
              <w:rPr>
                <w:rFonts w:ascii="Calibri" w:hAnsi="宋体"/>
                <w:color w:val="000000"/>
                <w:sz w:val="18"/>
                <w:szCs w:val="18"/>
              </w:rPr>
              <w:t xml:space="preserve"> </w:t>
            </w:r>
          </w:p>
        </w:tc>
      </w:tr>
      <w:tr w14:paraId="284C7155">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2CFDC8A2">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3D78BE6">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D164350">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5235738">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1CFE53A">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3CCB879">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1596ED3">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A989B69">
            <w:pPr>
              <w:wordWrap w:val="0"/>
              <w:jc w:val="right"/>
              <w:rPr>
                <w:rFonts w:ascii="宋体" w:hAnsi="宋体"/>
                <w:color w:val="000000"/>
                <w:sz w:val="18"/>
                <w:szCs w:val="18"/>
              </w:rPr>
            </w:pPr>
            <w:r>
              <w:rPr>
                <w:rFonts w:ascii="Calibri" w:hAnsi="宋体"/>
                <w:color w:val="000000"/>
                <w:sz w:val="18"/>
                <w:szCs w:val="18"/>
              </w:rPr>
              <w:t xml:space="preserve"> </w:t>
            </w:r>
          </w:p>
        </w:tc>
      </w:tr>
      <w:tr w14:paraId="369A1641">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17B53A74">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A7FBC8D">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F801979">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D3769C3">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1856362A">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F8E0FD4">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99DF08B">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B08EE17">
            <w:pPr>
              <w:wordWrap w:val="0"/>
              <w:jc w:val="right"/>
              <w:rPr>
                <w:rFonts w:ascii="宋体" w:hAnsi="宋体"/>
                <w:color w:val="000000"/>
                <w:sz w:val="18"/>
                <w:szCs w:val="18"/>
              </w:rPr>
            </w:pPr>
            <w:r>
              <w:rPr>
                <w:rFonts w:ascii="Calibri" w:hAnsi="宋体"/>
                <w:color w:val="000000"/>
                <w:sz w:val="18"/>
                <w:szCs w:val="18"/>
              </w:rPr>
              <w:t xml:space="preserve"> </w:t>
            </w:r>
          </w:p>
        </w:tc>
      </w:tr>
      <w:tr w14:paraId="4DA5EDE2">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09006B76">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C9D3958">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21B69A8">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5197435">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468C29D">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48B01D6">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F137603">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46300181">
            <w:pPr>
              <w:wordWrap w:val="0"/>
              <w:jc w:val="right"/>
              <w:rPr>
                <w:rFonts w:ascii="宋体" w:hAnsi="宋体"/>
                <w:color w:val="000000"/>
                <w:sz w:val="18"/>
                <w:szCs w:val="18"/>
              </w:rPr>
            </w:pPr>
            <w:r>
              <w:rPr>
                <w:rFonts w:ascii="Calibri" w:hAnsi="宋体"/>
                <w:color w:val="000000"/>
                <w:sz w:val="18"/>
                <w:szCs w:val="18"/>
              </w:rPr>
              <w:t xml:space="preserve"> </w:t>
            </w:r>
          </w:p>
        </w:tc>
      </w:tr>
      <w:tr w14:paraId="5C8C8BF9">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79F1C283">
            <w:pPr>
              <w:wordWrap w:val="0"/>
              <w:jc w:val="center"/>
              <w:rPr>
                <w:rFonts w:ascii="宋体" w:hAnsi="宋体"/>
                <w:color w:val="000000"/>
                <w:sz w:val="18"/>
                <w:szCs w:val="18"/>
              </w:rPr>
            </w:pP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15CA6584">
            <w:pPr>
              <w:wordWrap w:val="0"/>
              <w:rPr>
                <w:rFonts w:ascii="宋体" w:hAnsi="宋体"/>
                <w:color w:val="000000"/>
                <w:sz w:val="18"/>
                <w:szCs w:val="18"/>
              </w:rPr>
            </w:pP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6D09FF3">
            <w:pPr>
              <w:wordWrap w:val="0"/>
              <w:rPr>
                <w:rFonts w:ascii="宋体" w:hAnsi="宋体"/>
                <w:color w:val="000000"/>
                <w:sz w:val="18"/>
                <w:szCs w:val="18"/>
              </w:rPr>
            </w:pP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FC7F150">
            <w:pPr>
              <w:wordWrap w:val="0"/>
              <w:rPr>
                <w:rFonts w:ascii="宋体" w:hAnsi="宋体"/>
                <w:color w:val="000000"/>
                <w:sz w:val="18"/>
                <w:szCs w:val="18"/>
              </w:rPr>
            </w:pP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838CD61">
            <w:pPr>
              <w:wordWrap w:val="0"/>
              <w:jc w:val="center"/>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6DA7560F">
            <w:pPr>
              <w:wordWrap w:val="0"/>
              <w:jc w:val="right"/>
              <w:rPr>
                <w:rFonts w:ascii="宋体" w:hAnsi="宋体"/>
                <w:color w:val="000000"/>
                <w:sz w:val="18"/>
                <w:szCs w:val="18"/>
              </w:rPr>
            </w:pP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1133B345">
            <w:pPr>
              <w:wordWrap w:val="0"/>
              <w:jc w:val="right"/>
              <w:rPr>
                <w:rFonts w:ascii="宋体" w:hAnsi="宋体"/>
                <w:color w:val="000000"/>
                <w:sz w:val="18"/>
                <w:szCs w:val="18"/>
              </w:rPr>
            </w:pPr>
            <w:r>
              <w:rPr>
                <w:rFonts w:ascii="Calibri" w:hAnsi="宋体"/>
                <w:color w:val="000000"/>
                <w:sz w:val="18"/>
                <w:szCs w:val="18"/>
              </w:rPr>
              <w:t xml:space="preserve">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7D7B8A8">
            <w:pPr>
              <w:wordWrap w:val="0"/>
              <w:jc w:val="right"/>
              <w:rPr>
                <w:rFonts w:ascii="宋体" w:hAnsi="宋体"/>
                <w:color w:val="000000"/>
                <w:sz w:val="18"/>
                <w:szCs w:val="18"/>
              </w:rPr>
            </w:pPr>
            <w:r>
              <w:rPr>
                <w:rFonts w:ascii="Calibri" w:hAnsi="宋体"/>
                <w:color w:val="000000"/>
                <w:sz w:val="18"/>
                <w:szCs w:val="18"/>
              </w:rPr>
              <w:t xml:space="preserve"> </w:t>
            </w:r>
          </w:p>
        </w:tc>
      </w:tr>
      <w:tr w14:paraId="17146BE6">
        <w:tblPrEx>
          <w:tblCellMar>
            <w:top w:w="0" w:type="dxa"/>
            <w:left w:w="0" w:type="dxa"/>
            <w:bottom w:w="0" w:type="dxa"/>
            <w:right w:w="0" w:type="dxa"/>
          </w:tblCellMar>
        </w:tblPrEx>
        <w:trPr>
          <w:trHeight w:val="454" w:hRule="atLeast"/>
          <w:jc w:val="center"/>
        </w:trPr>
        <w:tc>
          <w:tcPr>
            <w:tcW w:w="737" w:type="dxa"/>
            <w:tcBorders>
              <w:top w:val="nil"/>
              <w:left w:val="single" w:color="auto" w:sz="4" w:space="0"/>
              <w:bottom w:val="single" w:color="auto" w:sz="4" w:space="0"/>
              <w:right w:val="single" w:color="auto" w:sz="4" w:space="0"/>
            </w:tcBorders>
            <w:shd w:val="clear" w:color="000000" w:fill="auto"/>
            <w:noWrap w:val="0"/>
            <w:tcMar>
              <w:left w:w="15" w:type="dxa"/>
              <w:right w:w="15" w:type="dxa"/>
            </w:tcMar>
            <w:vAlign w:val="center"/>
          </w:tcPr>
          <w:p w14:paraId="01DFBCF1">
            <w:pPr>
              <w:wordWrap w:val="0"/>
              <w:rPr>
                <w:rFonts w:ascii="宋体" w:hAnsi="宋体"/>
                <w:color w:val="000000"/>
                <w:sz w:val="20"/>
                <w:szCs w:val="20"/>
              </w:rPr>
            </w:pPr>
            <w:r>
              <w:rPr>
                <w:rFonts w:ascii="Calibri" w:hAnsi="宋体"/>
                <w:color w:val="000000"/>
                <w:sz w:val="20"/>
                <w:szCs w:val="20"/>
              </w:rPr>
              <w:t>　</w:t>
            </w:r>
          </w:p>
        </w:tc>
        <w:tc>
          <w:tcPr>
            <w:tcW w:w="1275"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0290652">
            <w:pPr>
              <w:wordWrap w:val="0"/>
              <w:rPr>
                <w:rFonts w:ascii="宋体" w:hAnsi="宋体"/>
                <w:color w:val="000000"/>
                <w:sz w:val="20"/>
                <w:szCs w:val="20"/>
              </w:rPr>
            </w:pPr>
            <w:r>
              <w:rPr>
                <w:rFonts w:ascii="Calibri" w:hAnsi="宋体"/>
                <w:color w:val="000000"/>
                <w:sz w:val="20"/>
                <w:szCs w:val="20"/>
              </w:rPr>
              <w:t>　</w:t>
            </w:r>
          </w:p>
        </w:tc>
        <w:tc>
          <w:tcPr>
            <w:tcW w:w="24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E8D20A6">
            <w:pPr>
              <w:wordWrap w:val="0"/>
              <w:rPr>
                <w:rFonts w:ascii="宋体" w:hAnsi="宋体"/>
                <w:color w:val="000000"/>
                <w:sz w:val="20"/>
                <w:szCs w:val="20"/>
              </w:rPr>
            </w:pPr>
            <w:r>
              <w:rPr>
                <w:rFonts w:ascii="Calibri" w:hAnsi="宋体"/>
                <w:color w:val="000000"/>
                <w:sz w:val="20"/>
                <w:szCs w:val="20"/>
              </w:rPr>
              <w:t>　</w:t>
            </w:r>
          </w:p>
        </w:tc>
        <w:tc>
          <w:tcPr>
            <w:tcW w:w="1701"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2D2C41A3">
            <w:pPr>
              <w:wordWrap w:val="0"/>
              <w:rPr>
                <w:rFonts w:ascii="宋体" w:hAnsi="宋体"/>
                <w:color w:val="000000"/>
                <w:sz w:val="20"/>
                <w:szCs w:val="20"/>
              </w:rPr>
            </w:pPr>
            <w:r>
              <w:rPr>
                <w:rFonts w:ascii="Calibri" w:hAnsi="宋体"/>
                <w:color w:val="000000"/>
                <w:sz w:val="20"/>
                <w:szCs w:val="20"/>
              </w:rPr>
              <w:t>　</w:t>
            </w:r>
          </w:p>
        </w:tc>
        <w:tc>
          <w:tcPr>
            <w:tcW w:w="573"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FE72061">
            <w:pPr>
              <w:wordWrap w:val="0"/>
              <w:rPr>
                <w:rFonts w:ascii="宋体" w:hAnsi="宋体"/>
                <w:color w:val="000000"/>
                <w:sz w:val="20"/>
                <w:szCs w:val="20"/>
              </w:rPr>
            </w:pPr>
            <w:r>
              <w:rPr>
                <w:rFonts w:ascii="Calibri" w:hAnsi="宋体"/>
                <w:color w:val="000000"/>
                <w:sz w:val="20"/>
                <w:szCs w:val="20"/>
              </w:rPr>
              <w:t>　</w:t>
            </w: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011D1EDD">
            <w:pPr>
              <w:wordWrap w:val="0"/>
              <w:rPr>
                <w:rFonts w:ascii="宋体" w:hAnsi="宋体"/>
                <w:color w:val="000000"/>
                <w:sz w:val="20"/>
                <w:szCs w:val="20"/>
              </w:rPr>
            </w:pPr>
            <w:r>
              <w:rPr>
                <w:rFonts w:ascii="Calibri" w:hAnsi="宋体"/>
                <w:color w:val="000000"/>
                <w:sz w:val="20"/>
                <w:szCs w:val="20"/>
              </w:rPr>
              <w:t>　</w:t>
            </w:r>
          </w:p>
        </w:tc>
        <w:tc>
          <w:tcPr>
            <w:tcW w:w="709"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5679E4E5">
            <w:pPr>
              <w:wordWrap w:val="0"/>
              <w:rPr>
                <w:rFonts w:ascii="宋体" w:hAnsi="宋体"/>
                <w:color w:val="000000"/>
                <w:sz w:val="20"/>
                <w:szCs w:val="20"/>
              </w:rPr>
            </w:pPr>
            <w:r>
              <w:rPr>
                <w:rFonts w:ascii="Calibri" w:hAnsi="宋体"/>
                <w:color w:val="000000"/>
                <w:sz w:val="20"/>
                <w:szCs w:val="20"/>
              </w:rPr>
              <w:t>　</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1C18D753">
            <w:pPr>
              <w:wordWrap w:val="0"/>
              <w:rPr>
                <w:rFonts w:ascii="宋体" w:hAnsi="宋体"/>
                <w:color w:val="000000"/>
                <w:sz w:val="20"/>
                <w:szCs w:val="20"/>
              </w:rPr>
            </w:pPr>
            <w:r>
              <w:rPr>
                <w:rFonts w:ascii="Calibri" w:hAnsi="宋体"/>
                <w:color w:val="000000"/>
                <w:sz w:val="20"/>
                <w:szCs w:val="20"/>
              </w:rPr>
              <w:t>　</w:t>
            </w:r>
          </w:p>
        </w:tc>
      </w:tr>
      <w:tr w14:paraId="594D1BB3">
        <w:tblPrEx>
          <w:tblCellMar>
            <w:top w:w="0" w:type="dxa"/>
            <w:left w:w="0" w:type="dxa"/>
            <w:bottom w:w="0" w:type="dxa"/>
            <w:right w:w="0" w:type="dxa"/>
          </w:tblCellMar>
        </w:tblPrEx>
        <w:trPr>
          <w:trHeight w:val="379" w:hRule="atLeast"/>
          <w:jc w:val="center"/>
        </w:trPr>
        <w:tc>
          <w:tcPr>
            <w:tcW w:w="8114" w:type="dxa"/>
            <w:gridSpan w:val="7"/>
            <w:tcBorders>
              <w:top w:val="single" w:color="auto" w:sz="4" w:space="0"/>
              <w:left w:val="single" w:color="auto" w:sz="4" w:space="0"/>
              <w:bottom w:val="single" w:color="auto" w:sz="4" w:space="0"/>
              <w:right w:val="single" w:color="000000" w:sz="4" w:space="0"/>
            </w:tcBorders>
            <w:shd w:val="clear" w:color="000000" w:fill="auto"/>
            <w:noWrap w:val="0"/>
            <w:tcMar>
              <w:left w:w="15" w:type="dxa"/>
              <w:right w:w="15" w:type="dxa"/>
            </w:tcMar>
            <w:vAlign w:val="center"/>
          </w:tcPr>
          <w:p w14:paraId="57E513B5">
            <w:pPr>
              <w:wordWrap w:val="0"/>
              <w:jc w:val="center"/>
              <w:rPr>
                <w:rFonts w:ascii="宋体" w:hAnsi="宋体"/>
                <w:color w:val="000000"/>
                <w:sz w:val="20"/>
                <w:szCs w:val="20"/>
              </w:rPr>
            </w:pPr>
            <w:r>
              <w:rPr>
                <w:rFonts w:ascii="Calibri" w:hAnsi="宋体"/>
                <w:color w:val="000000"/>
                <w:sz w:val="20"/>
                <w:szCs w:val="20"/>
              </w:rPr>
              <w:t>本页小计</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39859FB6">
            <w:pPr>
              <w:wordWrap w:val="0"/>
              <w:jc w:val="right"/>
              <w:rPr>
                <w:rFonts w:ascii="宋体" w:hAnsi="宋体"/>
                <w:color w:val="000000"/>
                <w:sz w:val="20"/>
                <w:szCs w:val="20"/>
              </w:rPr>
            </w:pPr>
            <w:r>
              <w:rPr>
                <w:rFonts w:ascii="Calibri" w:hAnsi="宋体"/>
                <w:color w:val="000000"/>
                <w:sz w:val="20"/>
                <w:szCs w:val="20"/>
              </w:rPr>
              <w:t>　</w:t>
            </w:r>
          </w:p>
        </w:tc>
      </w:tr>
      <w:tr w14:paraId="373256F4">
        <w:tblPrEx>
          <w:tblCellMar>
            <w:top w:w="0" w:type="dxa"/>
            <w:left w:w="0" w:type="dxa"/>
            <w:bottom w:w="0" w:type="dxa"/>
            <w:right w:w="0" w:type="dxa"/>
          </w:tblCellMar>
        </w:tblPrEx>
        <w:trPr>
          <w:trHeight w:val="379" w:hRule="atLeast"/>
          <w:jc w:val="center"/>
        </w:trPr>
        <w:tc>
          <w:tcPr>
            <w:tcW w:w="8114" w:type="dxa"/>
            <w:gridSpan w:val="7"/>
            <w:tcBorders>
              <w:top w:val="single" w:color="auto" w:sz="4" w:space="0"/>
              <w:left w:val="single" w:color="auto" w:sz="4" w:space="0"/>
              <w:bottom w:val="single" w:color="auto" w:sz="4" w:space="0"/>
              <w:right w:val="single" w:color="000000" w:sz="4" w:space="0"/>
            </w:tcBorders>
            <w:shd w:val="clear" w:color="000000" w:fill="auto"/>
            <w:noWrap w:val="0"/>
            <w:tcMar>
              <w:left w:w="15" w:type="dxa"/>
              <w:right w:w="15" w:type="dxa"/>
            </w:tcMar>
            <w:vAlign w:val="center"/>
          </w:tcPr>
          <w:p w14:paraId="368F307F">
            <w:pPr>
              <w:wordWrap w:val="0"/>
              <w:jc w:val="center"/>
              <w:rPr>
                <w:rFonts w:ascii="宋体" w:hAnsi="宋体"/>
                <w:color w:val="000000"/>
                <w:sz w:val="18"/>
                <w:szCs w:val="18"/>
              </w:rPr>
            </w:pPr>
            <w:r>
              <w:rPr>
                <w:rFonts w:ascii="Calibri" w:hAnsi="宋体"/>
                <w:color w:val="000000"/>
                <w:sz w:val="18"/>
                <w:szCs w:val="18"/>
              </w:rPr>
              <w:t xml:space="preserve">   合  计</w:t>
            </w:r>
          </w:p>
        </w:tc>
        <w:tc>
          <w:tcPr>
            <w:tcW w:w="1110" w:type="dxa"/>
            <w:tcBorders>
              <w:top w:val="nil"/>
              <w:left w:val="nil"/>
              <w:bottom w:val="single" w:color="auto" w:sz="4" w:space="0"/>
              <w:right w:val="single" w:color="auto" w:sz="4" w:space="0"/>
            </w:tcBorders>
            <w:shd w:val="clear" w:color="000000" w:fill="auto"/>
            <w:noWrap w:val="0"/>
            <w:tcMar>
              <w:left w:w="15" w:type="dxa"/>
              <w:right w:w="15" w:type="dxa"/>
            </w:tcMar>
            <w:vAlign w:val="center"/>
          </w:tcPr>
          <w:p w14:paraId="72B71827">
            <w:pPr>
              <w:wordWrap w:val="0"/>
              <w:rPr>
                <w:rFonts w:ascii="宋体" w:hAnsi="宋体"/>
                <w:color w:val="000000"/>
                <w:sz w:val="20"/>
                <w:szCs w:val="20"/>
              </w:rPr>
            </w:pPr>
            <w:r>
              <w:rPr>
                <w:rFonts w:ascii="Calibri" w:hAnsi="宋体"/>
                <w:color w:val="000000"/>
                <w:sz w:val="20"/>
                <w:szCs w:val="20"/>
              </w:rPr>
              <w:t>　</w:t>
            </w:r>
          </w:p>
        </w:tc>
      </w:tr>
      <w:bookmarkEnd w:id="74"/>
      <w:bookmarkEnd w:id="75"/>
      <w:bookmarkEnd w:id="76"/>
      <w:bookmarkEnd w:id="77"/>
      <w:bookmarkEnd w:id="78"/>
      <w:bookmarkEnd w:id="79"/>
      <w:bookmarkEnd w:id="80"/>
    </w:tbl>
    <w:p w14:paraId="158F93BC">
      <w:pPr>
        <w:rPr>
          <w:rFonts w:hint="eastAsia" w:ascii="黑体" w:hAnsi="黑体" w:eastAsia="黑体" w:cs="黑体"/>
          <w:sz w:val="32"/>
          <w:szCs w:val="32"/>
        </w:rPr>
      </w:pPr>
      <w:r>
        <w:rPr>
          <w:rFonts w:hint="eastAsia" w:ascii="黑体" w:hAnsi="黑体" w:eastAsia="黑体" w:cs="黑体"/>
          <w:sz w:val="32"/>
          <w:szCs w:val="32"/>
        </w:rPr>
        <w:br w:type="page"/>
      </w:r>
    </w:p>
    <w:p w14:paraId="72CC0F0D">
      <w:pPr>
        <w:pStyle w:val="4"/>
        <w:jc w:val="center"/>
        <w:rPr>
          <w:rFonts w:ascii="华文新魏" w:hAnsi="MS Sans Serif" w:eastAsia="华文新魏"/>
          <w:b/>
          <w:bCs/>
          <w:kern w:val="0"/>
          <w:sz w:val="48"/>
          <w:szCs w:val="46"/>
        </w:rPr>
      </w:pPr>
      <w:bookmarkStart w:id="81" w:name="_Toc5098"/>
      <w:r>
        <w:rPr>
          <w:rFonts w:hint="eastAsia" w:ascii="黑体" w:hAnsi="宋体" w:eastAsia="黑体" w:cs="Times New Roman"/>
          <w:b w:val="0"/>
          <w:kern w:val="0"/>
          <w:sz w:val="24"/>
          <w:lang w:eastAsia="zh-CN"/>
        </w:rPr>
        <w:t>三、拟采用设备（材料）的性能（节能环保情况）、档次及质量可靠性</w:t>
      </w:r>
      <w:bookmarkEnd w:id="81"/>
    </w:p>
    <w:p w14:paraId="4D9034A4">
      <w:pPr>
        <w:spacing w:line="560" w:lineRule="exact"/>
        <w:jc w:val="center"/>
        <w:rPr>
          <w:rFonts w:hint="eastAsia" w:ascii="方正小标宋简体" w:hAnsi="方正小标宋简体" w:eastAsia="方正小标宋简体" w:cs="方正小标宋简体"/>
          <w:sz w:val="44"/>
          <w:szCs w:val="44"/>
          <w:u w:val="none"/>
        </w:rPr>
      </w:pPr>
      <w:r>
        <w:rPr>
          <w:rFonts w:hint="eastAsia" w:ascii="方正小标宋简体" w:hAnsi="方正小标宋简体" w:eastAsia="方正小标宋简体" w:cs="方正小标宋简体"/>
          <w:sz w:val="44"/>
          <w:szCs w:val="44"/>
          <w:u w:val="none"/>
        </w:rPr>
        <w:t>拟采用材料品牌表</w:t>
      </w:r>
    </w:p>
    <w:tbl>
      <w:tblPr>
        <w:tblStyle w:val="17"/>
        <w:tblW w:w="9090" w:type="dxa"/>
        <w:tblInd w:w="93" w:type="dxa"/>
        <w:tblLayout w:type="fixed"/>
        <w:tblCellMar>
          <w:top w:w="0" w:type="dxa"/>
          <w:left w:w="108" w:type="dxa"/>
          <w:bottom w:w="0" w:type="dxa"/>
          <w:right w:w="108" w:type="dxa"/>
        </w:tblCellMar>
      </w:tblPr>
      <w:tblGrid>
        <w:gridCol w:w="555"/>
        <w:gridCol w:w="2835"/>
        <w:gridCol w:w="2850"/>
        <w:gridCol w:w="2850"/>
      </w:tblGrid>
      <w:tr w14:paraId="17CCD0E4">
        <w:tblPrEx>
          <w:tblCellMar>
            <w:top w:w="0" w:type="dxa"/>
            <w:left w:w="108" w:type="dxa"/>
            <w:bottom w:w="0" w:type="dxa"/>
            <w:right w:w="108" w:type="dxa"/>
          </w:tblCellMar>
        </w:tblPrEx>
        <w:trPr>
          <w:trHeight w:val="445" w:hRule="atLeast"/>
        </w:trPr>
        <w:tc>
          <w:tcPr>
            <w:tcW w:w="555" w:type="dxa"/>
            <w:tcBorders>
              <w:top w:val="single" w:color="auto" w:sz="8" w:space="0"/>
              <w:left w:val="single" w:color="auto" w:sz="8" w:space="0"/>
              <w:bottom w:val="single" w:color="auto" w:sz="4" w:space="0"/>
              <w:right w:val="single" w:color="auto" w:sz="4" w:space="0"/>
            </w:tcBorders>
            <w:noWrap w:val="0"/>
            <w:vAlign w:val="center"/>
          </w:tcPr>
          <w:p w14:paraId="63DB1364">
            <w:pPr>
              <w:widowControl/>
              <w:jc w:val="center"/>
              <w:rPr>
                <w:b/>
                <w:bCs/>
                <w:kern w:val="0"/>
                <w:szCs w:val="21"/>
              </w:rPr>
            </w:pPr>
            <w:r>
              <w:rPr>
                <w:b/>
                <w:bCs/>
                <w:kern w:val="0"/>
                <w:szCs w:val="21"/>
              </w:rPr>
              <w:t>序号</w:t>
            </w:r>
          </w:p>
        </w:tc>
        <w:tc>
          <w:tcPr>
            <w:tcW w:w="2835" w:type="dxa"/>
            <w:tcBorders>
              <w:top w:val="single" w:color="auto" w:sz="8" w:space="0"/>
              <w:left w:val="nil"/>
              <w:bottom w:val="single" w:color="auto" w:sz="4" w:space="0"/>
              <w:right w:val="single" w:color="auto" w:sz="4" w:space="0"/>
            </w:tcBorders>
            <w:noWrap w:val="0"/>
            <w:vAlign w:val="center"/>
          </w:tcPr>
          <w:p w14:paraId="3FD376CA">
            <w:pPr>
              <w:widowControl/>
              <w:jc w:val="center"/>
              <w:rPr>
                <w:b/>
                <w:bCs/>
                <w:kern w:val="0"/>
                <w:szCs w:val="21"/>
              </w:rPr>
            </w:pPr>
            <w:r>
              <w:rPr>
                <w:b/>
                <w:bCs/>
                <w:kern w:val="0"/>
                <w:szCs w:val="21"/>
              </w:rPr>
              <w:t>名称</w:t>
            </w:r>
          </w:p>
        </w:tc>
        <w:tc>
          <w:tcPr>
            <w:tcW w:w="2850" w:type="dxa"/>
            <w:tcBorders>
              <w:top w:val="single" w:color="auto" w:sz="8" w:space="0"/>
              <w:left w:val="nil"/>
              <w:bottom w:val="single" w:color="auto" w:sz="4" w:space="0"/>
              <w:right w:val="single" w:color="auto" w:sz="4" w:space="0"/>
            </w:tcBorders>
            <w:noWrap w:val="0"/>
            <w:vAlign w:val="center"/>
          </w:tcPr>
          <w:p w14:paraId="4BD7C82E">
            <w:pPr>
              <w:widowControl/>
              <w:jc w:val="center"/>
              <w:rPr>
                <w:rFonts w:hint="eastAsia" w:eastAsia="宋体"/>
                <w:b/>
                <w:bCs/>
                <w:kern w:val="0"/>
                <w:szCs w:val="21"/>
                <w:lang w:eastAsia="zh-CN"/>
              </w:rPr>
            </w:pPr>
            <w:r>
              <w:rPr>
                <w:rFonts w:hint="eastAsia"/>
                <w:b/>
                <w:bCs/>
                <w:kern w:val="0"/>
                <w:szCs w:val="21"/>
                <w:lang w:eastAsia="zh-CN"/>
              </w:rPr>
              <w:t>品牌</w:t>
            </w:r>
          </w:p>
        </w:tc>
        <w:tc>
          <w:tcPr>
            <w:tcW w:w="2850" w:type="dxa"/>
            <w:tcBorders>
              <w:top w:val="single" w:color="auto" w:sz="8" w:space="0"/>
              <w:left w:val="nil"/>
              <w:bottom w:val="single" w:color="auto" w:sz="4" w:space="0"/>
              <w:right w:val="single" w:color="auto" w:sz="4" w:space="0"/>
            </w:tcBorders>
            <w:noWrap w:val="0"/>
            <w:vAlign w:val="center"/>
          </w:tcPr>
          <w:p w14:paraId="74DD0DEC">
            <w:pPr>
              <w:widowControl/>
              <w:jc w:val="center"/>
              <w:rPr>
                <w:rFonts w:hint="eastAsia" w:eastAsia="宋体"/>
                <w:b/>
                <w:bCs/>
                <w:kern w:val="0"/>
                <w:szCs w:val="21"/>
                <w:lang w:eastAsia="zh-CN"/>
              </w:rPr>
            </w:pPr>
            <w:r>
              <w:rPr>
                <w:rFonts w:hint="eastAsia"/>
                <w:b/>
                <w:bCs/>
                <w:kern w:val="0"/>
                <w:szCs w:val="21"/>
                <w:lang w:eastAsia="zh-CN"/>
              </w:rPr>
              <w:t>备注</w:t>
            </w:r>
          </w:p>
        </w:tc>
      </w:tr>
      <w:tr w14:paraId="43F36B82">
        <w:tblPrEx>
          <w:tblCellMar>
            <w:top w:w="0" w:type="dxa"/>
            <w:left w:w="108" w:type="dxa"/>
            <w:bottom w:w="0" w:type="dxa"/>
            <w:right w:w="108" w:type="dxa"/>
          </w:tblCellMar>
        </w:tblPrEx>
        <w:trPr>
          <w:trHeight w:val="427" w:hRule="atLeast"/>
        </w:trPr>
        <w:tc>
          <w:tcPr>
            <w:tcW w:w="555" w:type="dxa"/>
            <w:tcBorders>
              <w:top w:val="nil"/>
              <w:left w:val="single" w:color="auto" w:sz="8" w:space="0"/>
              <w:bottom w:val="single" w:color="auto" w:sz="4" w:space="0"/>
              <w:right w:val="single" w:color="auto" w:sz="4" w:space="0"/>
            </w:tcBorders>
            <w:noWrap w:val="0"/>
            <w:vAlign w:val="top"/>
          </w:tcPr>
          <w:p w14:paraId="783D674A">
            <w:pPr>
              <w:autoSpaceDE w:val="0"/>
              <w:autoSpaceDN w:val="0"/>
              <w:jc w:val="center"/>
              <w:rPr>
                <w:szCs w:val="21"/>
              </w:rPr>
            </w:pPr>
            <w:r>
              <w:rPr>
                <w:szCs w:val="21"/>
              </w:rPr>
              <w:t>1</w:t>
            </w:r>
          </w:p>
        </w:tc>
        <w:tc>
          <w:tcPr>
            <w:tcW w:w="2835" w:type="dxa"/>
            <w:tcBorders>
              <w:top w:val="nil"/>
              <w:left w:val="nil"/>
              <w:bottom w:val="single" w:color="auto" w:sz="4" w:space="0"/>
              <w:right w:val="single" w:color="auto" w:sz="4" w:space="0"/>
            </w:tcBorders>
            <w:shd w:val="clear" w:color="auto" w:fill="auto"/>
            <w:noWrap w:val="0"/>
            <w:vAlign w:val="center"/>
          </w:tcPr>
          <w:p w14:paraId="1B74F368">
            <w:pPr>
              <w:autoSpaceDE w:val="0"/>
              <w:autoSpaceDN w:val="0"/>
              <w:jc w:val="center"/>
              <w:rPr>
                <w:rFonts w:hint="eastAsia" w:ascii="Calibri" w:hAnsi="Calibri" w:eastAsia="宋体" w:cs="Times New Roman"/>
                <w:kern w:val="2"/>
                <w:sz w:val="21"/>
                <w:szCs w:val="21"/>
                <w:highlight w:val="none"/>
                <w:lang w:val="en-US" w:eastAsia="zh-CN" w:bidi="ar-SA"/>
              </w:rPr>
            </w:pPr>
            <w:r>
              <w:rPr>
                <w:rFonts w:hint="eastAsia"/>
                <w:szCs w:val="21"/>
                <w:highlight w:val="none"/>
                <w:lang w:eastAsia="zh-CN"/>
              </w:rPr>
              <w:t>钢结构</w:t>
            </w:r>
          </w:p>
        </w:tc>
        <w:tc>
          <w:tcPr>
            <w:tcW w:w="2850" w:type="dxa"/>
            <w:tcBorders>
              <w:top w:val="nil"/>
              <w:left w:val="nil"/>
              <w:bottom w:val="single" w:color="auto" w:sz="4" w:space="0"/>
              <w:right w:val="single" w:color="auto" w:sz="4" w:space="0"/>
            </w:tcBorders>
            <w:noWrap w:val="0"/>
            <w:vAlign w:val="center"/>
          </w:tcPr>
          <w:p w14:paraId="09ACB3CF">
            <w:pPr>
              <w:autoSpaceDE w:val="0"/>
              <w:autoSpaceDN w:val="0"/>
              <w:jc w:val="center"/>
              <w:rPr>
                <w:rFonts w:hint="eastAsia"/>
                <w:szCs w:val="21"/>
              </w:rPr>
            </w:pPr>
          </w:p>
        </w:tc>
        <w:tc>
          <w:tcPr>
            <w:tcW w:w="2850" w:type="dxa"/>
            <w:tcBorders>
              <w:top w:val="nil"/>
              <w:left w:val="nil"/>
              <w:bottom w:val="single" w:color="auto" w:sz="4" w:space="0"/>
              <w:right w:val="single" w:color="auto" w:sz="4" w:space="0"/>
            </w:tcBorders>
            <w:noWrap w:val="0"/>
            <w:vAlign w:val="center"/>
          </w:tcPr>
          <w:p w14:paraId="2B45B299">
            <w:pPr>
              <w:autoSpaceDE w:val="0"/>
              <w:autoSpaceDN w:val="0"/>
              <w:jc w:val="center"/>
              <w:rPr>
                <w:rFonts w:hint="eastAsia"/>
                <w:szCs w:val="21"/>
              </w:rPr>
            </w:pPr>
          </w:p>
        </w:tc>
      </w:tr>
      <w:tr w14:paraId="63FDD87F">
        <w:tblPrEx>
          <w:tblCellMar>
            <w:top w:w="0" w:type="dxa"/>
            <w:left w:w="108" w:type="dxa"/>
            <w:bottom w:w="0" w:type="dxa"/>
            <w:right w:w="108" w:type="dxa"/>
          </w:tblCellMar>
        </w:tblPrEx>
        <w:trPr>
          <w:trHeight w:val="427" w:hRule="atLeast"/>
        </w:trPr>
        <w:tc>
          <w:tcPr>
            <w:tcW w:w="555" w:type="dxa"/>
            <w:tcBorders>
              <w:top w:val="single" w:color="auto" w:sz="4" w:space="0"/>
              <w:left w:val="single" w:color="auto" w:sz="8" w:space="0"/>
              <w:bottom w:val="single" w:color="auto" w:sz="4" w:space="0"/>
              <w:right w:val="single" w:color="auto" w:sz="4" w:space="0"/>
            </w:tcBorders>
            <w:noWrap w:val="0"/>
            <w:vAlign w:val="top"/>
          </w:tcPr>
          <w:p w14:paraId="50228FEA">
            <w:pPr>
              <w:autoSpaceDE w:val="0"/>
              <w:autoSpaceDN w:val="0"/>
              <w:jc w:val="center"/>
              <w:rPr>
                <w:szCs w:val="21"/>
              </w:rPr>
            </w:pPr>
            <w:r>
              <w:rPr>
                <w:szCs w:val="21"/>
              </w:rPr>
              <w:t>2</w:t>
            </w:r>
          </w:p>
        </w:tc>
        <w:tc>
          <w:tcPr>
            <w:tcW w:w="2835" w:type="dxa"/>
            <w:tcBorders>
              <w:top w:val="single" w:color="auto" w:sz="4" w:space="0"/>
              <w:left w:val="nil"/>
              <w:bottom w:val="single" w:color="auto" w:sz="4" w:space="0"/>
              <w:right w:val="single" w:color="auto" w:sz="4" w:space="0"/>
            </w:tcBorders>
            <w:shd w:val="clear" w:color="auto" w:fill="auto"/>
            <w:noWrap w:val="0"/>
            <w:vAlign w:val="center"/>
          </w:tcPr>
          <w:p w14:paraId="602E9D7F">
            <w:pPr>
              <w:autoSpaceDE w:val="0"/>
              <w:autoSpaceDN w:val="0"/>
              <w:jc w:val="center"/>
              <w:rPr>
                <w:rFonts w:hint="eastAsia" w:ascii="Calibri" w:hAnsi="Calibri" w:eastAsia="宋体" w:cs="Times New Roman"/>
                <w:kern w:val="2"/>
                <w:sz w:val="21"/>
                <w:szCs w:val="21"/>
                <w:highlight w:val="none"/>
                <w:lang w:val="en-US" w:eastAsia="zh-CN" w:bidi="ar-SA"/>
              </w:rPr>
            </w:pPr>
            <w:r>
              <w:rPr>
                <w:rFonts w:hint="eastAsia"/>
                <w:szCs w:val="21"/>
                <w:highlight w:val="none"/>
                <w:lang w:eastAsia="zh-CN"/>
              </w:rPr>
              <w:t>钢构件</w:t>
            </w:r>
          </w:p>
        </w:tc>
        <w:tc>
          <w:tcPr>
            <w:tcW w:w="2850" w:type="dxa"/>
            <w:tcBorders>
              <w:top w:val="single" w:color="auto" w:sz="4" w:space="0"/>
              <w:left w:val="nil"/>
              <w:bottom w:val="single" w:color="auto" w:sz="4" w:space="0"/>
              <w:right w:val="single" w:color="auto" w:sz="4" w:space="0"/>
            </w:tcBorders>
            <w:noWrap w:val="0"/>
            <w:vAlign w:val="center"/>
          </w:tcPr>
          <w:p w14:paraId="4F284E2C">
            <w:pPr>
              <w:autoSpaceDE w:val="0"/>
              <w:autoSpaceDN w:val="0"/>
              <w:jc w:val="center"/>
              <w:rPr>
                <w:rFonts w:hint="eastAsia"/>
                <w:szCs w:val="21"/>
              </w:rPr>
            </w:pPr>
          </w:p>
        </w:tc>
        <w:tc>
          <w:tcPr>
            <w:tcW w:w="2850" w:type="dxa"/>
            <w:tcBorders>
              <w:top w:val="single" w:color="auto" w:sz="4" w:space="0"/>
              <w:left w:val="nil"/>
              <w:bottom w:val="single" w:color="auto" w:sz="4" w:space="0"/>
              <w:right w:val="single" w:color="auto" w:sz="4" w:space="0"/>
            </w:tcBorders>
            <w:noWrap w:val="0"/>
            <w:vAlign w:val="center"/>
          </w:tcPr>
          <w:p w14:paraId="3C92F75D">
            <w:pPr>
              <w:autoSpaceDE w:val="0"/>
              <w:autoSpaceDN w:val="0"/>
              <w:jc w:val="center"/>
              <w:rPr>
                <w:rFonts w:hint="eastAsia"/>
                <w:szCs w:val="21"/>
              </w:rPr>
            </w:pPr>
          </w:p>
        </w:tc>
      </w:tr>
      <w:tr w14:paraId="12C9AFCA">
        <w:tblPrEx>
          <w:tblCellMar>
            <w:top w:w="0" w:type="dxa"/>
            <w:left w:w="108" w:type="dxa"/>
            <w:bottom w:w="0" w:type="dxa"/>
            <w:right w:w="108" w:type="dxa"/>
          </w:tblCellMar>
        </w:tblPrEx>
        <w:trPr>
          <w:trHeight w:val="427" w:hRule="atLeast"/>
        </w:trPr>
        <w:tc>
          <w:tcPr>
            <w:tcW w:w="555" w:type="dxa"/>
            <w:tcBorders>
              <w:top w:val="single" w:color="auto" w:sz="4" w:space="0"/>
              <w:left w:val="single" w:color="auto" w:sz="4" w:space="0"/>
              <w:bottom w:val="single" w:color="auto" w:sz="4" w:space="0"/>
              <w:right w:val="single" w:color="auto" w:sz="4" w:space="0"/>
            </w:tcBorders>
            <w:noWrap w:val="0"/>
            <w:vAlign w:val="top"/>
          </w:tcPr>
          <w:p w14:paraId="5D256FBF">
            <w:pPr>
              <w:autoSpaceDE w:val="0"/>
              <w:autoSpaceDN w:val="0"/>
              <w:jc w:val="center"/>
              <w:rPr>
                <w:szCs w:val="21"/>
              </w:rPr>
            </w:pPr>
            <w:r>
              <w:rPr>
                <w:szCs w:val="21"/>
              </w:rPr>
              <w:t>3</w:t>
            </w:r>
          </w:p>
        </w:tc>
        <w:tc>
          <w:tcPr>
            <w:tcW w:w="28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95E0AD">
            <w:pPr>
              <w:autoSpaceDE w:val="0"/>
              <w:autoSpaceDN w:val="0"/>
              <w:jc w:val="center"/>
              <w:rPr>
                <w:rFonts w:hint="eastAsia" w:ascii="Calibri" w:hAnsi="Calibri" w:eastAsia="宋体" w:cs="Times New Roman"/>
                <w:kern w:val="2"/>
                <w:sz w:val="21"/>
                <w:szCs w:val="21"/>
                <w:highlight w:val="none"/>
                <w:lang w:val="en-US" w:eastAsia="zh-CN" w:bidi="ar-SA"/>
              </w:rPr>
            </w:pPr>
            <w:r>
              <w:rPr>
                <w:rFonts w:hint="eastAsia"/>
                <w:szCs w:val="21"/>
                <w:highlight w:val="none"/>
                <w:lang w:eastAsia="zh-CN"/>
              </w:rPr>
              <w:t>玻璃雨棚</w:t>
            </w:r>
          </w:p>
        </w:tc>
        <w:tc>
          <w:tcPr>
            <w:tcW w:w="2850" w:type="dxa"/>
            <w:tcBorders>
              <w:top w:val="single" w:color="auto" w:sz="4" w:space="0"/>
              <w:left w:val="single" w:color="auto" w:sz="4" w:space="0"/>
              <w:bottom w:val="single" w:color="auto" w:sz="4" w:space="0"/>
              <w:right w:val="single" w:color="auto" w:sz="4" w:space="0"/>
            </w:tcBorders>
            <w:noWrap w:val="0"/>
            <w:vAlign w:val="center"/>
          </w:tcPr>
          <w:p w14:paraId="2A4CE902">
            <w:pPr>
              <w:autoSpaceDE w:val="0"/>
              <w:autoSpaceDN w:val="0"/>
              <w:jc w:val="center"/>
              <w:rPr>
                <w:rFonts w:hint="eastAsia"/>
                <w:szCs w:val="21"/>
                <w:lang w:eastAsia="zh-CN"/>
              </w:rPr>
            </w:pPr>
          </w:p>
        </w:tc>
        <w:tc>
          <w:tcPr>
            <w:tcW w:w="2850" w:type="dxa"/>
            <w:tcBorders>
              <w:top w:val="single" w:color="auto" w:sz="4" w:space="0"/>
              <w:left w:val="single" w:color="auto" w:sz="4" w:space="0"/>
              <w:bottom w:val="single" w:color="auto" w:sz="4" w:space="0"/>
              <w:right w:val="single" w:color="auto" w:sz="4" w:space="0"/>
            </w:tcBorders>
            <w:noWrap w:val="0"/>
            <w:vAlign w:val="center"/>
          </w:tcPr>
          <w:p w14:paraId="437ABE50">
            <w:pPr>
              <w:autoSpaceDE w:val="0"/>
              <w:autoSpaceDN w:val="0"/>
              <w:jc w:val="center"/>
              <w:rPr>
                <w:rFonts w:hint="eastAsia"/>
                <w:szCs w:val="21"/>
                <w:lang w:eastAsia="zh-CN"/>
              </w:rPr>
            </w:pPr>
          </w:p>
        </w:tc>
      </w:tr>
      <w:tr w14:paraId="1C0A3207">
        <w:tblPrEx>
          <w:tblCellMar>
            <w:top w:w="0" w:type="dxa"/>
            <w:left w:w="108" w:type="dxa"/>
            <w:bottom w:w="0" w:type="dxa"/>
            <w:right w:w="108" w:type="dxa"/>
          </w:tblCellMar>
        </w:tblPrEx>
        <w:trPr>
          <w:trHeight w:val="427" w:hRule="atLeast"/>
        </w:trPr>
        <w:tc>
          <w:tcPr>
            <w:tcW w:w="555" w:type="dxa"/>
            <w:tcBorders>
              <w:top w:val="single" w:color="auto" w:sz="4" w:space="0"/>
              <w:left w:val="single" w:color="auto" w:sz="4" w:space="0"/>
              <w:bottom w:val="single" w:color="auto" w:sz="4" w:space="0"/>
              <w:right w:val="single" w:color="auto" w:sz="4" w:space="0"/>
            </w:tcBorders>
            <w:noWrap w:val="0"/>
            <w:vAlign w:val="top"/>
          </w:tcPr>
          <w:p w14:paraId="158FC8EA">
            <w:pPr>
              <w:autoSpaceDE w:val="0"/>
              <w:autoSpaceDN w:val="0"/>
              <w:jc w:val="center"/>
              <w:rPr>
                <w:rFonts w:ascii="Calibri" w:hAnsi="Calibri" w:eastAsia="宋体" w:cs="Times New Roman"/>
                <w:kern w:val="2"/>
                <w:sz w:val="21"/>
                <w:szCs w:val="21"/>
                <w:lang w:val="en-US" w:eastAsia="zh-CN" w:bidi="ar-SA"/>
              </w:rPr>
            </w:pPr>
            <w:r>
              <w:rPr>
                <w:szCs w:val="21"/>
              </w:rPr>
              <w:t>4</w:t>
            </w:r>
          </w:p>
        </w:tc>
        <w:tc>
          <w:tcPr>
            <w:tcW w:w="28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B02CF2">
            <w:pPr>
              <w:autoSpaceDE w:val="0"/>
              <w:autoSpaceDN w:val="0"/>
              <w:jc w:val="center"/>
              <w:rPr>
                <w:rFonts w:hint="eastAsia" w:ascii="Calibri" w:hAnsi="Calibri" w:eastAsia="宋体" w:cs="Times New Roman"/>
                <w:kern w:val="2"/>
                <w:sz w:val="21"/>
                <w:szCs w:val="21"/>
                <w:highlight w:val="none"/>
                <w:lang w:val="en-US" w:eastAsia="zh-CN" w:bidi="ar-SA"/>
              </w:rPr>
            </w:pPr>
            <w:r>
              <w:rPr>
                <w:rFonts w:hint="eastAsia"/>
                <w:szCs w:val="21"/>
                <w:highlight w:val="none"/>
                <w:lang w:eastAsia="zh-CN"/>
              </w:rPr>
              <w:t>玻璃隔断</w:t>
            </w:r>
          </w:p>
        </w:tc>
        <w:tc>
          <w:tcPr>
            <w:tcW w:w="2850" w:type="dxa"/>
            <w:tcBorders>
              <w:top w:val="single" w:color="auto" w:sz="4" w:space="0"/>
              <w:left w:val="single" w:color="auto" w:sz="4" w:space="0"/>
              <w:bottom w:val="single" w:color="auto" w:sz="4" w:space="0"/>
              <w:right w:val="single" w:color="auto" w:sz="4" w:space="0"/>
            </w:tcBorders>
            <w:noWrap w:val="0"/>
            <w:vAlign w:val="center"/>
          </w:tcPr>
          <w:p w14:paraId="64E9D401">
            <w:pPr>
              <w:autoSpaceDE w:val="0"/>
              <w:autoSpaceDN w:val="0"/>
              <w:jc w:val="center"/>
              <w:rPr>
                <w:rFonts w:hint="eastAsia"/>
                <w:szCs w:val="21"/>
                <w:lang w:eastAsia="zh-CN"/>
              </w:rPr>
            </w:pPr>
          </w:p>
        </w:tc>
        <w:tc>
          <w:tcPr>
            <w:tcW w:w="2850" w:type="dxa"/>
            <w:tcBorders>
              <w:top w:val="single" w:color="auto" w:sz="4" w:space="0"/>
              <w:left w:val="single" w:color="auto" w:sz="4" w:space="0"/>
              <w:bottom w:val="single" w:color="auto" w:sz="4" w:space="0"/>
              <w:right w:val="single" w:color="auto" w:sz="4" w:space="0"/>
            </w:tcBorders>
            <w:noWrap w:val="0"/>
            <w:vAlign w:val="center"/>
          </w:tcPr>
          <w:p w14:paraId="0D3B97D8">
            <w:pPr>
              <w:autoSpaceDE w:val="0"/>
              <w:autoSpaceDN w:val="0"/>
              <w:jc w:val="center"/>
              <w:rPr>
                <w:rFonts w:hint="eastAsia"/>
                <w:szCs w:val="21"/>
                <w:lang w:eastAsia="zh-CN"/>
              </w:rPr>
            </w:pPr>
          </w:p>
        </w:tc>
      </w:tr>
      <w:tr w14:paraId="5B5884F0">
        <w:tblPrEx>
          <w:tblCellMar>
            <w:top w:w="0" w:type="dxa"/>
            <w:left w:w="108" w:type="dxa"/>
            <w:bottom w:w="0" w:type="dxa"/>
            <w:right w:w="108" w:type="dxa"/>
          </w:tblCellMar>
        </w:tblPrEx>
        <w:trPr>
          <w:trHeight w:val="427" w:hRule="atLeast"/>
        </w:trPr>
        <w:tc>
          <w:tcPr>
            <w:tcW w:w="555" w:type="dxa"/>
            <w:tcBorders>
              <w:top w:val="single" w:color="auto" w:sz="4" w:space="0"/>
              <w:left w:val="single" w:color="auto" w:sz="4" w:space="0"/>
              <w:bottom w:val="single" w:color="auto" w:sz="4" w:space="0"/>
              <w:right w:val="single" w:color="auto" w:sz="4" w:space="0"/>
            </w:tcBorders>
            <w:noWrap w:val="0"/>
            <w:vAlign w:val="top"/>
          </w:tcPr>
          <w:p w14:paraId="557EC8C1">
            <w:pPr>
              <w:autoSpaceDE w:val="0"/>
              <w:autoSpaceDN w:val="0"/>
              <w:jc w:val="center"/>
              <w:rPr>
                <w:rFonts w:ascii="Calibri" w:hAnsi="Calibri" w:eastAsia="宋体" w:cs="Times New Roman"/>
                <w:kern w:val="2"/>
                <w:sz w:val="21"/>
                <w:szCs w:val="21"/>
                <w:lang w:val="en-US" w:eastAsia="zh-CN" w:bidi="ar-SA"/>
              </w:rPr>
            </w:pPr>
            <w:r>
              <w:rPr>
                <w:szCs w:val="21"/>
              </w:rPr>
              <w:t>5</w:t>
            </w:r>
          </w:p>
        </w:tc>
        <w:tc>
          <w:tcPr>
            <w:tcW w:w="28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6BE539">
            <w:pPr>
              <w:autoSpaceDE w:val="0"/>
              <w:autoSpaceDN w:val="0"/>
              <w:jc w:val="center"/>
              <w:rPr>
                <w:rFonts w:hint="eastAsia" w:ascii="Calibri" w:hAnsi="Calibri" w:eastAsia="宋体" w:cs="Times New Roman"/>
                <w:kern w:val="2"/>
                <w:sz w:val="21"/>
                <w:szCs w:val="21"/>
                <w:highlight w:val="none"/>
                <w:lang w:val="en-US" w:eastAsia="zh-CN" w:bidi="ar-SA"/>
              </w:rPr>
            </w:pPr>
            <w:r>
              <w:rPr>
                <w:rFonts w:hint="eastAsia"/>
                <w:szCs w:val="21"/>
                <w:highlight w:val="none"/>
                <w:lang w:eastAsia="zh-CN"/>
              </w:rPr>
              <w:t>油漆</w:t>
            </w:r>
          </w:p>
        </w:tc>
        <w:tc>
          <w:tcPr>
            <w:tcW w:w="2850" w:type="dxa"/>
            <w:tcBorders>
              <w:top w:val="single" w:color="auto" w:sz="4" w:space="0"/>
              <w:left w:val="single" w:color="auto" w:sz="4" w:space="0"/>
              <w:bottom w:val="single" w:color="auto" w:sz="4" w:space="0"/>
              <w:right w:val="single" w:color="auto" w:sz="4" w:space="0"/>
            </w:tcBorders>
            <w:noWrap w:val="0"/>
            <w:vAlign w:val="center"/>
          </w:tcPr>
          <w:p w14:paraId="288B948A">
            <w:pPr>
              <w:autoSpaceDE w:val="0"/>
              <w:autoSpaceDN w:val="0"/>
              <w:jc w:val="center"/>
              <w:rPr>
                <w:rFonts w:hint="eastAsia"/>
                <w:szCs w:val="21"/>
              </w:rPr>
            </w:pPr>
          </w:p>
        </w:tc>
        <w:tc>
          <w:tcPr>
            <w:tcW w:w="2850" w:type="dxa"/>
            <w:tcBorders>
              <w:top w:val="single" w:color="auto" w:sz="4" w:space="0"/>
              <w:left w:val="single" w:color="auto" w:sz="4" w:space="0"/>
              <w:bottom w:val="single" w:color="auto" w:sz="4" w:space="0"/>
              <w:right w:val="single" w:color="auto" w:sz="4" w:space="0"/>
            </w:tcBorders>
            <w:noWrap w:val="0"/>
            <w:vAlign w:val="center"/>
          </w:tcPr>
          <w:p w14:paraId="77FD7F39">
            <w:pPr>
              <w:autoSpaceDE w:val="0"/>
              <w:autoSpaceDN w:val="0"/>
              <w:jc w:val="center"/>
              <w:rPr>
                <w:rFonts w:hint="eastAsia"/>
                <w:szCs w:val="21"/>
              </w:rPr>
            </w:pPr>
          </w:p>
        </w:tc>
      </w:tr>
      <w:tr w14:paraId="0D51A13D">
        <w:tblPrEx>
          <w:tblCellMar>
            <w:top w:w="0" w:type="dxa"/>
            <w:left w:w="108" w:type="dxa"/>
            <w:bottom w:w="0" w:type="dxa"/>
            <w:right w:w="108" w:type="dxa"/>
          </w:tblCellMar>
        </w:tblPrEx>
        <w:trPr>
          <w:trHeight w:val="427" w:hRule="atLeast"/>
        </w:trPr>
        <w:tc>
          <w:tcPr>
            <w:tcW w:w="555" w:type="dxa"/>
            <w:tcBorders>
              <w:top w:val="single" w:color="auto" w:sz="4" w:space="0"/>
              <w:left w:val="single" w:color="auto" w:sz="4" w:space="0"/>
              <w:bottom w:val="single" w:color="auto" w:sz="4" w:space="0"/>
              <w:right w:val="single" w:color="auto" w:sz="4" w:space="0"/>
            </w:tcBorders>
            <w:noWrap w:val="0"/>
            <w:vAlign w:val="top"/>
          </w:tcPr>
          <w:p w14:paraId="161054D9">
            <w:pPr>
              <w:autoSpaceDE w:val="0"/>
              <w:autoSpaceDN w:val="0"/>
              <w:jc w:val="center"/>
              <w:rPr>
                <w:rFonts w:ascii="Calibri" w:hAnsi="Calibri" w:eastAsia="宋体" w:cs="Times New Roman"/>
                <w:kern w:val="2"/>
                <w:sz w:val="21"/>
                <w:szCs w:val="21"/>
                <w:lang w:val="en-US" w:eastAsia="zh-CN" w:bidi="ar-SA"/>
              </w:rPr>
            </w:pPr>
            <w:r>
              <w:rPr>
                <w:rFonts w:hint="eastAsia"/>
                <w:szCs w:val="21"/>
              </w:rPr>
              <w:t>6</w:t>
            </w:r>
          </w:p>
        </w:tc>
        <w:tc>
          <w:tcPr>
            <w:tcW w:w="28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D84479">
            <w:pPr>
              <w:autoSpaceDE w:val="0"/>
              <w:autoSpaceDN w:val="0"/>
              <w:jc w:val="center"/>
              <w:rPr>
                <w:rFonts w:hint="eastAsia" w:ascii="Calibri" w:hAnsi="Calibri" w:eastAsia="宋体" w:cs="Times New Roman"/>
                <w:kern w:val="2"/>
                <w:sz w:val="21"/>
                <w:szCs w:val="21"/>
                <w:highlight w:val="none"/>
                <w:lang w:val="en-US" w:eastAsia="zh-CN" w:bidi="ar-SA"/>
              </w:rPr>
            </w:pPr>
            <w:r>
              <w:rPr>
                <w:rFonts w:hint="eastAsia"/>
                <w:szCs w:val="21"/>
                <w:highlight w:val="none"/>
                <w:lang w:eastAsia="zh-CN"/>
              </w:rPr>
              <w:t>混凝土</w:t>
            </w:r>
          </w:p>
        </w:tc>
        <w:tc>
          <w:tcPr>
            <w:tcW w:w="2850" w:type="dxa"/>
            <w:tcBorders>
              <w:top w:val="single" w:color="auto" w:sz="4" w:space="0"/>
              <w:left w:val="single" w:color="auto" w:sz="4" w:space="0"/>
              <w:bottom w:val="single" w:color="auto" w:sz="4" w:space="0"/>
              <w:right w:val="single" w:color="auto" w:sz="4" w:space="0"/>
            </w:tcBorders>
            <w:noWrap w:val="0"/>
            <w:vAlign w:val="center"/>
          </w:tcPr>
          <w:p w14:paraId="0651ABC0">
            <w:pPr>
              <w:autoSpaceDE w:val="0"/>
              <w:autoSpaceDN w:val="0"/>
              <w:jc w:val="center"/>
              <w:rPr>
                <w:rFonts w:hint="eastAsia"/>
                <w:szCs w:val="21"/>
              </w:rPr>
            </w:pPr>
          </w:p>
        </w:tc>
        <w:tc>
          <w:tcPr>
            <w:tcW w:w="2850" w:type="dxa"/>
            <w:tcBorders>
              <w:top w:val="single" w:color="auto" w:sz="4" w:space="0"/>
              <w:left w:val="single" w:color="auto" w:sz="4" w:space="0"/>
              <w:bottom w:val="single" w:color="auto" w:sz="4" w:space="0"/>
              <w:right w:val="single" w:color="auto" w:sz="4" w:space="0"/>
            </w:tcBorders>
            <w:noWrap w:val="0"/>
            <w:vAlign w:val="center"/>
          </w:tcPr>
          <w:p w14:paraId="38422439">
            <w:pPr>
              <w:autoSpaceDE w:val="0"/>
              <w:autoSpaceDN w:val="0"/>
              <w:jc w:val="center"/>
              <w:rPr>
                <w:rFonts w:hint="eastAsia"/>
                <w:szCs w:val="21"/>
              </w:rPr>
            </w:pPr>
          </w:p>
        </w:tc>
      </w:tr>
    </w:tbl>
    <w:p w14:paraId="36E20CC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color w:val="FF0000"/>
          <w:sz w:val="28"/>
          <w:szCs w:val="28"/>
          <w:lang w:val="en-US" w:eastAsia="zh-CN"/>
        </w:rPr>
        <w:t>投标人提交投标文件时，必须填写此表，表中各类材料对应的品牌分别填写一个。投标人若有认为重要的材料名称需补充，可补充填写在表中。备注栏可不填写。如供应商存在各类材料对应的品牌分别填写多个、缺填、漏填的，即为不满足实质性条款要求，作投标无效处理。</w:t>
      </w:r>
    </w:p>
    <w:p w14:paraId="757331F0">
      <w:pPr>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br w:type="page"/>
      </w:r>
    </w:p>
    <w:p w14:paraId="0C136333">
      <w:pPr>
        <w:jc w:val="center"/>
        <w:rPr>
          <w:b/>
          <w:color w:val="FF0000"/>
          <w:sz w:val="32"/>
          <w:szCs w:val="32"/>
        </w:rPr>
      </w:pPr>
    </w:p>
    <w:p w14:paraId="7D8EB2A9">
      <w:pPr>
        <w:jc w:val="center"/>
        <w:rPr>
          <w:b/>
          <w:color w:val="FF0000"/>
          <w:sz w:val="32"/>
          <w:szCs w:val="32"/>
        </w:rPr>
      </w:pPr>
    </w:p>
    <w:p w14:paraId="3D37F05B">
      <w:pPr>
        <w:jc w:val="center"/>
        <w:rPr>
          <w:b/>
          <w:color w:val="FF0000"/>
          <w:sz w:val="32"/>
          <w:szCs w:val="32"/>
        </w:rPr>
      </w:pPr>
      <w:r>
        <w:rPr>
          <w:rFonts w:hint="eastAsia"/>
          <w:b/>
          <w:color w:val="FF0000"/>
          <w:sz w:val="32"/>
          <w:szCs w:val="32"/>
        </w:rPr>
        <w:t>其余部分投标文件格式由投标人自定</w:t>
      </w:r>
    </w:p>
    <w:p w14:paraId="2ADE7F74">
      <w:pPr>
        <w:jc w:val="center"/>
        <w:rPr>
          <w:color w:val="FF0000"/>
        </w:rPr>
      </w:pPr>
    </w:p>
    <w:p w14:paraId="1A57850F">
      <w:pPr>
        <w:pStyle w:val="4"/>
        <w:jc w:val="center"/>
        <w:rPr>
          <w:rFonts w:ascii="黑体" w:eastAsia="黑体"/>
          <w:b w:val="0"/>
          <w:kern w:val="0"/>
          <w:sz w:val="24"/>
        </w:rPr>
      </w:pPr>
      <w:bookmarkStart w:id="82" w:name="_Toc12178"/>
      <w:r>
        <w:rPr>
          <w:rFonts w:hint="eastAsia" w:ascii="黑体" w:eastAsia="黑体"/>
          <w:b w:val="0"/>
          <w:kern w:val="0"/>
          <w:sz w:val="24"/>
        </w:rPr>
        <w:t>四、项目总体概述及理解</w:t>
      </w:r>
      <w:bookmarkEnd w:id="82"/>
    </w:p>
    <w:p w14:paraId="7DD45C16">
      <w:pPr>
        <w:pStyle w:val="4"/>
        <w:jc w:val="center"/>
        <w:rPr>
          <w:rFonts w:ascii="黑体" w:eastAsia="黑体"/>
          <w:b w:val="0"/>
          <w:kern w:val="0"/>
          <w:sz w:val="24"/>
        </w:rPr>
      </w:pPr>
      <w:bookmarkStart w:id="83" w:name="_Toc22976"/>
      <w:r>
        <w:rPr>
          <w:rFonts w:hint="eastAsia" w:ascii="黑体" w:eastAsia="黑体"/>
          <w:b w:val="0"/>
          <w:kern w:val="0"/>
          <w:sz w:val="24"/>
        </w:rPr>
        <w:t>五、施工组织计划、施工技术、施工工艺及对施工材料的理解</w:t>
      </w:r>
      <w:bookmarkEnd w:id="83"/>
    </w:p>
    <w:p w14:paraId="2A7A758D">
      <w:pPr>
        <w:pStyle w:val="4"/>
        <w:jc w:val="center"/>
        <w:rPr>
          <w:rFonts w:ascii="黑体" w:eastAsia="黑体"/>
          <w:b w:val="0"/>
          <w:kern w:val="0"/>
          <w:sz w:val="24"/>
        </w:rPr>
      </w:pPr>
      <w:bookmarkStart w:id="84" w:name="_Toc8304"/>
      <w:r>
        <w:rPr>
          <w:rFonts w:hint="eastAsia" w:ascii="黑体" w:eastAsia="黑体"/>
          <w:b w:val="0"/>
          <w:kern w:val="0"/>
          <w:sz w:val="24"/>
        </w:rPr>
        <w:t>六、项目实施关键施工技术（重点难点）分析及解决方案</w:t>
      </w:r>
      <w:bookmarkEnd w:id="84"/>
    </w:p>
    <w:p w14:paraId="2E684067">
      <w:pPr>
        <w:pStyle w:val="4"/>
        <w:jc w:val="center"/>
        <w:rPr>
          <w:rFonts w:ascii="黑体" w:eastAsia="黑体"/>
          <w:b w:val="0"/>
          <w:kern w:val="0"/>
          <w:sz w:val="24"/>
        </w:rPr>
      </w:pPr>
      <w:bookmarkStart w:id="85" w:name="_Toc1701"/>
      <w:r>
        <w:rPr>
          <w:rFonts w:hint="eastAsia" w:ascii="黑体" w:eastAsia="黑体"/>
          <w:b w:val="0"/>
          <w:kern w:val="0"/>
          <w:sz w:val="24"/>
        </w:rPr>
        <w:t>七、施工质量（安全、环保、工期）保障措施及相关的履约承诺</w:t>
      </w:r>
      <w:bookmarkEnd w:id="85"/>
    </w:p>
    <w:p w14:paraId="3F35EDF1">
      <w:pPr>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br w:type="page"/>
      </w:r>
    </w:p>
    <w:p w14:paraId="73DB33F6">
      <w:pPr>
        <w:pStyle w:val="3"/>
        <w:keepNext w:val="0"/>
        <w:keepLines w:val="0"/>
        <w:pageBreakBefore/>
        <w:spacing w:line="360" w:lineRule="auto"/>
        <w:jc w:val="center"/>
        <w:rPr>
          <w:rFonts w:hint="eastAsia" w:ascii="黑体" w:hAnsi="黑体" w:eastAsia="黑体" w:cs="Times New Roman"/>
          <w:b w:val="0"/>
          <w:bCs w:val="0"/>
          <w:color w:val="auto"/>
          <w:kern w:val="2"/>
          <w:sz w:val="44"/>
          <w:szCs w:val="44"/>
          <w:lang w:val="en-US" w:eastAsia="zh-CN" w:bidi="ar-SA"/>
        </w:rPr>
      </w:pPr>
      <w:bookmarkStart w:id="86" w:name="_Toc1101"/>
      <w:bookmarkStart w:id="87" w:name="_Toc82421192"/>
      <w:bookmarkStart w:id="88" w:name="_Toc82421299"/>
      <w:r>
        <w:rPr>
          <w:rFonts w:hint="eastAsia" w:ascii="黑体" w:hAnsi="黑体" w:eastAsia="黑体" w:cs="Times New Roman"/>
          <w:b w:val="0"/>
          <w:bCs w:val="0"/>
          <w:color w:val="auto"/>
          <w:kern w:val="2"/>
          <w:sz w:val="44"/>
          <w:szCs w:val="44"/>
          <w:lang w:val="en-US" w:eastAsia="zh-CN" w:bidi="ar-SA"/>
        </w:rPr>
        <w:t>第二册 通用条款</w:t>
      </w:r>
      <w:bookmarkEnd w:id="86"/>
      <w:bookmarkEnd w:id="87"/>
      <w:bookmarkEnd w:id="88"/>
    </w:p>
    <w:p w14:paraId="1C35A65B">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小标宋简体" w:hAnsi="方正小标宋简体" w:eastAsia="方正小标宋简体" w:cs="方正小标宋简体"/>
          <w:b w:val="0"/>
          <w:bCs/>
          <w:kern w:val="2"/>
          <w:sz w:val="32"/>
          <w:szCs w:val="32"/>
          <w:u w:val="none"/>
          <w:lang w:val="en-US" w:eastAsia="zh-CN" w:bidi="ar-SA"/>
        </w:rPr>
      </w:pPr>
      <w:bookmarkStart w:id="89" w:name="_Toc82421300"/>
      <w:bookmarkStart w:id="90" w:name="_Toc82421193"/>
      <w:bookmarkStart w:id="91" w:name="_Toc945"/>
      <w:r>
        <w:rPr>
          <w:rFonts w:hint="eastAsia" w:ascii="方正小标宋简体" w:hAnsi="方正小标宋简体" w:eastAsia="方正小标宋简体" w:cs="方正小标宋简体"/>
          <w:b w:val="0"/>
          <w:bCs/>
          <w:kern w:val="2"/>
          <w:sz w:val="32"/>
          <w:szCs w:val="32"/>
          <w:u w:val="none"/>
          <w:lang w:val="en-US" w:eastAsia="zh-CN" w:bidi="ar-SA"/>
        </w:rPr>
        <w:t>第一章  总则</w:t>
      </w:r>
      <w:bookmarkEnd w:id="89"/>
      <w:bookmarkEnd w:id="90"/>
      <w:bookmarkEnd w:id="91"/>
    </w:p>
    <w:p w14:paraId="6A5BECF7">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1.通用条款说明</w:t>
      </w:r>
    </w:p>
    <w:p w14:paraId="7D0CCD14">
      <w:pPr>
        <w:ind w:firstLine="411" w:firstLineChars="196"/>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1.1采购文件分为第一册“专用条款”和第二册“通用条款”。</w:t>
      </w:r>
    </w:p>
    <w:p w14:paraId="29B46C89">
      <w:pPr>
        <w:ind w:firstLine="411" w:firstLineChars="196"/>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1.2“专用条款”是对本次采购项目的具体要求，包含投标人资格要求、招标项目需求、投标文件格式、附件等内容。</w:t>
      </w:r>
    </w:p>
    <w:p w14:paraId="1ABB40B1">
      <w:pPr>
        <w:ind w:firstLine="411" w:firstLineChars="196"/>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1.3“通用条款”是适用于采购项目的基础性条款，具有普遍性和通用性。</w:t>
      </w:r>
    </w:p>
    <w:p w14:paraId="68122937">
      <w:pPr>
        <w:ind w:firstLine="411" w:firstLineChars="196"/>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1.4“专用条款”和“通用条款”表述不一致或有冲突时，以“专用条款”为准。</w:t>
      </w:r>
    </w:p>
    <w:p w14:paraId="312136A6">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2．招标说明</w:t>
      </w:r>
    </w:p>
    <w:p w14:paraId="406E5C7B">
      <w:pPr>
        <w:ind w:firstLine="411" w:firstLineChars="196"/>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本项目按照《深圳经济特区政府采购条例》、《深圳经济特区政府采购条例实施细则》和深圳市盐田区中英街管理局的有关规定，通过评审定标方式确定成交供应商。</w:t>
      </w:r>
    </w:p>
    <w:p w14:paraId="6ABEED72">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3．定义</w:t>
      </w:r>
    </w:p>
    <w:p w14:paraId="0F3A9298">
      <w:pPr>
        <w:ind w:firstLine="420" w:firstLineChars="200"/>
        <w:rPr>
          <w:rFonts w:ascii="宋体" w:hAnsi="宋体"/>
          <w:szCs w:val="21"/>
        </w:rPr>
      </w:pPr>
      <w:r>
        <w:rPr>
          <w:rFonts w:hint="eastAsia" w:ascii="宋体" w:hAnsi="宋体"/>
          <w:szCs w:val="21"/>
          <w:lang w:eastAsia="zh-CN"/>
        </w:rPr>
        <w:t>采购文件</w:t>
      </w:r>
      <w:r>
        <w:rPr>
          <w:rFonts w:hint="eastAsia" w:ascii="宋体" w:hAnsi="宋体"/>
          <w:szCs w:val="21"/>
        </w:rPr>
        <w:t>中下列术语应解释为：</w:t>
      </w:r>
    </w:p>
    <w:p w14:paraId="166F5DA0">
      <w:pPr>
        <w:ind w:firstLine="411" w:firstLineChars="196"/>
        <w:rPr>
          <w:rFonts w:ascii="宋体" w:hAnsi="宋体"/>
          <w:szCs w:val="21"/>
        </w:rPr>
      </w:pPr>
      <w:r>
        <w:rPr>
          <w:rFonts w:hint="eastAsia" w:ascii="宋体" w:hAnsi="宋体"/>
          <w:szCs w:val="21"/>
        </w:rPr>
        <w:t>3.1“采购人”、“采购单位”或“招标人”：指深圳</w:t>
      </w:r>
      <w:r>
        <w:rPr>
          <w:rFonts w:hint="eastAsia" w:ascii="宋体" w:hAnsi="宋体"/>
          <w:szCs w:val="21"/>
          <w:lang w:eastAsia="zh-CN"/>
        </w:rPr>
        <w:t>市盐田区中英街管理局</w:t>
      </w:r>
      <w:r>
        <w:rPr>
          <w:rFonts w:hint="eastAsia" w:ascii="宋体" w:hAnsi="宋体"/>
          <w:szCs w:val="21"/>
        </w:rPr>
        <w:t xml:space="preserve">； </w:t>
      </w:r>
    </w:p>
    <w:p w14:paraId="77617677">
      <w:pPr>
        <w:ind w:firstLine="411" w:firstLineChars="196"/>
        <w:rPr>
          <w:rFonts w:ascii="宋体" w:hAnsi="宋体"/>
          <w:szCs w:val="21"/>
        </w:rPr>
      </w:pPr>
      <w:r>
        <w:rPr>
          <w:rFonts w:hint="eastAsia" w:ascii="宋体" w:hAnsi="宋体"/>
          <w:szCs w:val="21"/>
        </w:rPr>
        <w:t>3.</w:t>
      </w:r>
      <w:r>
        <w:rPr>
          <w:rFonts w:hint="eastAsia" w:ascii="宋体" w:hAnsi="宋体"/>
          <w:szCs w:val="21"/>
          <w:lang w:val="en-US" w:eastAsia="zh-CN"/>
        </w:rPr>
        <w:t>2</w:t>
      </w:r>
      <w:r>
        <w:rPr>
          <w:rFonts w:hint="eastAsia" w:ascii="宋体" w:hAnsi="宋体"/>
          <w:szCs w:val="21"/>
        </w:rPr>
        <w:t>“投标人”或“投标方”，即供应商，指参加投标竞争并愿意按照</w:t>
      </w:r>
      <w:r>
        <w:rPr>
          <w:rFonts w:hint="eastAsia" w:ascii="宋体" w:hAnsi="宋体"/>
          <w:szCs w:val="21"/>
          <w:lang w:eastAsia="zh-CN"/>
        </w:rPr>
        <w:t>采购文件</w:t>
      </w:r>
      <w:r>
        <w:rPr>
          <w:rFonts w:hint="eastAsia" w:ascii="宋体" w:hAnsi="宋体"/>
          <w:szCs w:val="21"/>
        </w:rPr>
        <w:t>要求向采购人提供货物、工程或者服务的依法成立的法人、其他组织或者自然人；</w:t>
      </w:r>
    </w:p>
    <w:p w14:paraId="39526C4B">
      <w:pPr>
        <w:ind w:firstLine="411" w:firstLineChars="196"/>
        <w:rPr>
          <w:rFonts w:ascii="宋体" w:hAnsi="宋体"/>
          <w:szCs w:val="21"/>
        </w:rPr>
      </w:pPr>
      <w:r>
        <w:rPr>
          <w:rFonts w:hint="eastAsia" w:ascii="宋体" w:hAnsi="宋体"/>
          <w:szCs w:val="21"/>
        </w:rPr>
        <w:t>3.</w:t>
      </w:r>
      <w:r>
        <w:rPr>
          <w:rFonts w:hint="eastAsia" w:ascii="宋体" w:hAnsi="宋体"/>
          <w:szCs w:val="21"/>
          <w:lang w:val="en-US" w:eastAsia="zh-CN"/>
        </w:rPr>
        <w:t>3</w:t>
      </w:r>
      <w:r>
        <w:rPr>
          <w:rFonts w:hint="eastAsia" w:ascii="宋体" w:hAnsi="宋体"/>
          <w:szCs w:val="21"/>
          <w:lang w:eastAsia="zh-CN"/>
        </w:rPr>
        <w:t>“采购评审小组”</w:t>
      </w:r>
      <w:r>
        <w:rPr>
          <w:rFonts w:hint="eastAsia" w:ascii="宋体" w:hAnsi="宋体"/>
          <w:szCs w:val="21"/>
        </w:rPr>
        <w:t>是依据</w:t>
      </w:r>
      <w:r>
        <w:rPr>
          <w:rFonts w:hint="eastAsia" w:ascii="宋体" w:hAnsi="宋体"/>
          <w:szCs w:val="21"/>
          <w:lang w:eastAsia="zh-CN"/>
        </w:rPr>
        <w:t>《深圳市盐田区中英街管理局政府采购管理办法（2025年修订版）》</w:t>
      </w:r>
      <w:r>
        <w:rPr>
          <w:rFonts w:hint="eastAsia" w:ascii="宋体" w:hAnsi="宋体"/>
          <w:szCs w:val="21"/>
        </w:rPr>
        <w:t>规定组建的专门负责本次</w:t>
      </w:r>
      <w:r>
        <w:rPr>
          <w:rFonts w:hint="eastAsia" w:ascii="宋体" w:hAnsi="宋体"/>
          <w:szCs w:val="21"/>
          <w:lang w:eastAsia="zh-CN"/>
        </w:rPr>
        <w:t>项目采购</w:t>
      </w:r>
      <w:r>
        <w:rPr>
          <w:rFonts w:hint="eastAsia" w:ascii="宋体" w:hAnsi="宋体"/>
          <w:szCs w:val="21"/>
        </w:rPr>
        <w:t>评审工作的临时性</w:t>
      </w:r>
      <w:r>
        <w:rPr>
          <w:rFonts w:hint="eastAsia" w:ascii="宋体" w:hAnsi="宋体"/>
          <w:szCs w:val="21"/>
          <w:lang w:eastAsia="zh-CN"/>
        </w:rPr>
        <w:t>小组</w:t>
      </w:r>
      <w:r>
        <w:rPr>
          <w:rFonts w:hint="eastAsia" w:ascii="宋体" w:hAnsi="宋体"/>
          <w:szCs w:val="21"/>
        </w:rPr>
        <w:t>；</w:t>
      </w:r>
    </w:p>
    <w:p w14:paraId="6FA790DA">
      <w:pPr>
        <w:ind w:firstLine="411" w:firstLineChars="196"/>
        <w:rPr>
          <w:rFonts w:ascii="宋体" w:hAnsi="宋体"/>
          <w:szCs w:val="21"/>
        </w:rPr>
      </w:pPr>
      <w:r>
        <w:rPr>
          <w:rFonts w:hint="eastAsia" w:ascii="宋体" w:hAnsi="宋体"/>
          <w:szCs w:val="21"/>
        </w:rPr>
        <w:t>3.</w:t>
      </w:r>
      <w:r>
        <w:rPr>
          <w:rFonts w:hint="eastAsia" w:ascii="宋体" w:hAnsi="宋体"/>
          <w:szCs w:val="21"/>
          <w:lang w:val="en-US" w:eastAsia="zh-CN"/>
        </w:rPr>
        <w:t>4</w:t>
      </w:r>
      <w:r>
        <w:rPr>
          <w:rFonts w:hint="eastAsia" w:ascii="宋体" w:hAnsi="宋体"/>
          <w:szCs w:val="21"/>
        </w:rPr>
        <w:t>“日期”指公历日；</w:t>
      </w:r>
    </w:p>
    <w:p w14:paraId="344F37F1">
      <w:pPr>
        <w:ind w:firstLine="411" w:firstLineChars="196"/>
        <w:rPr>
          <w:rFonts w:ascii="宋体" w:hAnsi="宋体"/>
          <w:szCs w:val="21"/>
        </w:rPr>
      </w:pPr>
      <w:r>
        <w:rPr>
          <w:rFonts w:hint="eastAsia" w:ascii="宋体" w:hAnsi="宋体"/>
          <w:szCs w:val="21"/>
        </w:rPr>
        <w:t>3.</w:t>
      </w:r>
      <w:r>
        <w:rPr>
          <w:rFonts w:hint="eastAsia" w:ascii="宋体" w:hAnsi="宋体"/>
          <w:szCs w:val="21"/>
          <w:lang w:val="en-US" w:eastAsia="zh-CN"/>
        </w:rPr>
        <w:t>5</w:t>
      </w:r>
      <w:r>
        <w:rPr>
          <w:rFonts w:hint="eastAsia" w:ascii="宋体" w:hAnsi="宋体"/>
          <w:szCs w:val="21"/>
        </w:rPr>
        <w:t>“时间”如未特别说明，均为北京时间；</w:t>
      </w:r>
    </w:p>
    <w:p w14:paraId="09EFF4A1">
      <w:pPr>
        <w:ind w:firstLine="411" w:firstLineChars="196"/>
        <w:rPr>
          <w:rFonts w:ascii="宋体" w:hAnsi="宋体"/>
          <w:szCs w:val="21"/>
        </w:rPr>
      </w:pPr>
      <w:r>
        <w:rPr>
          <w:rFonts w:hint="eastAsia" w:ascii="宋体" w:hAnsi="宋体"/>
          <w:szCs w:val="21"/>
        </w:rPr>
        <w:t>3.</w:t>
      </w:r>
      <w:r>
        <w:rPr>
          <w:rFonts w:hint="eastAsia" w:ascii="宋体" w:hAnsi="宋体"/>
          <w:szCs w:val="21"/>
          <w:lang w:val="en-US" w:eastAsia="zh-CN"/>
        </w:rPr>
        <w:t>6</w:t>
      </w:r>
      <w:r>
        <w:rPr>
          <w:rFonts w:hint="eastAsia" w:ascii="宋体" w:hAnsi="宋体"/>
          <w:szCs w:val="21"/>
        </w:rPr>
        <w:t>“合同”指由本次招标所产生的合同或合约文件；</w:t>
      </w:r>
    </w:p>
    <w:p w14:paraId="0C9EBA52">
      <w:pPr>
        <w:ind w:firstLine="411" w:firstLineChars="196"/>
        <w:rPr>
          <w:rFonts w:ascii="宋体" w:hAnsi="宋体"/>
          <w:szCs w:val="21"/>
        </w:rPr>
      </w:pPr>
      <w:r>
        <w:rPr>
          <w:rFonts w:hint="eastAsia" w:ascii="宋体" w:hAnsi="宋体"/>
          <w:szCs w:val="21"/>
        </w:rPr>
        <w:t>3.</w:t>
      </w:r>
      <w:r>
        <w:rPr>
          <w:rFonts w:hint="eastAsia" w:ascii="宋体" w:hAnsi="宋体"/>
          <w:szCs w:val="21"/>
          <w:lang w:val="en-US" w:eastAsia="zh-CN"/>
        </w:rPr>
        <w:t>7</w:t>
      </w:r>
      <w:r>
        <w:rPr>
          <w:rFonts w:hint="eastAsia" w:ascii="宋体" w:hAnsi="宋体"/>
          <w:szCs w:val="21"/>
          <w:lang w:eastAsia="zh-CN"/>
        </w:rPr>
        <w:t>采购</w:t>
      </w:r>
      <w:r>
        <w:rPr>
          <w:rFonts w:hint="eastAsia" w:ascii="宋体" w:hAnsi="宋体"/>
          <w:szCs w:val="21"/>
        </w:rPr>
        <w:t>文件中的标题或题名仅起引导作用，而不应视为对</w:t>
      </w:r>
      <w:r>
        <w:rPr>
          <w:rFonts w:hint="eastAsia" w:ascii="宋体" w:hAnsi="宋体"/>
          <w:szCs w:val="21"/>
          <w:lang w:eastAsia="zh-CN"/>
        </w:rPr>
        <w:t>采购</w:t>
      </w:r>
      <w:r>
        <w:rPr>
          <w:rFonts w:hint="eastAsia" w:ascii="宋体" w:hAnsi="宋体"/>
          <w:szCs w:val="21"/>
        </w:rPr>
        <w:t>文件内容的理解和解释。</w:t>
      </w:r>
    </w:p>
    <w:p w14:paraId="77218CCA">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4.供应商责任</w:t>
      </w:r>
    </w:p>
    <w:p w14:paraId="67F8EF2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4.1欢迎诚信、有实力和有社会责任心的供应商参与</w:t>
      </w:r>
      <w:r>
        <w:rPr>
          <w:rFonts w:hint="eastAsia" w:ascii="宋体" w:hAnsi="宋体" w:eastAsia="宋体" w:cs="Times New Roman"/>
          <w:szCs w:val="21"/>
          <w:lang w:val="en-US" w:eastAsia="zh-CN"/>
        </w:rPr>
        <w:t>深圳市盐田区中英街管理局</w:t>
      </w:r>
      <w:r>
        <w:rPr>
          <w:rFonts w:hint="default" w:ascii="宋体" w:hAnsi="宋体" w:eastAsia="宋体" w:cs="Times New Roman"/>
          <w:szCs w:val="21"/>
          <w:lang w:val="en-US" w:eastAsia="zh-CN"/>
        </w:rPr>
        <w:t>采购活动。</w:t>
      </w:r>
    </w:p>
    <w:p w14:paraId="4E4CDD7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4.2投标人应当遵循公平竞争的原则，不得恶意串通，不得妨碍其他投标人的竞争行为，不得损害采购人或者其他投标人的合法权益。如违反上述要求，经核实后，供应商的投标无效。</w:t>
      </w:r>
    </w:p>
    <w:p w14:paraId="3ACA97A5">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szCs w:val="21"/>
          <w:lang w:val="en-US" w:eastAsia="zh-CN"/>
        </w:rPr>
      </w:pPr>
      <w:r>
        <w:rPr>
          <w:rFonts w:hint="default" w:ascii="宋体" w:hAnsi="宋体" w:eastAsia="宋体" w:cs="Times New Roman"/>
          <w:b/>
          <w:bCs/>
          <w:szCs w:val="21"/>
          <w:lang w:val="en-US" w:eastAsia="zh-CN"/>
        </w:rPr>
        <w:t>5．投标人参加</w:t>
      </w:r>
      <w:r>
        <w:rPr>
          <w:rFonts w:hint="eastAsia" w:ascii="宋体" w:hAnsi="宋体" w:eastAsia="宋体" w:cs="Times New Roman"/>
          <w:b/>
          <w:bCs/>
          <w:szCs w:val="21"/>
          <w:lang w:val="en-US" w:eastAsia="zh-CN"/>
        </w:rPr>
        <w:t>深圳市盐田区中英街管理局</w:t>
      </w:r>
      <w:r>
        <w:rPr>
          <w:rFonts w:hint="default" w:ascii="宋体" w:hAnsi="宋体" w:eastAsia="宋体" w:cs="Times New Roman"/>
          <w:b/>
          <w:bCs/>
          <w:szCs w:val="21"/>
          <w:lang w:val="en-US" w:eastAsia="zh-CN"/>
        </w:rPr>
        <w:t>采购活动的条件</w:t>
      </w:r>
    </w:p>
    <w:p w14:paraId="6A75D3D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参加本项目的投标人应具备的资格条件详见本项目</w:t>
      </w:r>
      <w:r>
        <w:rPr>
          <w:rFonts w:hint="eastAsia" w:ascii="宋体" w:hAnsi="宋体" w:eastAsia="宋体" w:cs="Times New Roman"/>
          <w:szCs w:val="21"/>
          <w:lang w:val="en-US" w:eastAsia="zh-CN"/>
        </w:rPr>
        <w:t>自行采购公告</w:t>
      </w:r>
      <w:r>
        <w:rPr>
          <w:rFonts w:hint="default" w:ascii="宋体" w:hAnsi="宋体" w:eastAsia="宋体" w:cs="Times New Roman"/>
          <w:szCs w:val="21"/>
          <w:lang w:val="en-US" w:eastAsia="zh-CN"/>
        </w:rPr>
        <w:t>中“投标人资格要求”的内容。</w:t>
      </w:r>
    </w:p>
    <w:p w14:paraId="18AB357F">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6．联合体投标</w:t>
      </w:r>
    </w:p>
    <w:p w14:paraId="5096434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6.1以下有关联合体投标的条款仅适用于允许投标人组成联合体投标的项目。</w:t>
      </w:r>
    </w:p>
    <w:p w14:paraId="465DF66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6.2由两个或两个以上的自然人、法人或者其他组织可以组成一个联合体，以一个供应商的身份共同投标时，应符合以下原则：</w:t>
      </w:r>
    </w:p>
    <w:p w14:paraId="4AF596A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（1）投标联合体各方参加</w:t>
      </w:r>
      <w:r>
        <w:rPr>
          <w:rFonts w:hint="eastAsia" w:ascii="宋体" w:hAnsi="宋体" w:eastAsia="宋体" w:cs="Times New Roman"/>
          <w:szCs w:val="21"/>
          <w:lang w:val="en-US" w:eastAsia="zh-CN"/>
        </w:rPr>
        <w:t>深圳市盐田区中英街管理局</w:t>
      </w:r>
      <w:r>
        <w:rPr>
          <w:rFonts w:hint="default" w:ascii="宋体" w:hAnsi="宋体" w:eastAsia="宋体" w:cs="Times New Roman"/>
          <w:szCs w:val="21"/>
          <w:lang w:val="en-US" w:eastAsia="zh-CN"/>
        </w:rPr>
        <w:t>的采购活动应当具备下列条件：</w:t>
      </w:r>
    </w:p>
    <w:p w14:paraId="101FB98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1、具有独立承担民事责任的能力；</w:t>
      </w:r>
    </w:p>
    <w:p w14:paraId="4461AFA8">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2、有良好的商业信誉和健全的财务会计制度；</w:t>
      </w:r>
    </w:p>
    <w:p w14:paraId="1EEDB09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3、具有履行合同所必需的设备和专业技术能力；</w:t>
      </w:r>
    </w:p>
    <w:p w14:paraId="0C9199B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4、有依法缴纳税收和社会保障资金的良好记录；</w:t>
      </w:r>
    </w:p>
    <w:p w14:paraId="7E2BD15C">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5、参加采购活动前三年内，在经营活动中没有重大违法记录；</w:t>
      </w:r>
    </w:p>
    <w:p w14:paraId="35A50D2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6、法律、行政法规规定的其他条件。</w:t>
      </w:r>
    </w:p>
    <w:p w14:paraId="5D754E2D">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（2）联合体中有同类资质的供应商按照联合体分工承担相同工作的，应当按照资质等级较低的供应商确定资质等级。</w:t>
      </w:r>
    </w:p>
    <w:p w14:paraId="3C4D4AF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w:t>
      </w:r>
      <w:r>
        <w:rPr>
          <w:rFonts w:hint="eastAsia" w:ascii="宋体" w:hAnsi="宋体" w:eastAsia="宋体" w:cs="Times New Roman"/>
          <w:szCs w:val="21"/>
          <w:lang w:val="en-US" w:eastAsia="zh-CN"/>
        </w:rPr>
        <w:t>3</w:t>
      </w:r>
      <w:r>
        <w:rPr>
          <w:rFonts w:hint="default" w:ascii="宋体" w:hAnsi="宋体" w:eastAsia="宋体" w:cs="Times New Roman"/>
          <w:szCs w:val="21"/>
          <w:lang w:val="en-US" w:eastAsia="zh-CN"/>
        </w:rPr>
        <w:t>）是否允许联合体参加投标，应当由采购人根据项目的实际情况和潜在供应商的数量自主决定，如果决定接受联合体投标则应当在采购公告中明示。</w:t>
      </w:r>
    </w:p>
    <w:p w14:paraId="70369B6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w:t>
      </w:r>
      <w:r>
        <w:rPr>
          <w:rFonts w:hint="eastAsia" w:ascii="宋体" w:hAnsi="宋体" w:eastAsia="宋体" w:cs="Times New Roman"/>
          <w:szCs w:val="21"/>
          <w:lang w:val="en-US" w:eastAsia="zh-CN"/>
        </w:rPr>
        <w:t>4</w:t>
      </w:r>
      <w:r>
        <w:rPr>
          <w:rFonts w:hint="default" w:ascii="宋体" w:hAnsi="宋体" w:eastAsia="宋体" w:cs="Times New Roman"/>
          <w:szCs w:val="21"/>
          <w:lang w:val="en-US" w:eastAsia="zh-CN"/>
        </w:rPr>
        <w:t>）投标人的投标文件及中标后签署的合同协议对联合体各方均具法律约束力；</w:t>
      </w:r>
    </w:p>
    <w:p w14:paraId="5F6A356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（6）联合体各方应当签订共同投标协议，明确约定各方拟承担的工作和责任，并将该共同投标协议随投标文件一并递交给</w:t>
      </w:r>
      <w:r>
        <w:rPr>
          <w:rFonts w:hint="eastAsia" w:ascii="宋体" w:hAnsi="宋体" w:eastAsia="宋体" w:cs="Times New Roman"/>
          <w:szCs w:val="21"/>
          <w:lang w:val="en-US" w:eastAsia="zh-CN"/>
        </w:rPr>
        <w:t>中英街管理局</w:t>
      </w:r>
      <w:r>
        <w:rPr>
          <w:rFonts w:hint="default" w:ascii="宋体" w:hAnsi="宋体" w:eastAsia="宋体" w:cs="Times New Roman"/>
          <w:szCs w:val="21"/>
          <w:lang w:val="en-US" w:eastAsia="zh-CN"/>
        </w:rPr>
        <w:t>；</w:t>
      </w:r>
    </w:p>
    <w:p w14:paraId="5EE5D1F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（7）联合体中标后，联合体各方应当共同与采购人签订合同，就中标项目向采购人承担连带责任；</w:t>
      </w:r>
    </w:p>
    <w:p w14:paraId="3209889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（8）以联合体形式参加本项目采购活动的，联合体各方不得再单独参加或者与其他供应商另外组成联合体参加同一合同项下的采购活动，出现上述情况者，其投标和与此有关联合体、总包单位的投标将被拒绝；</w:t>
      </w:r>
    </w:p>
    <w:p w14:paraId="213F945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（9）本通用条款中“投标人”一词亦指联合体各方，专用条款另有规定或说明的除外。</w:t>
      </w:r>
    </w:p>
    <w:p w14:paraId="271691BA">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7.本项目若涉及采购货物，则合格的货物及相应服务应满足以下要求：</w:t>
      </w:r>
    </w:p>
    <w:p w14:paraId="7D245A9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7.1必须是全新、未使用过的原装合格正品（包括零部件），如安装或配置了软件的，须为正版软件。</w:t>
      </w:r>
    </w:p>
    <w:p w14:paraId="5AF1B3D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7.2国产的货物及其有关服务必须符合中华人民共和国的设计、制造生产标准及行业标准</w:t>
      </w:r>
      <w:r>
        <w:rPr>
          <w:rFonts w:hint="eastAsia" w:ascii="宋体" w:hAnsi="宋体" w:eastAsia="宋体" w:cs="Times New Roman"/>
          <w:szCs w:val="21"/>
          <w:lang w:val="en-US" w:eastAsia="zh-CN"/>
        </w:rPr>
        <w:t>。自行采购</w:t>
      </w:r>
      <w:r>
        <w:rPr>
          <w:rFonts w:hint="default" w:ascii="宋体" w:hAnsi="宋体" w:eastAsia="宋体" w:cs="Times New Roman"/>
          <w:szCs w:val="21"/>
          <w:lang w:val="en-US" w:eastAsia="zh-CN"/>
        </w:rPr>
        <w:t>公告有其他要求的，亦应符合其要求。</w:t>
      </w:r>
    </w:p>
    <w:p w14:paraId="40B1973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7.3进口货物及其有关服务必须符合原产地和中华人民共和国的设计、制造生产标准及行业标准。进口的货物必须具有合法的进口手续和途径，并通过中华人民共和国商检部门检验。</w:t>
      </w:r>
      <w:r>
        <w:rPr>
          <w:rFonts w:hint="eastAsia" w:ascii="宋体" w:hAnsi="宋体" w:eastAsia="宋体" w:cs="Times New Roman"/>
          <w:szCs w:val="21"/>
          <w:lang w:val="en-US" w:eastAsia="zh-CN"/>
        </w:rPr>
        <w:t>自行采购公告</w:t>
      </w:r>
      <w:r>
        <w:rPr>
          <w:rFonts w:hint="default" w:ascii="宋体" w:hAnsi="宋体" w:eastAsia="宋体" w:cs="Times New Roman"/>
          <w:szCs w:val="21"/>
          <w:lang w:val="en-US" w:eastAsia="zh-CN"/>
        </w:rPr>
        <w:t>有其他要求的，亦应符合其要求。</w:t>
      </w:r>
    </w:p>
    <w:p w14:paraId="0717479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7.4投标人应保证，其所提供的货物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p>
    <w:p w14:paraId="0960F7A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7.5投标人应保证，其所提供的货物应具有行政主管部门颁发的资质证书或国家质量监督部门的产品《检验报告》。设备到货验收时，还必须提供设备的产品合格证、质量保证文件。若中标后，除非另有约定，投标人必须按合同规定完成设备的安装，并达到验收标准。</w:t>
      </w:r>
    </w:p>
    <w:p w14:paraId="509D943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7.6对工期的要求：投标人在投标时对其所投项目应提交货进度、交货计划等，在合同规定的时间内完工验收。</w:t>
      </w:r>
    </w:p>
    <w:p w14:paraId="0FD9536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7.7投标人必须承担的设备运输、安装调试、验收检测和提供设备操作说明书、图纸等其他相关及类似的义务。</w:t>
      </w:r>
    </w:p>
    <w:p w14:paraId="65336839">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8．投标费用</w:t>
      </w:r>
    </w:p>
    <w:p w14:paraId="1875993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不论投标结果如何，投标人应承担其编制投标文件与递交投标文件所涉及的一切费用。</w:t>
      </w:r>
    </w:p>
    <w:p w14:paraId="62B8A95A">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9．踏勘现场</w:t>
      </w:r>
    </w:p>
    <w:p w14:paraId="61AA1C4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9.1如有需要（详见专用条款），采购人将组织投标人对项目现场及周围环境进行踏勘，以便投标人获取有关编制投标文件和签署合同所需的资料。踏勘现场所发生的费用由投标人自行承担。投标人应按</w:t>
      </w:r>
      <w:r>
        <w:rPr>
          <w:rFonts w:hint="eastAsia" w:ascii="宋体" w:hAnsi="宋体" w:eastAsia="宋体" w:cs="Times New Roman"/>
          <w:szCs w:val="21"/>
          <w:lang w:val="en-US" w:eastAsia="zh-CN"/>
        </w:rPr>
        <w:t>自行采购公告</w:t>
      </w:r>
      <w:r>
        <w:rPr>
          <w:rFonts w:hint="default" w:ascii="宋体" w:hAnsi="宋体" w:eastAsia="宋体" w:cs="Times New Roman"/>
          <w:szCs w:val="21"/>
          <w:lang w:val="en-US" w:eastAsia="zh-CN"/>
        </w:rPr>
        <w:t>所约定的时间、地点踏勘现场。</w:t>
      </w:r>
    </w:p>
    <w:p w14:paraId="560A760C">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9.2投标人及其人员经过采购人的允许，可以进入采购人的项目现场踏勘。若</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要求投标人于统一时间地点踏勘现场的，投标人应当按时前往。</w:t>
      </w:r>
    </w:p>
    <w:p w14:paraId="0CFAB79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9.3任何人或任何组织在踏勘现场时向投标人提交的任何书面资料或口头承诺，未经</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在网上发布或书面通知，均作无效处理。</w:t>
      </w:r>
    </w:p>
    <w:p w14:paraId="19129D0D">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10．招标答疑</w:t>
      </w:r>
    </w:p>
    <w:p w14:paraId="57EC72F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10.1招标答疑的目的是澄清、解答投标人在查阅</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后或现场踏勘中可能提出的与投标有关的疑问或询问。</w:t>
      </w:r>
    </w:p>
    <w:p w14:paraId="03DADFD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10.2投标人如对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内容有疑问，必须在</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规定的答疑截止时间前以书面形式提交给</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w:t>
      </w:r>
    </w:p>
    <w:p w14:paraId="01663BD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10.3</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对疑问所做出的澄清和解答，以书面答复（包括网站发布信息）为准。</w:t>
      </w:r>
    </w:p>
    <w:p w14:paraId="4E91FE42">
      <w:pPr>
        <w:ind w:firstLine="411" w:firstLineChars="196"/>
        <w:rPr>
          <w:rFonts w:hint="default" w:ascii="宋体" w:hAnsi="宋体" w:eastAsia="宋体" w:cs="Times New Roman"/>
          <w:szCs w:val="21"/>
          <w:lang w:val="en-US" w:eastAsia="zh-CN"/>
        </w:rPr>
      </w:pPr>
    </w:p>
    <w:p w14:paraId="350DD681">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方正小标宋简体" w:hAnsi="方正小标宋简体" w:eastAsia="方正小标宋简体" w:cs="方正小标宋简体"/>
          <w:b w:val="0"/>
          <w:bCs/>
          <w:kern w:val="2"/>
          <w:sz w:val="32"/>
          <w:szCs w:val="32"/>
          <w:u w:val="none"/>
          <w:lang w:val="en-US" w:eastAsia="zh-CN" w:bidi="ar-SA"/>
        </w:rPr>
      </w:pPr>
      <w:r>
        <w:rPr>
          <w:rFonts w:hint="default" w:ascii="方正小标宋简体" w:hAnsi="方正小标宋简体" w:eastAsia="方正小标宋简体" w:cs="方正小标宋简体"/>
          <w:b w:val="0"/>
          <w:bCs/>
          <w:kern w:val="2"/>
          <w:sz w:val="32"/>
          <w:szCs w:val="32"/>
          <w:u w:val="none"/>
          <w:lang w:val="en-US" w:eastAsia="zh-CN" w:bidi="ar-SA"/>
        </w:rPr>
        <w:t>第二章</w:t>
      </w:r>
      <w:r>
        <w:rPr>
          <w:rFonts w:hint="eastAsia" w:ascii="方正小标宋简体" w:hAnsi="方正小标宋简体" w:eastAsia="方正小标宋简体" w:cs="方正小标宋简体"/>
          <w:b w:val="0"/>
          <w:bCs/>
          <w:kern w:val="2"/>
          <w:sz w:val="32"/>
          <w:szCs w:val="32"/>
          <w:u w:val="none"/>
          <w:lang w:val="en-US" w:eastAsia="zh-CN" w:bidi="ar-SA"/>
        </w:rPr>
        <w:t xml:space="preserve">  采购</w:t>
      </w:r>
      <w:r>
        <w:rPr>
          <w:rFonts w:hint="default" w:ascii="方正小标宋简体" w:hAnsi="方正小标宋简体" w:eastAsia="方正小标宋简体" w:cs="方正小标宋简体"/>
          <w:b w:val="0"/>
          <w:bCs/>
          <w:kern w:val="2"/>
          <w:sz w:val="32"/>
          <w:szCs w:val="32"/>
          <w:u w:val="none"/>
          <w:lang w:val="en-US" w:eastAsia="zh-CN" w:bidi="ar-SA"/>
        </w:rPr>
        <w:t>文件</w:t>
      </w:r>
    </w:p>
    <w:p w14:paraId="3BA0AD7D">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11．</w:t>
      </w:r>
      <w:r>
        <w:rPr>
          <w:rFonts w:hint="eastAsia" w:ascii="宋体" w:hAnsi="宋体" w:eastAsia="宋体" w:cs="Times New Roman"/>
          <w:b/>
          <w:bCs/>
          <w:szCs w:val="21"/>
          <w:lang w:val="en-US" w:eastAsia="zh-CN"/>
        </w:rPr>
        <w:t>采购</w:t>
      </w:r>
      <w:r>
        <w:rPr>
          <w:rFonts w:hint="default" w:ascii="宋体" w:hAnsi="宋体" w:eastAsia="宋体" w:cs="Times New Roman"/>
          <w:b/>
          <w:bCs/>
          <w:szCs w:val="21"/>
          <w:lang w:val="en-US" w:eastAsia="zh-CN"/>
        </w:rPr>
        <w:t>文件的编制与组成</w:t>
      </w:r>
    </w:p>
    <w:p w14:paraId="31E9F8B8">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11.1</w:t>
      </w:r>
      <w:r>
        <w:rPr>
          <w:rFonts w:hint="eastAsia" w:ascii="宋体" w:hAnsi="宋体" w:eastAsia="宋体" w:cs="Times New Roman"/>
          <w:szCs w:val="21"/>
          <w:lang w:val="en-US" w:eastAsia="zh-CN"/>
        </w:rPr>
        <w:t>采购</w:t>
      </w:r>
      <w:r>
        <w:rPr>
          <w:rFonts w:hint="default" w:ascii="宋体" w:hAnsi="宋体" w:eastAsia="宋体" w:cs="Times New Roman"/>
          <w:szCs w:val="21"/>
          <w:lang w:val="en-US" w:eastAsia="zh-CN"/>
        </w:rPr>
        <w:t>文件除以下内容外，</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在招标期间发出的答疑、澄清或修改等相关公告或通知内容，均是</w:t>
      </w:r>
      <w:r>
        <w:rPr>
          <w:rFonts w:hint="eastAsia" w:ascii="宋体" w:hAnsi="宋体" w:eastAsia="宋体" w:cs="Times New Roman"/>
          <w:szCs w:val="21"/>
          <w:lang w:val="en-US" w:eastAsia="zh-CN"/>
        </w:rPr>
        <w:t>采购</w:t>
      </w:r>
      <w:r>
        <w:rPr>
          <w:rFonts w:hint="default" w:ascii="宋体" w:hAnsi="宋体" w:eastAsia="宋体" w:cs="Times New Roman"/>
          <w:szCs w:val="21"/>
          <w:lang w:val="en-US" w:eastAsia="zh-CN"/>
        </w:rPr>
        <w:t>文件的组成部分，对投标人起约束作用；</w:t>
      </w:r>
    </w:p>
    <w:p w14:paraId="31B70096">
      <w:pPr>
        <w:keepNext w:val="0"/>
        <w:keepLines w:val="0"/>
        <w:pageBreakBefore w:val="0"/>
        <w:widowControl w:val="0"/>
        <w:kinsoku/>
        <w:wordWrap/>
        <w:overflowPunct/>
        <w:topLinePunct w:val="0"/>
        <w:autoSpaceDE/>
        <w:autoSpaceDN/>
        <w:bidi w:val="0"/>
        <w:adjustRightInd/>
        <w:snapToGrid/>
        <w:spacing w:before="157" w:beforeLines="50" w:after="157" w:afterLines="50"/>
        <w:ind w:firstLine="422" w:firstLineChars="200"/>
        <w:textAlignment w:val="auto"/>
        <w:rPr>
          <w:rFonts w:hint="default" w:ascii="宋体" w:hAnsi="宋体" w:eastAsia="宋体" w:cs="Times New Roman"/>
          <w:b/>
          <w:bCs/>
          <w:szCs w:val="21"/>
          <w:lang w:val="en-US" w:eastAsia="zh-CN"/>
        </w:rPr>
      </w:pPr>
      <w:r>
        <w:rPr>
          <w:rFonts w:hint="eastAsia" w:ascii="宋体" w:hAnsi="宋体" w:eastAsia="宋体" w:cs="Times New Roman"/>
          <w:b/>
          <w:bCs/>
          <w:szCs w:val="21"/>
          <w:lang w:val="en-US" w:eastAsia="zh-CN"/>
        </w:rPr>
        <w:t>采购文件</w:t>
      </w:r>
      <w:r>
        <w:rPr>
          <w:rFonts w:hint="default" w:ascii="宋体" w:hAnsi="宋体" w:eastAsia="宋体" w:cs="Times New Roman"/>
          <w:b/>
          <w:bCs/>
          <w:szCs w:val="21"/>
          <w:lang w:val="en-US" w:eastAsia="zh-CN"/>
        </w:rPr>
        <w:t>包括下列内容：</w:t>
      </w:r>
    </w:p>
    <w:p w14:paraId="52C9DF3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第一册  专用条款</w:t>
      </w:r>
    </w:p>
    <w:p w14:paraId="2AD602C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关键信息</w:t>
      </w:r>
    </w:p>
    <w:p w14:paraId="7686269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 xml:space="preserve">第一章  </w:t>
      </w:r>
      <w:r>
        <w:rPr>
          <w:rFonts w:hint="eastAsia" w:ascii="宋体" w:hAnsi="宋体" w:eastAsia="宋体" w:cs="Times New Roman"/>
          <w:szCs w:val="21"/>
          <w:lang w:val="en-US" w:eastAsia="zh-CN"/>
        </w:rPr>
        <w:t>自行采购</w:t>
      </w:r>
      <w:r>
        <w:rPr>
          <w:rFonts w:hint="default" w:ascii="宋体" w:hAnsi="宋体" w:eastAsia="宋体" w:cs="Times New Roman"/>
          <w:szCs w:val="21"/>
          <w:lang w:val="en-US" w:eastAsia="zh-CN"/>
        </w:rPr>
        <w:t>公告</w:t>
      </w:r>
    </w:p>
    <w:p w14:paraId="775636F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第二章  招标项目需求</w:t>
      </w:r>
    </w:p>
    <w:p w14:paraId="7E705F2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 xml:space="preserve">第三章  </w:t>
      </w:r>
      <w:r>
        <w:rPr>
          <w:rFonts w:hint="eastAsia" w:ascii="宋体" w:hAnsi="宋体" w:eastAsia="宋体" w:cs="Times New Roman"/>
          <w:szCs w:val="21"/>
          <w:lang w:val="en-US" w:eastAsia="zh-CN"/>
        </w:rPr>
        <w:t>合同</w:t>
      </w:r>
      <w:r>
        <w:rPr>
          <w:rFonts w:hint="default" w:ascii="宋体" w:hAnsi="宋体" w:eastAsia="宋体" w:cs="Times New Roman"/>
          <w:szCs w:val="21"/>
          <w:lang w:val="en-US" w:eastAsia="zh-CN"/>
        </w:rPr>
        <w:t>格式</w:t>
      </w:r>
    </w:p>
    <w:p w14:paraId="1FC74BE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 xml:space="preserve">第四章  </w:t>
      </w:r>
      <w:r>
        <w:rPr>
          <w:rFonts w:hint="eastAsia" w:ascii="宋体" w:hAnsi="宋体" w:eastAsia="宋体" w:cs="Times New Roman"/>
          <w:szCs w:val="21"/>
          <w:lang w:val="en-US" w:eastAsia="zh-CN"/>
        </w:rPr>
        <w:t>投标文件格式</w:t>
      </w:r>
    </w:p>
    <w:p w14:paraId="7580CE38">
      <w:pPr>
        <w:ind w:firstLine="411" w:firstLineChars="196"/>
        <w:rPr>
          <w:rFonts w:hint="default" w:ascii="宋体" w:hAnsi="宋体" w:eastAsia="宋体" w:cs="Times New Roman"/>
          <w:szCs w:val="21"/>
          <w:lang w:val="en-US" w:eastAsia="zh-CN"/>
        </w:rPr>
      </w:pPr>
    </w:p>
    <w:p w14:paraId="144DD21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第二册  通用条款</w:t>
      </w:r>
    </w:p>
    <w:p w14:paraId="6480127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第一章 总则</w:t>
      </w:r>
    </w:p>
    <w:p w14:paraId="46A4B63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 xml:space="preserve">第二章 </w:t>
      </w:r>
      <w:r>
        <w:rPr>
          <w:rFonts w:hint="eastAsia" w:ascii="宋体" w:hAnsi="宋体" w:eastAsia="宋体" w:cs="Times New Roman"/>
          <w:szCs w:val="21"/>
          <w:lang w:val="en-US" w:eastAsia="zh-CN"/>
        </w:rPr>
        <w:t>采购文件</w:t>
      </w:r>
    </w:p>
    <w:p w14:paraId="6B99DE2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第三章 投标文件的编制</w:t>
      </w:r>
    </w:p>
    <w:p w14:paraId="03FA444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第四章 投标文件的递交</w:t>
      </w:r>
    </w:p>
    <w:p w14:paraId="19FA47B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第五章 开标</w:t>
      </w:r>
    </w:p>
    <w:p w14:paraId="2718D43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 xml:space="preserve">第六章 </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要求</w:t>
      </w:r>
    </w:p>
    <w:p w14:paraId="61A7476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 xml:space="preserve">第七章 </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程序及</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方法</w:t>
      </w:r>
    </w:p>
    <w:p w14:paraId="15FD042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第八章 定标及公示</w:t>
      </w:r>
    </w:p>
    <w:p w14:paraId="4BE0E9A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第九章 合同的授予与备案</w:t>
      </w:r>
    </w:p>
    <w:p w14:paraId="0A79D77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第十章 质疑处理</w:t>
      </w:r>
    </w:p>
    <w:p w14:paraId="6844BB1A">
      <w:pPr>
        <w:ind w:firstLine="411" w:firstLineChars="196"/>
        <w:rPr>
          <w:rFonts w:hint="default" w:ascii="宋体" w:hAnsi="宋体" w:eastAsia="宋体" w:cs="Times New Roman"/>
          <w:szCs w:val="21"/>
          <w:lang w:val="en-US" w:eastAsia="zh-CN"/>
        </w:rPr>
      </w:pPr>
    </w:p>
    <w:p w14:paraId="1605E36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11.2 投标人获得</w:t>
      </w:r>
      <w:r>
        <w:rPr>
          <w:rFonts w:hint="eastAsia" w:ascii="宋体" w:hAnsi="宋体" w:eastAsia="宋体" w:cs="Times New Roman"/>
          <w:szCs w:val="21"/>
          <w:lang w:val="en-US" w:eastAsia="zh-CN"/>
        </w:rPr>
        <w:t>采购</w:t>
      </w:r>
      <w:r>
        <w:rPr>
          <w:rFonts w:hint="default" w:ascii="宋体" w:hAnsi="宋体" w:eastAsia="宋体" w:cs="Times New Roman"/>
          <w:szCs w:val="21"/>
          <w:lang w:val="en-US" w:eastAsia="zh-CN"/>
        </w:rPr>
        <w:t>文件后，应仔细检查</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的所有内容，如有疑问应在答疑截止时间之前向</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提出，否则，由此引起的投标损失自负；投标人同时应认真审阅</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所有的事项、格式、条款和规范要求等，如果投标人的投标文件未按</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要求提交全部资料或者投标文件未对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做出实质性响应，其风险应由投标人自行承担。</w:t>
      </w:r>
    </w:p>
    <w:p w14:paraId="41CD392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11.3任何人或任何组织向投标人提交的任何书面或口头资料，未经</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在网上发布或书面通知，均作无效处理，不得作为</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的组成部分。</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对投标人由此而做出的推论、理解和结论概不负责。</w:t>
      </w:r>
    </w:p>
    <w:p w14:paraId="459DD7EF">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12．</w:t>
      </w:r>
      <w:r>
        <w:rPr>
          <w:rFonts w:hint="eastAsia" w:ascii="宋体" w:hAnsi="宋体" w:eastAsia="宋体" w:cs="Times New Roman"/>
          <w:b/>
          <w:bCs/>
          <w:szCs w:val="21"/>
          <w:lang w:val="en-US" w:eastAsia="zh-CN"/>
        </w:rPr>
        <w:t>采购文件</w:t>
      </w:r>
      <w:r>
        <w:rPr>
          <w:rFonts w:hint="default" w:ascii="宋体" w:hAnsi="宋体" w:eastAsia="宋体" w:cs="Times New Roman"/>
          <w:b/>
          <w:bCs/>
          <w:szCs w:val="21"/>
          <w:lang w:val="en-US" w:eastAsia="zh-CN"/>
        </w:rPr>
        <w:t>的澄清</w:t>
      </w:r>
    </w:p>
    <w:p w14:paraId="3A1C9BD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12.1投标人如对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内容有疑问，必须在</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规定的答疑截止时间前以书面形式提交给向</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。不论是</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根据需要主动对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进行必要的澄清或是根据投标人的要求对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做出澄清，</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都将在投标截止日期前以书面形式（包括</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网站公开发布方式）答复或发送给所有投标人。</w:t>
      </w:r>
    </w:p>
    <w:p w14:paraId="00BBDCF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12.2对于没有提出</w:t>
      </w:r>
      <w:r>
        <w:rPr>
          <w:rFonts w:hint="eastAsia" w:ascii="宋体" w:hAnsi="宋体" w:eastAsia="宋体" w:cs="Times New Roman"/>
          <w:szCs w:val="21"/>
          <w:lang w:val="en-US" w:eastAsia="zh-CN"/>
        </w:rPr>
        <w:t>澄清诉求</w:t>
      </w:r>
      <w:r>
        <w:rPr>
          <w:rFonts w:hint="default" w:ascii="宋体" w:hAnsi="宋体" w:eastAsia="宋体" w:cs="Times New Roman"/>
          <w:szCs w:val="21"/>
          <w:lang w:val="en-US" w:eastAsia="zh-CN"/>
        </w:rPr>
        <w:t>又参与了该项目投标的供应商将被视为完全认同该</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（含澄清</w:t>
      </w:r>
      <w:r>
        <w:rPr>
          <w:rFonts w:hint="eastAsia" w:ascii="宋体" w:hAnsi="宋体" w:eastAsia="宋体" w:cs="Times New Roman"/>
          <w:szCs w:val="21"/>
          <w:lang w:val="en-US" w:eastAsia="zh-CN"/>
        </w:rPr>
        <w:t>答复</w:t>
      </w:r>
      <w:r>
        <w:rPr>
          <w:rFonts w:hint="default" w:ascii="宋体" w:hAnsi="宋体" w:eastAsia="宋体" w:cs="Times New Roman"/>
          <w:szCs w:val="21"/>
          <w:lang w:val="en-US" w:eastAsia="zh-CN"/>
        </w:rPr>
        <w:t>），投标截止期后不再受理针对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的相关质疑或投诉。</w:t>
      </w:r>
    </w:p>
    <w:p w14:paraId="47E6B9B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12.3对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中描述有歧义或前后不一致的地方，</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有权进行评判，但对同一条款的评判应适用于每个投标人。</w:t>
      </w:r>
    </w:p>
    <w:p w14:paraId="21321AD3">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13．</w:t>
      </w:r>
      <w:r>
        <w:rPr>
          <w:rFonts w:hint="eastAsia" w:ascii="宋体" w:hAnsi="宋体" w:eastAsia="宋体" w:cs="Times New Roman"/>
          <w:b/>
          <w:bCs/>
          <w:szCs w:val="21"/>
          <w:lang w:val="en-US" w:eastAsia="zh-CN"/>
        </w:rPr>
        <w:t>采购文件</w:t>
      </w:r>
      <w:r>
        <w:rPr>
          <w:rFonts w:hint="default" w:ascii="宋体" w:hAnsi="宋体" w:eastAsia="宋体" w:cs="Times New Roman"/>
          <w:b/>
          <w:bCs/>
          <w:szCs w:val="21"/>
          <w:lang w:val="en-US" w:eastAsia="zh-CN"/>
        </w:rPr>
        <w:t>的修改</w:t>
      </w:r>
    </w:p>
    <w:p w14:paraId="1E161F0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13.1</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发出后，在投标截止日期前任何时候，确需要变更招标内容的，</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可主动或在解答投标人提出的澄清问题时对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进行修改；</w:t>
      </w:r>
    </w:p>
    <w:p w14:paraId="39B4BEF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13.2</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的修改以书面形式（包括网站公开发布方式）发送给所有投标人，</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的修改内容作为</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的组成部分，并具有约束力。</w:t>
      </w:r>
    </w:p>
    <w:p w14:paraId="38D9CEC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13.3</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澄清（答疑）</w:t>
      </w:r>
      <w:r>
        <w:rPr>
          <w:rFonts w:hint="eastAsia" w:ascii="宋体" w:hAnsi="宋体" w:eastAsia="宋体" w:cs="Times New Roman"/>
          <w:szCs w:val="21"/>
          <w:lang w:val="en-US" w:eastAsia="zh-CN"/>
        </w:rPr>
        <w:t>答复</w:t>
      </w:r>
      <w:r>
        <w:rPr>
          <w:rFonts w:hint="default" w:ascii="宋体" w:hAnsi="宋体" w:eastAsia="宋体" w:cs="Times New Roman"/>
          <w:szCs w:val="21"/>
          <w:lang w:val="en-US" w:eastAsia="zh-CN"/>
        </w:rPr>
        <w:t>、</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修改补充通知内容均以书面（包括网站公开发布方式）明确的内容为准。当</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、修改补充通知、澄清（答疑）纪要内容相互矛盾时，以最后发出的内容为准；</w:t>
      </w:r>
    </w:p>
    <w:p w14:paraId="5754687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13.4</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保证</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澄清（答疑）</w:t>
      </w:r>
      <w:r>
        <w:rPr>
          <w:rFonts w:hint="eastAsia" w:ascii="宋体" w:hAnsi="宋体" w:eastAsia="宋体" w:cs="Times New Roman"/>
          <w:szCs w:val="21"/>
          <w:lang w:val="en-US" w:eastAsia="zh-CN"/>
        </w:rPr>
        <w:t>答复</w:t>
      </w:r>
      <w:r>
        <w:rPr>
          <w:rFonts w:hint="default" w:ascii="宋体" w:hAnsi="宋体" w:eastAsia="宋体" w:cs="Times New Roman"/>
          <w:szCs w:val="21"/>
          <w:lang w:val="en-US" w:eastAsia="zh-CN"/>
        </w:rPr>
        <w:t>和</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修改补充通知在投标截止时间前以网站公开发布形式或书面形式发送给所有投标人。为使投标人在编写投标文件时有充分时间对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的修改部分进行研究，</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可以酌情延长递交投标文件的截止日期，具体时间将在修改补充通知中明确。</w:t>
      </w:r>
    </w:p>
    <w:p w14:paraId="2FE2A378">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方正小标宋简体" w:hAnsi="方正小标宋简体" w:eastAsia="方正小标宋简体" w:cs="方正小标宋简体"/>
          <w:b w:val="0"/>
          <w:bCs/>
          <w:kern w:val="2"/>
          <w:sz w:val="32"/>
          <w:szCs w:val="32"/>
          <w:u w:val="none"/>
          <w:lang w:val="en-US" w:eastAsia="zh-CN" w:bidi="ar-SA"/>
        </w:rPr>
      </w:pPr>
      <w:r>
        <w:rPr>
          <w:rFonts w:hint="default" w:ascii="方正小标宋简体" w:hAnsi="方正小标宋简体" w:eastAsia="方正小标宋简体" w:cs="方正小标宋简体"/>
          <w:b w:val="0"/>
          <w:bCs/>
          <w:kern w:val="2"/>
          <w:sz w:val="32"/>
          <w:szCs w:val="32"/>
          <w:u w:val="none"/>
          <w:lang w:val="en-US" w:eastAsia="zh-CN" w:bidi="ar-SA"/>
        </w:rPr>
        <w:t>第三章</w:t>
      </w:r>
      <w:r>
        <w:rPr>
          <w:rFonts w:hint="eastAsia" w:ascii="方正小标宋简体" w:hAnsi="方正小标宋简体" w:eastAsia="方正小标宋简体" w:cs="方正小标宋简体"/>
          <w:b w:val="0"/>
          <w:bCs/>
          <w:kern w:val="2"/>
          <w:sz w:val="32"/>
          <w:szCs w:val="32"/>
          <w:u w:val="none"/>
          <w:lang w:val="en-US" w:eastAsia="zh-CN" w:bidi="ar-SA"/>
        </w:rPr>
        <w:t xml:space="preserve">  </w:t>
      </w:r>
      <w:r>
        <w:rPr>
          <w:rFonts w:hint="default" w:ascii="方正小标宋简体" w:hAnsi="方正小标宋简体" w:eastAsia="方正小标宋简体" w:cs="方正小标宋简体"/>
          <w:b w:val="0"/>
          <w:bCs/>
          <w:kern w:val="2"/>
          <w:sz w:val="32"/>
          <w:szCs w:val="32"/>
          <w:u w:val="none"/>
          <w:lang w:val="en-US" w:eastAsia="zh-CN" w:bidi="ar-SA"/>
        </w:rPr>
        <w:t>投标文件的编制</w:t>
      </w:r>
    </w:p>
    <w:p w14:paraId="0BE915B0">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14．投标文件的语言及度量单位</w:t>
      </w:r>
    </w:p>
    <w:p w14:paraId="1174A498">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14.1投标人和</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14:paraId="4F87154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14.2除技术规范另有规定外，投标文件使用的度量单位，均采用中华人民共和国法定计量单位。</w:t>
      </w:r>
    </w:p>
    <w:p w14:paraId="736C8B37">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15．投标文件的组成</w:t>
      </w:r>
    </w:p>
    <w:p w14:paraId="3254B41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具体内容请详见本项目</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第一册“专用条款”的相关内容。</w:t>
      </w:r>
    </w:p>
    <w:p w14:paraId="782BE89D">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16．投标文件格式</w:t>
      </w:r>
    </w:p>
    <w:p w14:paraId="046B3F8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投标文件包括本通用条款第15条中规定的内容。如</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提供了投标文件格式，则投标人提交的投标文件应毫无例外地使用</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所提供的相应格式（表格可以按同样格式扩展）。</w:t>
      </w:r>
    </w:p>
    <w:p w14:paraId="69DB13E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17．投标货币</w:t>
      </w:r>
    </w:p>
    <w:p w14:paraId="407DDD2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如</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第一册“专用条款”无另外规定，本项目的投标应以人民币计。</w:t>
      </w:r>
    </w:p>
    <w:p w14:paraId="1BE7C28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18．证明投标文件投标技术方案的合格性和符合</w:t>
      </w:r>
      <w:r>
        <w:rPr>
          <w:rFonts w:hint="eastAsia" w:ascii="宋体" w:hAnsi="宋体" w:eastAsia="宋体" w:cs="Times New Roman"/>
          <w:b/>
          <w:bCs/>
          <w:szCs w:val="21"/>
          <w:lang w:val="en-US" w:eastAsia="zh-CN"/>
        </w:rPr>
        <w:t>采购文件</w:t>
      </w:r>
      <w:r>
        <w:rPr>
          <w:rFonts w:hint="default" w:ascii="宋体" w:hAnsi="宋体" w:eastAsia="宋体" w:cs="Times New Roman"/>
          <w:b/>
          <w:bCs/>
          <w:szCs w:val="21"/>
          <w:lang w:val="en-US" w:eastAsia="zh-CN"/>
        </w:rPr>
        <w:t>规定的文件要求</w:t>
      </w:r>
    </w:p>
    <w:p w14:paraId="4C327D2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18.1投标人应按照本项目</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第一册“专用条款”的要求提交证明文件证明其投标技术方案项下的货物、工程和服务的合格性符合</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规定。该投标技术方案及其证明文件作为投标文件的一部分。</w:t>
      </w:r>
    </w:p>
    <w:p w14:paraId="563A8C9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18.2投标人提供证明投标技术方案与</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的要求相一致的文件，可以是文字资料、图纸、数据或数码照片、制造商公布的产品说明书、产品彩页和我国政府机构出具的产品检验和核准证件等，提供的文件应符合以下要求：</w:t>
      </w:r>
    </w:p>
    <w:p w14:paraId="406EA1A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18.2.1主要技术指标和性能的详细说明；</w:t>
      </w:r>
    </w:p>
    <w:p w14:paraId="2CDDBE9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18.2.2投标产品从采购人开始使用至</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中规定的周期内正常、连续地使用所必须的备件和专用工具清单，包括备件和专用工具的货源及现行价格；</w:t>
      </w:r>
    </w:p>
    <w:p w14:paraId="65E70EA8">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18.2.3对照</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技术规格，逐条说明投标技术方案已对采购人的技术规格做出了实质性的响应，或申明与技术规格条文的偏差和例外。投标人应详细说明投标技术方案中产品的具体参数，不得照搬照抄</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的技术要求；</w:t>
      </w:r>
    </w:p>
    <w:p w14:paraId="2AAC32A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18.2.4产品说明书或彩页应为制造商公布或出具的中文产品说明书或彩页；提供外文说明书或彩页的，必须同时提供加盖制造商公章的对应中文翻译说明，</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依据以中文翻译内容为准，外文说明书或彩页仅供参考；产品说明书或彩页的尺寸和清晰度要求能够使用电脑阅读、识别和判断；</w:t>
      </w:r>
    </w:p>
    <w:p w14:paraId="4E1A513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18.2.5我国政府机构出具的产品检验和核准证件应为证件正面、背面和附件标注的全部具体内容；产品检验和核准证件的尺寸和清晰度应该能够被阅读、识别和判断，提供原件复印件。</w:t>
      </w:r>
    </w:p>
    <w:p w14:paraId="06493EB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18.3相关资料不符合18.2款要求的，</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有权认定为投标技术方案不合格响应，其相关分数予以扣减或作投标无效处理。</w:t>
      </w:r>
    </w:p>
    <w:p w14:paraId="108F451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18.4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中技术规格的要求，是否满足要求，由</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来评判。</w:t>
      </w:r>
    </w:p>
    <w:p w14:paraId="2CD6224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18.5为保证公平公正，除非另有规定或说明，投标人对同一项目投标时，不得同时提供两套或两套以上的投标方案。</w:t>
      </w:r>
    </w:p>
    <w:p w14:paraId="4C8A2DB1">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19．投标文件其他证明文件的要求</w:t>
      </w:r>
    </w:p>
    <w:p w14:paraId="182A391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19.1对项目</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若投标人未按要求提供证明材料或提供的是部分证明材料或提供不清晰的扫描件（或照片）的，</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有权认定其投标文件未对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有关需求进行响应，涉及资格性检查或符合性检查的予以投标无效处理，涉及《</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信息》打分项的则该项评分予以0分处理。</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对供应商投标资料是否异常、是否有效问题进行核查和判定，如认为供应商投标资料有异常或无效的，若涉及资格审查或符合性审查条款的，则应作投标无效处理；若涉及评分的，则作不得分处理。投标资料异常核查范围为：质疑函、被质疑供应商投标文件资料、被质疑供应商答辩说明、被质疑资料原件、被质疑资料相应官方查询渠道查询到的信息等。以下情形可由</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判定投标资料无效：</w:t>
      </w:r>
    </w:p>
    <w:p w14:paraId="50CCF21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（1）被质疑供应商未能在合理时间内提供资料原件核对，且不能合理说明的；</w:t>
      </w:r>
    </w:p>
    <w:p w14:paraId="5AC4C89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（2）被质疑供应商提供的资料原件与投标文件资料不一致的；</w:t>
      </w:r>
    </w:p>
    <w:p w14:paraId="6FD6E11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（3）被质疑供应商投标文件资料信息与在相应官方查询渠道查询到的信息不一致，且不能合理说明的。</w:t>
      </w:r>
    </w:p>
    <w:p w14:paraId="1E8C712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19.2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561171C4">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20．投标有效期</w:t>
      </w:r>
    </w:p>
    <w:p w14:paraId="725262F8">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20.1投标有效期为从投标截止之日算起的日历天数，具体见专用条款中投标有效期的天数要求。在此期限内，所有投标文件均保持有效；</w:t>
      </w:r>
    </w:p>
    <w:p w14:paraId="61EC66F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20.2在特殊的情况下，</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在原定的投标有效期满之前，可以根据需要以书面形式（包括网站公开发布方式）向投标人提出延长投标有效期的要求，对此要求投标人须以书面形式予以答复，投标人可以拒绝</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此项要求，其投标在原投标有效期满后不再有效。同意延长投标有效期的投标人不能要求也不允许修改其投标文件，但应当相应的延长投标担保的有效期；</w:t>
      </w:r>
    </w:p>
    <w:p w14:paraId="01C0958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20.3中标单位的投标书有效期，截止于完成本</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规定的全部项目内容，并通过竣工验收及保修结束。</w:t>
      </w:r>
    </w:p>
    <w:p w14:paraId="31CB2295">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21．关于投标保证金</w:t>
      </w:r>
    </w:p>
    <w:p w14:paraId="4F24814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21.1为切实减轻企业负担，降低制度性交易成本，一般采购项目不收取投标保证金。</w:t>
      </w:r>
    </w:p>
    <w:p w14:paraId="4B56023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21.2若为重大项目，</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可自行决定另外收取投标保证金，不受21.1款限制。是否另外收取投标保证金，请见本</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“专用条款”《对通用条款的补充内容》中的相关要求。</w:t>
      </w:r>
    </w:p>
    <w:p w14:paraId="693B1FED">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22．投标人的替代方案</w:t>
      </w:r>
    </w:p>
    <w:p w14:paraId="2E6BFAF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22.1投标人所提交的投标文件应完全满足</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（包括图纸和技术规范所示的基本技术设计）的要求。除非招标的项目明确允许投标人提交替代方案，否则投标人有关替代方案的条款将初审不通过，投标无效。</w:t>
      </w:r>
    </w:p>
    <w:p w14:paraId="763D13B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22.2如果允许投标人提交替代方案，则准备提交替代方案的投标人除应提交一份满足</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（包括图纸和技术规范所示的基本技术设计）要求的投标文件外，还应提交需评审其替代方案所需的全部资料，包括项目方案书、技术规范、替代方案报价书、所建议的项目方案及有关的其它详细资料。</w:t>
      </w:r>
    </w:p>
    <w:p w14:paraId="0CAD684F">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23．投标文件的制作要求</w:t>
      </w:r>
    </w:p>
    <w:p w14:paraId="4286604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23.1投标人需按项目采购文件要求准备所投项目的电子投标文件一份。此电子投标文件必须为pdf文件格式，其他格式的文件将被认定为无效投标文件。</w:t>
      </w:r>
    </w:p>
    <w:p w14:paraId="4170EA1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23.2投标人在编辑投标文件时，在投标文件目录中属于本节点内容的必须在本节点中填写；填写到其他节点或附件的，</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有权不予接受，一切后果由供应商自行承担。</w:t>
      </w:r>
    </w:p>
    <w:p w14:paraId="19FB8D6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23.3资格证明文件提供扫描件，专用条款另有要求的除外。</w:t>
      </w:r>
    </w:p>
    <w:p w14:paraId="211AF5B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23.4电子投标文件不能带有病毒。</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将用杀毒软件对投标文件进行病毒检测，如果两种软件均报告发现病毒，则认定该电子投标文件带病毒。带病毒的电子投标文件将被认定为无效投标文件。</w:t>
      </w:r>
    </w:p>
    <w:p w14:paraId="65E0BD3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23</w:t>
      </w:r>
      <w:r>
        <w:rPr>
          <w:rFonts w:hint="eastAsia" w:ascii="宋体" w:hAnsi="宋体" w:eastAsia="宋体" w:cs="Times New Roman"/>
          <w:szCs w:val="21"/>
          <w:lang w:val="en-US" w:eastAsia="zh-CN"/>
        </w:rPr>
        <w:t>.5</w:t>
      </w:r>
      <w:r>
        <w:rPr>
          <w:rFonts w:hint="default" w:ascii="宋体" w:hAnsi="宋体" w:eastAsia="宋体" w:cs="Times New Roman"/>
          <w:szCs w:val="21"/>
          <w:lang w:val="en-US" w:eastAsia="zh-CN"/>
        </w:rPr>
        <w:t>如果开标时出现网络故障、技术故障，影响了招投标活动，</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有权采取措施如延期、接受无法从网上上传的电子投标文件等，以保障招投标活动的公开、公平和公正。</w:t>
      </w:r>
    </w:p>
    <w:p w14:paraId="57063AF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23.</w:t>
      </w:r>
      <w:r>
        <w:rPr>
          <w:rFonts w:hint="eastAsia" w:ascii="宋体" w:hAnsi="宋体" w:eastAsia="宋体" w:cs="Times New Roman"/>
          <w:szCs w:val="21"/>
          <w:lang w:val="en-US" w:eastAsia="zh-CN"/>
        </w:rPr>
        <w:t>6</w:t>
      </w:r>
      <w:r>
        <w:rPr>
          <w:rFonts w:hint="default" w:ascii="宋体" w:hAnsi="宋体" w:eastAsia="宋体" w:cs="Times New Roman"/>
          <w:szCs w:val="21"/>
          <w:lang w:val="en-US" w:eastAsia="zh-CN"/>
        </w:rPr>
        <w:t>电报、电话、传真形式的投标概不接受。</w:t>
      </w:r>
    </w:p>
    <w:p w14:paraId="3C3F232C">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方正小标宋简体" w:hAnsi="方正小标宋简体" w:eastAsia="方正小标宋简体" w:cs="方正小标宋简体"/>
          <w:b w:val="0"/>
          <w:bCs/>
          <w:kern w:val="2"/>
          <w:sz w:val="32"/>
          <w:szCs w:val="32"/>
          <w:u w:val="none"/>
          <w:lang w:val="en-US" w:eastAsia="zh-CN" w:bidi="ar-SA"/>
        </w:rPr>
      </w:pPr>
      <w:r>
        <w:rPr>
          <w:rFonts w:hint="default" w:ascii="方正小标宋简体" w:hAnsi="方正小标宋简体" w:eastAsia="方正小标宋简体" w:cs="方正小标宋简体"/>
          <w:b w:val="0"/>
          <w:bCs/>
          <w:kern w:val="2"/>
          <w:sz w:val="32"/>
          <w:szCs w:val="32"/>
          <w:u w:val="none"/>
          <w:lang w:val="en-US" w:eastAsia="zh-CN" w:bidi="ar-SA"/>
        </w:rPr>
        <w:t>第四章</w:t>
      </w:r>
      <w:r>
        <w:rPr>
          <w:rFonts w:hint="eastAsia" w:ascii="方正小标宋简体" w:hAnsi="方正小标宋简体" w:eastAsia="方正小标宋简体" w:cs="方正小标宋简体"/>
          <w:b w:val="0"/>
          <w:bCs/>
          <w:kern w:val="2"/>
          <w:sz w:val="32"/>
          <w:szCs w:val="32"/>
          <w:u w:val="none"/>
          <w:lang w:val="en-US" w:eastAsia="zh-CN" w:bidi="ar-SA"/>
        </w:rPr>
        <w:t xml:space="preserve">  </w:t>
      </w:r>
      <w:r>
        <w:rPr>
          <w:rFonts w:hint="default" w:ascii="方正小标宋简体" w:hAnsi="方正小标宋简体" w:eastAsia="方正小标宋简体" w:cs="方正小标宋简体"/>
          <w:b w:val="0"/>
          <w:bCs/>
          <w:kern w:val="2"/>
          <w:sz w:val="32"/>
          <w:szCs w:val="32"/>
          <w:u w:val="none"/>
          <w:lang w:val="en-US" w:eastAsia="zh-CN" w:bidi="ar-SA"/>
        </w:rPr>
        <w:t>投标文件的递交</w:t>
      </w:r>
    </w:p>
    <w:p w14:paraId="3A49AD67">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24．投标文件的保密</w:t>
      </w:r>
    </w:p>
    <w:p w14:paraId="44AF984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24.1</w:t>
      </w:r>
      <w:r>
        <w:rPr>
          <w:rFonts w:hint="eastAsia" w:ascii="宋体" w:hAnsi="宋体" w:eastAsia="宋体" w:cs="Times New Roman"/>
          <w:szCs w:val="21"/>
          <w:lang w:val="en-US" w:eastAsia="zh-CN"/>
        </w:rPr>
        <w:t>纸质</w:t>
      </w:r>
      <w:r>
        <w:rPr>
          <w:rFonts w:hint="default" w:ascii="宋体" w:hAnsi="宋体" w:eastAsia="宋体" w:cs="Times New Roman"/>
          <w:szCs w:val="21"/>
          <w:lang w:val="en-US" w:eastAsia="zh-CN"/>
        </w:rPr>
        <w:t>投标文件需密封并移交采购联系人，未作密封的视为无效标。</w:t>
      </w:r>
    </w:p>
    <w:p w14:paraId="5CB9C6A3">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25．投标文件的递交</w:t>
      </w:r>
    </w:p>
    <w:p w14:paraId="3CFA3E1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25.1本项目实行</w:t>
      </w:r>
      <w:r>
        <w:rPr>
          <w:rFonts w:hint="eastAsia" w:ascii="宋体" w:hAnsi="宋体" w:eastAsia="宋体" w:cs="Times New Roman"/>
          <w:szCs w:val="21"/>
          <w:lang w:val="en-US" w:eastAsia="zh-CN"/>
        </w:rPr>
        <w:t>线下</w:t>
      </w:r>
      <w:r>
        <w:rPr>
          <w:rFonts w:hint="default" w:ascii="宋体" w:hAnsi="宋体" w:eastAsia="宋体" w:cs="Times New Roman"/>
          <w:szCs w:val="21"/>
          <w:lang w:val="en-US" w:eastAsia="zh-CN"/>
        </w:rPr>
        <w:t>投标，投标人必须在</w:t>
      </w:r>
      <w:r>
        <w:rPr>
          <w:rFonts w:hint="eastAsia" w:ascii="宋体" w:hAnsi="宋体" w:eastAsia="宋体" w:cs="Times New Roman"/>
          <w:szCs w:val="21"/>
          <w:lang w:val="en-US" w:eastAsia="zh-CN"/>
        </w:rPr>
        <w:t>自行采购公告</w:t>
      </w:r>
      <w:r>
        <w:rPr>
          <w:rFonts w:hint="default" w:ascii="宋体" w:hAnsi="宋体" w:eastAsia="宋体" w:cs="Times New Roman"/>
          <w:szCs w:val="21"/>
          <w:lang w:val="en-US" w:eastAsia="zh-CN"/>
        </w:rPr>
        <w:t>规定的投标截止时间前</w:t>
      </w:r>
      <w:r>
        <w:rPr>
          <w:rFonts w:hint="eastAsia" w:ascii="宋体" w:hAnsi="宋体" w:eastAsia="宋体" w:cs="Times New Roman"/>
          <w:szCs w:val="21"/>
          <w:lang w:val="en-US" w:eastAsia="zh-CN"/>
        </w:rPr>
        <w:t>，将密封好的纸质投标文件</w:t>
      </w:r>
      <w:r>
        <w:rPr>
          <w:rFonts w:hint="default" w:ascii="宋体" w:hAnsi="宋体" w:eastAsia="宋体" w:cs="Times New Roman"/>
          <w:szCs w:val="21"/>
          <w:lang w:val="en-US" w:eastAsia="zh-CN"/>
        </w:rPr>
        <w:t>并移交</w:t>
      </w:r>
      <w:r>
        <w:rPr>
          <w:rFonts w:hint="eastAsia" w:ascii="宋体" w:hAnsi="宋体" w:eastAsia="宋体" w:cs="Times New Roman"/>
          <w:szCs w:val="21"/>
          <w:lang w:val="en-US" w:eastAsia="zh-CN"/>
        </w:rPr>
        <w:t>至</w:t>
      </w:r>
      <w:r>
        <w:rPr>
          <w:rFonts w:hint="default" w:ascii="宋体" w:hAnsi="宋体" w:eastAsia="宋体" w:cs="Times New Roman"/>
          <w:szCs w:val="21"/>
          <w:lang w:val="en-US" w:eastAsia="zh-CN"/>
        </w:rPr>
        <w:t>采购联系人。</w:t>
      </w:r>
    </w:p>
    <w:p w14:paraId="5B8770E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25.2</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可以按本通用条款第13条规定，通过修改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自行决定酌情延长投标截止期。在此情况下，</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、采购人和投标人受投标截止期制约的所有权利和义务均应延长至新的截止期。</w:t>
      </w:r>
    </w:p>
    <w:p w14:paraId="59BD2EA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25.3</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不接受投标截止时间后递交的投标文件。</w:t>
      </w:r>
    </w:p>
    <w:p w14:paraId="3953471F">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26.样品的递交</w:t>
      </w:r>
    </w:p>
    <w:p w14:paraId="6A6BF45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26.1如确有必要，采购人可以要求投标人提供能反映货物材质或关键部分的尺寸、价值不大的样品</w:t>
      </w:r>
      <w:r>
        <w:rPr>
          <w:rFonts w:hint="eastAsia" w:ascii="宋体" w:hAnsi="宋体" w:eastAsia="宋体" w:cs="Times New Roman"/>
          <w:szCs w:val="21"/>
          <w:lang w:val="en-US" w:eastAsia="zh-CN"/>
        </w:rPr>
        <w:t>，</w:t>
      </w:r>
      <w:r>
        <w:rPr>
          <w:rFonts w:hint="default" w:ascii="宋体" w:hAnsi="宋体" w:eastAsia="宋体" w:cs="Times New Roman"/>
          <w:szCs w:val="21"/>
          <w:lang w:val="en-US" w:eastAsia="zh-CN"/>
        </w:rPr>
        <w:t>具体见第一册专用条款相关内容。</w:t>
      </w:r>
    </w:p>
    <w:p w14:paraId="5E23686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26.2投标样品上必须标注“项目名称及项目编号、样品编号、样品名称”等信息，但不得显示指向任何投标供应商的信息、生产厂家的商标，或者其他的标记标识。需要安装的投标样品必须为安装完整的成品，由投标供应商自行组织安装。</w:t>
      </w:r>
    </w:p>
    <w:p w14:paraId="69FE325C">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26.2.1样品递交签到：</w:t>
      </w:r>
    </w:p>
    <w:p w14:paraId="32083F7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投标供应商的受托人需在本项目投标截止时间前，提供法定代表人证明书（盖公章）、法定代表人授权委托书（盖公章）、受托人身份证原件和复印件、样品清单（加盖公章），到</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，按工作人员指引进行样品递交签到。</w:t>
      </w:r>
    </w:p>
    <w:p w14:paraId="3A8D68A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特别注意事项：（1）上述资料提供不齐全的，不予签到；（2）本项目投标截止时间后，不再受理签到；（3）未进行签到的，样品不予接收。</w:t>
      </w:r>
    </w:p>
    <w:p w14:paraId="2F9162A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26.2.2样品接收</w:t>
      </w:r>
    </w:p>
    <w:p w14:paraId="3C0D4B7D">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 xml:space="preserve">本项目投标截止时间后进行投标样品接收。投标样品接收必须进行身份核对、样品核对、登记确认、顺序编号。 </w:t>
      </w:r>
    </w:p>
    <w:p w14:paraId="2A5406F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（1）身份核对。</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核对投标供应商受托人提供的“法定代表人证明书（盖公章）、法定代表人授权委托书（盖公章）、受托人身份证原件和复印件”。资料不齐全的，不得接收投标样品。</w:t>
      </w:r>
    </w:p>
    <w:p w14:paraId="6C4D941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（2）样品核对。</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工作人员将投标样品与投标供应商提供的《样品清单》（盖公章）进行一一核对。有不一致的或损坏情况的，将要求供应商受托人在《样品清单》上注明。</w:t>
      </w:r>
    </w:p>
    <w:p w14:paraId="767984A8">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（3）登记确认。在完成身份核对及样品核对后，投标供应商受托人必须在《样品接收登记表》上登记确认。</w:t>
      </w:r>
    </w:p>
    <w:p w14:paraId="1C054E0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（4）顺序编号。</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工作人员按投标样品接收的先后顺序进行编号。</w:t>
      </w:r>
    </w:p>
    <w:p w14:paraId="5C0CC1A8">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26.3</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工作人员负责组织投标样品摆样，指引供应商受托人将投标样品搬运到指定地点摆放、拆除包装，按要求摆放整齐。完成样品摆样后，供应商受托人应及时离场，不得在摆样现场滞留。</w:t>
      </w:r>
    </w:p>
    <w:p w14:paraId="2F87A07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26.4样品的退回：未中标的供应商投标样品，</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工作人员将按规定进行通知，并要求供应商受托人在项目完成评审后的三个工作日内凭身份证及样品受理回执原件办理退回手续</w:t>
      </w:r>
      <w:r>
        <w:rPr>
          <w:rFonts w:hint="eastAsia" w:ascii="宋体" w:hAnsi="宋体" w:eastAsia="宋体" w:cs="Times New Roman"/>
          <w:szCs w:val="21"/>
          <w:lang w:val="en-US" w:eastAsia="zh-CN"/>
        </w:rPr>
        <w:t>。</w:t>
      </w:r>
    </w:p>
    <w:p w14:paraId="5C18349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投标样品移交时，</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工作人员将再次核对供应商受托人或采购人代表身份、核对《样品清单》，签字确认后并取走样品。</w:t>
      </w:r>
    </w:p>
    <w:p w14:paraId="5B2986AC">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26.5未能及时退回的样品的处理：未中标供应商未在规定时间内（项目完成评审后三个工作日）内取回投标样品的，视为放弃取回，</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将定期清理。</w:t>
      </w:r>
    </w:p>
    <w:p w14:paraId="577AB13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27．投标文件的修改和撤销</w:t>
      </w:r>
    </w:p>
    <w:p w14:paraId="720C243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27.1投标截止时间以后不得修改投标文件。</w:t>
      </w:r>
    </w:p>
    <w:p w14:paraId="4032DC0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27.</w:t>
      </w:r>
      <w:r>
        <w:rPr>
          <w:rFonts w:hint="eastAsia" w:ascii="宋体" w:hAnsi="宋体" w:eastAsia="宋体" w:cs="Times New Roman"/>
          <w:szCs w:val="21"/>
          <w:lang w:val="en-US" w:eastAsia="zh-CN"/>
        </w:rPr>
        <w:t>2</w:t>
      </w:r>
      <w:r>
        <w:rPr>
          <w:rFonts w:hint="default" w:ascii="宋体" w:hAnsi="宋体" w:eastAsia="宋体" w:cs="Times New Roman"/>
          <w:szCs w:val="21"/>
          <w:lang w:val="en-US" w:eastAsia="zh-CN"/>
        </w:rPr>
        <w:t>从投标截止期至投标人在投标书中确定的投标有效期之间的这段时间内，投标人不得撤回其投标。</w:t>
      </w:r>
    </w:p>
    <w:p w14:paraId="1FDF419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27.</w:t>
      </w:r>
      <w:r>
        <w:rPr>
          <w:rFonts w:hint="eastAsia" w:ascii="宋体" w:hAnsi="宋体" w:eastAsia="宋体" w:cs="Times New Roman"/>
          <w:szCs w:val="21"/>
          <w:lang w:val="en-US" w:eastAsia="zh-CN"/>
        </w:rPr>
        <w:t>3采购人</w:t>
      </w:r>
      <w:r>
        <w:rPr>
          <w:rFonts w:hint="default" w:ascii="宋体" w:hAnsi="宋体" w:eastAsia="宋体" w:cs="Times New Roman"/>
          <w:szCs w:val="21"/>
          <w:lang w:val="en-US" w:eastAsia="zh-CN"/>
        </w:rPr>
        <w:t>不退还投标文件，专用条款另有规定的除外。</w:t>
      </w:r>
    </w:p>
    <w:p w14:paraId="59677066">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方正小标宋简体" w:hAnsi="方正小标宋简体" w:eastAsia="方正小标宋简体" w:cs="方正小标宋简体"/>
          <w:b w:val="0"/>
          <w:bCs/>
          <w:kern w:val="2"/>
          <w:sz w:val="32"/>
          <w:szCs w:val="32"/>
          <w:u w:val="none"/>
          <w:lang w:val="en-US" w:eastAsia="zh-CN" w:bidi="ar-SA"/>
        </w:rPr>
      </w:pPr>
      <w:r>
        <w:rPr>
          <w:rFonts w:hint="default" w:ascii="方正小标宋简体" w:hAnsi="方正小标宋简体" w:eastAsia="方正小标宋简体" w:cs="方正小标宋简体"/>
          <w:b w:val="0"/>
          <w:bCs/>
          <w:kern w:val="2"/>
          <w:sz w:val="32"/>
          <w:szCs w:val="32"/>
          <w:u w:val="none"/>
          <w:lang w:val="en-US" w:eastAsia="zh-CN" w:bidi="ar-SA"/>
        </w:rPr>
        <w:t>第五章</w:t>
      </w:r>
      <w:r>
        <w:rPr>
          <w:rFonts w:hint="eastAsia" w:ascii="方正小标宋简体" w:hAnsi="方正小标宋简体" w:eastAsia="方正小标宋简体" w:cs="方正小标宋简体"/>
          <w:b w:val="0"/>
          <w:bCs/>
          <w:kern w:val="2"/>
          <w:sz w:val="32"/>
          <w:szCs w:val="32"/>
          <w:u w:val="none"/>
          <w:lang w:val="en-US" w:eastAsia="zh-CN" w:bidi="ar-SA"/>
        </w:rPr>
        <w:t xml:space="preserve">  </w:t>
      </w:r>
      <w:r>
        <w:rPr>
          <w:rFonts w:hint="default" w:ascii="方正小标宋简体" w:hAnsi="方正小标宋简体" w:eastAsia="方正小标宋简体" w:cs="方正小标宋简体"/>
          <w:b w:val="0"/>
          <w:bCs/>
          <w:kern w:val="2"/>
          <w:sz w:val="32"/>
          <w:szCs w:val="32"/>
          <w:u w:val="none"/>
          <w:lang w:val="en-US" w:eastAsia="zh-CN" w:bidi="ar-SA"/>
        </w:rPr>
        <w:t>开标</w:t>
      </w:r>
    </w:p>
    <w:p w14:paraId="35FCE6BA">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28．开标</w:t>
      </w:r>
    </w:p>
    <w:p w14:paraId="43597470">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将在投标截止时间后进行</w:t>
      </w:r>
      <w:r>
        <w:rPr>
          <w:rFonts w:hint="eastAsia" w:ascii="宋体" w:hAnsi="宋体" w:eastAsia="宋体" w:cs="Times New Roman"/>
          <w:szCs w:val="21"/>
          <w:lang w:val="en-US" w:eastAsia="zh-CN"/>
        </w:rPr>
        <w:t>项目评审</w:t>
      </w:r>
      <w:r>
        <w:rPr>
          <w:rFonts w:hint="default" w:ascii="宋体" w:hAnsi="宋体" w:eastAsia="宋体" w:cs="Times New Roman"/>
          <w:szCs w:val="21"/>
          <w:lang w:val="en-US" w:eastAsia="zh-CN"/>
        </w:rPr>
        <w:t>，并在网上公布</w:t>
      </w:r>
      <w:r>
        <w:rPr>
          <w:rFonts w:hint="eastAsia" w:ascii="宋体" w:hAnsi="宋体" w:eastAsia="宋体" w:cs="Times New Roman"/>
          <w:szCs w:val="21"/>
          <w:lang w:val="en-US" w:eastAsia="zh-CN"/>
        </w:rPr>
        <w:t>中标（成交）</w:t>
      </w:r>
      <w:r>
        <w:rPr>
          <w:rFonts w:hint="default" w:ascii="宋体" w:hAnsi="宋体" w:eastAsia="宋体" w:cs="Times New Roman"/>
          <w:szCs w:val="21"/>
          <w:lang w:val="en-US" w:eastAsia="zh-CN"/>
        </w:rPr>
        <w:t>结果。</w:t>
      </w:r>
    </w:p>
    <w:p w14:paraId="4105827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r>
        <w:rPr>
          <w:rFonts w:hint="default" w:ascii="宋体" w:hAnsi="宋体" w:eastAsia="宋体" w:cs="Times New Roman"/>
          <w:szCs w:val="21"/>
          <w:lang w:val="en-US" w:eastAsia="zh-CN"/>
        </w:rPr>
        <w:tab/>
      </w:r>
    </w:p>
    <w:p w14:paraId="1BD74390">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方正小标宋简体" w:hAnsi="方正小标宋简体" w:eastAsia="方正小标宋简体" w:cs="方正小标宋简体"/>
          <w:b w:val="0"/>
          <w:bCs/>
          <w:kern w:val="2"/>
          <w:sz w:val="32"/>
          <w:szCs w:val="32"/>
          <w:u w:val="none"/>
          <w:lang w:val="en-US" w:eastAsia="zh-CN" w:bidi="ar-SA"/>
        </w:rPr>
      </w:pPr>
      <w:r>
        <w:rPr>
          <w:rFonts w:hint="default" w:ascii="方正小标宋简体" w:hAnsi="方正小标宋简体" w:eastAsia="方正小标宋简体" w:cs="方正小标宋简体"/>
          <w:b w:val="0"/>
          <w:bCs/>
          <w:kern w:val="2"/>
          <w:sz w:val="32"/>
          <w:szCs w:val="32"/>
          <w:u w:val="none"/>
          <w:lang w:val="en-US" w:eastAsia="zh-CN" w:bidi="ar-SA"/>
        </w:rPr>
        <w:t>第六章</w:t>
      </w:r>
      <w:r>
        <w:rPr>
          <w:rFonts w:hint="eastAsia" w:ascii="方正小标宋简体" w:hAnsi="方正小标宋简体" w:eastAsia="方正小标宋简体" w:cs="方正小标宋简体"/>
          <w:b w:val="0"/>
          <w:bCs/>
          <w:kern w:val="2"/>
          <w:sz w:val="32"/>
          <w:szCs w:val="32"/>
          <w:u w:val="none"/>
          <w:lang w:val="en-US" w:eastAsia="zh-CN" w:bidi="ar-SA"/>
        </w:rPr>
        <w:t xml:space="preserve">  评审</w:t>
      </w:r>
      <w:r>
        <w:rPr>
          <w:rFonts w:hint="default" w:ascii="方正小标宋简体" w:hAnsi="方正小标宋简体" w:eastAsia="方正小标宋简体" w:cs="方正小标宋简体"/>
          <w:b w:val="0"/>
          <w:bCs/>
          <w:kern w:val="2"/>
          <w:sz w:val="32"/>
          <w:szCs w:val="32"/>
          <w:u w:val="none"/>
          <w:lang w:val="en-US" w:eastAsia="zh-CN" w:bidi="ar-SA"/>
        </w:rPr>
        <w:t>要求</w:t>
      </w:r>
    </w:p>
    <w:p w14:paraId="56295EE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29．</w:t>
      </w:r>
      <w:r>
        <w:rPr>
          <w:rFonts w:hint="eastAsia" w:ascii="宋体" w:hAnsi="宋体" w:eastAsia="宋体" w:cs="Times New Roman"/>
          <w:b/>
          <w:bCs/>
          <w:szCs w:val="21"/>
          <w:lang w:val="en-US" w:eastAsia="zh-CN"/>
        </w:rPr>
        <w:t>采购评审小组</w:t>
      </w:r>
      <w:r>
        <w:rPr>
          <w:rFonts w:hint="default" w:ascii="宋体" w:hAnsi="宋体" w:eastAsia="宋体" w:cs="Times New Roman"/>
          <w:b/>
          <w:bCs/>
          <w:szCs w:val="21"/>
          <w:lang w:val="en-US" w:eastAsia="zh-CN"/>
        </w:rPr>
        <w:t>组成</w:t>
      </w:r>
    </w:p>
    <w:p w14:paraId="000BA6F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29.1开标结束后召开</w:t>
      </w:r>
      <w:r>
        <w:rPr>
          <w:rFonts w:hint="eastAsia" w:ascii="宋体" w:hAnsi="宋体" w:eastAsia="宋体" w:cs="Times New Roman"/>
          <w:szCs w:val="21"/>
          <w:lang w:val="en-US" w:eastAsia="zh-CN"/>
        </w:rPr>
        <w:t>项目评审</w:t>
      </w:r>
      <w:r>
        <w:rPr>
          <w:rFonts w:hint="default" w:ascii="宋体" w:hAnsi="宋体" w:eastAsia="宋体" w:cs="Times New Roman"/>
          <w:szCs w:val="21"/>
          <w:lang w:val="en-US" w:eastAsia="zh-CN"/>
        </w:rPr>
        <w:t>会议，</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由</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依法组建，负责</w:t>
      </w:r>
      <w:r>
        <w:rPr>
          <w:rFonts w:hint="eastAsia" w:ascii="宋体" w:hAnsi="宋体" w:eastAsia="宋体" w:cs="Times New Roman"/>
          <w:szCs w:val="21"/>
          <w:lang w:val="en-US" w:eastAsia="zh-CN"/>
        </w:rPr>
        <w:t>项目采购评审</w:t>
      </w:r>
      <w:r>
        <w:rPr>
          <w:rFonts w:hint="default" w:ascii="宋体" w:hAnsi="宋体" w:eastAsia="宋体" w:cs="Times New Roman"/>
          <w:szCs w:val="21"/>
          <w:lang w:val="en-US" w:eastAsia="zh-CN"/>
        </w:rPr>
        <w:t>。</w:t>
      </w:r>
    </w:p>
    <w:p w14:paraId="4A0B1B5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29.2</w:t>
      </w:r>
      <w:r>
        <w:rPr>
          <w:rFonts w:hint="eastAsia" w:ascii="宋体" w:hAnsi="宋体" w:eastAsia="宋体" w:cs="Times New Roman"/>
          <w:szCs w:val="21"/>
          <w:lang w:val="en-US" w:eastAsia="zh-CN"/>
        </w:rPr>
        <w:t>项目评审</w:t>
      </w:r>
      <w:r>
        <w:rPr>
          <w:rFonts w:hint="default" w:ascii="宋体" w:hAnsi="宋体" w:eastAsia="宋体" w:cs="Times New Roman"/>
          <w:szCs w:val="21"/>
          <w:lang w:val="en-US" w:eastAsia="zh-CN"/>
        </w:rPr>
        <w:t>应当遵循公平、公正、科学、择优的原则。</w:t>
      </w:r>
    </w:p>
    <w:p w14:paraId="5A6B7C0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29.3</w:t>
      </w:r>
      <w:r>
        <w:rPr>
          <w:rFonts w:hint="eastAsia" w:ascii="宋体" w:hAnsi="宋体" w:eastAsia="宋体" w:cs="Times New Roman"/>
          <w:szCs w:val="21"/>
          <w:lang w:val="en-US" w:eastAsia="zh-CN"/>
        </w:rPr>
        <w:t>项目评审</w:t>
      </w:r>
      <w:r>
        <w:rPr>
          <w:rFonts w:hint="default" w:ascii="宋体" w:hAnsi="宋体" w:eastAsia="宋体" w:cs="Times New Roman"/>
          <w:szCs w:val="21"/>
          <w:lang w:val="en-US" w:eastAsia="zh-CN"/>
        </w:rPr>
        <w:t>依法进行，任何单位和个人不得非法干预</w:t>
      </w:r>
      <w:r>
        <w:rPr>
          <w:rFonts w:hint="eastAsia" w:ascii="宋体" w:hAnsi="宋体" w:eastAsia="宋体" w:cs="Times New Roman"/>
          <w:szCs w:val="21"/>
          <w:lang w:val="en-US" w:eastAsia="zh-CN"/>
        </w:rPr>
        <w:t>项目评审</w:t>
      </w:r>
      <w:r>
        <w:rPr>
          <w:rFonts w:hint="default" w:ascii="宋体" w:hAnsi="宋体" w:eastAsia="宋体" w:cs="Times New Roman"/>
          <w:szCs w:val="21"/>
          <w:lang w:val="en-US" w:eastAsia="zh-CN"/>
        </w:rPr>
        <w:t>过程和结果。</w:t>
      </w:r>
    </w:p>
    <w:p w14:paraId="0368CF8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29.4</w:t>
      </w:r>
      <w:r>
        <w:rPr>
          <w:rFonts w:hint="eastAsia" w:ascii="宋体" w:hAnsi="宋体" w:eastAsia="宋体" w:cs="Times New Roman"/>
          <w:szCs w:val="21"/>
          <w:lang w:val="en-US" w:eastAsia="zh-CN"/>
        </w:rPr>
        <w:t>项目评审</w:t>
      </w:r>
      <w:r>
        <w:rPr>
          <w:rFonts w:hint="default" w:ascii="宋体" w:hAnsi="宋体" w:eastAsia="宋体" w:cs="Times New Roman"/>
          <w:szCs w:val="21"/>
          <w:lang w:val="en-US" w:eastAsia="zh-CN"/>
        </w:rPr>
        <w:t>过程中不允许违背</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程序或采用</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未载明的</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方法或</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因素进行</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w:t>
      </w:r>
    </w:p>
    <w:p w14:paraId="028451E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29.5开标后，直到签订合同为止，凡属于对投标文件的审查、澄清、评价和比较的有关资料以及中标候选人的推荐情况、与</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有关的其他任何情况均严格保密（信息公开的内容除外）。</w:t>
      </w:r>
    </w:p>
    <w:p w14:paraId="56D0377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30．向</w:t>
      </w:r>
      <w:r>
        <w:rPr>
          <w:rFonts w:hint="eastAsia" w:ascii="宋体" w:hAnsi="宋体" w:eastAsia="宋体" w:cs="Times New Roman"/>
          <w:b/>
          <w:bCs/>
          <w:szCs w:val="21"/>
          <w:lang w:val="en-US" w:eastAsia="zh-CN"/>
        </w:rPr>
        <w:t>采购评审小组</w:t>
      </w:r>
      <w:r>
        <w:rPr>
          <w:rFonts w:hint="default" w:ascii="宋体" w:hAnsi="宋体" w:eastAsia="宋体" w:cs="Times New Roman"/>
          <w:b/>
          <w:bCs/>
          <w:szCs w:val="21"/>
          <w:lang w:val="en-US" w:eastAsia="zh-CN"/>
        </w:rPr>
        <w:t>提供的资料</w:t>
      </w:r>
    </w:p>
    <w:p w14:paraId="784BA76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30.1公开发布的</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，包括图纸、服务清单、答疑文件等；</w:t>
      </w:r>
    </w:p>
    <w:p w14:paraId="4C5ACAA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30.2其他</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必须的资料。</w:t>
      </w:r>
    </w:p>
    <w:p w14:paraId="4057C59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30.3</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应当认真研究</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，至少应了解熟悉以下内容：</w:t>
      </w:r>
    </w:p>
    <w:p w14:paraId="635939A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（1）招标的目的；</w:t>
      </w:r>
    </w:p>
    <w:p w14:paraId="1C2538D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（2）招标项目需求的范围和性质；</w:t>
      </w:r>
    </w:p>
    <w:p w14:paraId="20FF3ED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规定的投标人的资格、预算限额、商务条款；</w:t>
      </w:r>
    </w:p>
    <w:p w14:paraId="114B9B2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规定的</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程序、</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方法和</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因素；</w:t>
      </w:r>
    </w:p>
    <w:p w14:paraId="1700B6C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（5）</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所列示的资格性审查表及符合性审查表；</w:t>
      </w:r>
    </w:p>
    <w:p w14:paraId="1437EB1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31．独立</w:t>
      </w:r>
      <w:r>
        <w:rPr>
          <w:rFonts w:hint="eastAsia" w:ascii="宋体" w:hAnsi="宋体" w:eastAsia="宋体" w:cs="Times New Roman"/>
          <w:b/>
          <w:bCs/>
          <w:szCs w:val="21"/>
          <w:lang w:val="en-US" w:eastAsia="zh-CN"/>
        </w:rPr>
        <w:t>评审</w:t>
      </w:r>
    </w:p>
    <w:p w14:paraId="53EF902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30.1</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成员的</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活动应当独立进行，并应遵循投标文件初审、澄清有关问题、比较与评价、确定</w:t>
      </w:r>
      <w:r>
        <w:rPr>
          <w:rFonts w:hint="eastAsia" w:ascii="宋体" w:hAnsi="宋体" w:eastAsia="宋体" w:cs="Times New Roman"/>
          <w:szCs w:val="21"/>
          <w:lang w:val="en-US" w:eastAsia="zh-CN"/>
        </w:rPr>
        <w:t>拟</w:t>
      </w:r>
      <w:r>
        <w:rPr>
          <w:rFonts w:hint="default" w:ascii="宋体" w:hAnsi="宋体" w:eastAsia="宋体" w:cs="Times New Roman"/>
          <w:szCs w:val="21"/>
          <w:lang w:val="en-US" w:eastAsia="zh-CN"/>
        </w:rPr>
        <w:t>中标供应商、编写</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报告的工作程序。</w:t>
      </w:r>
    </w:p>
    <w:p w14:paraId="16489D26">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方正小标宋简体" w:hAnsi="方正小标宋简体" w:eastAsia="方正小标宋简体" w:cs="方正小标宋简体"/>
          <w:b w:val="0"/>
          <w:bCs/>
          <w:kern w:val="2"/>
          <w:sz w:val="32"/>
          <w:szCs w:val="32"/>
          <w:u w:val="none"/>
          <w:lang w:val="en-US" w:eastAsia="zh-CN" w:bidi="ar-SA"/>
        </w:rPr>
      </w:pPr>
      <w:r>
        <w:rPr>
          <w:rFonts w:hint="default" w:ascii="方正小标宋简体" w:hAnsi="方正小标宋简体" w:eastAsia="方正小标宋简体" w:cs="方正小标宋简体"/>
          <w:b w:val="0"/>
          <w:bCs/>
          <w:kern w:val="2"/>
          <w:sz w:val="32"/>
          <w:szCs w:val="32"/>
          <w:u w:val="none"/>
          <w:lang w:val="en-US" w:eastAsia="zh-CN" w:bidi="ar-SA"/>
        </w:rPr>
        <w:t>第七章</w:t>
      </w:r>
      <w:r>
        <w:rPr>
          <w:rFonts w:hint="eastAsia" w:ascii="方正小标宋简体" w:hAnsi="方正小标宋简体" w:eastAsia="方正小标宋简体" w:cs="方正小标宋简体"/>
          <w:b w:val="0"/>
          <w:bCs/>
          <w:kern w:val="2"/>
          <w:sz w:val="32"/>
          <w:szCs w:val="32"/>
          <w:u w:val="none"/>
          <w:lang w:val="en-US" w:eastAsia="zh-CN" w:bidi="ar-SA"/>
        </w:rPr>
        <w:t xml:space="preserve">  评审</w:t>
      </w:r>
      <w:r>
        <w:rPr>
          <w:rFonts w:hint="default" w:ascii="方正小标宋简体" w:hAnsi="方正小标宋简体" w:eastAsia="方正小标宋简体" w:cs="方正小标宋简体"/>
          <w:b w:val="0"/>
          <w:bCs/>
          <w:kern w:val="2"/>
          <w:sz w:val="32"/>
          <w:szCs w:val="32"/>
          <w:u w:val="none"/>
          <w:lang w:val="en-US" w:eastAsia="zh-CN" w:bidi="ar-SA"/>
        </w:rPr>
        <w:t>程序及</w:t>
      </w:r>
      <w:r>
        <w:rPr>
          <w:rFonts w:hint="eastAsia" w:ascii="方正小标宋简体" w:hAnsi="方正小标宋简体" w:eastAsia="方正小标宋简体" w:cs="方正小标宋简体"/>
          <w:b w:val="0"/>
          <w:bCs/>
          <w:kern w:val="2"/>
          <w:sz w:val="32"/>
          <w:szCs w:val="32"/>
          <w:u w:val="none"/>
          <w:lang w:val="en-US" w:eastAsia="zh-CN" w:bidi="ar-SA"/>
        </w:rPr>
        <w:t>评审</w:t>
      </w:r>
      <w:r>
        <w:rPr>
          <w:rFonts w:hint="default" w:ascii="方正小标宋简体" w:hAnsi="方正小标宋简体" w:eastAsia="方正小标宋简体" w:cs="方正小标宋简体"/>
          <w:b w:val="0"/>
          <w:bCs/>
          <w:kern w:val="2"/>
          <w:sz w:val="32"/>
          <w:szCs w:val="32"/>
          <w:u w:val="none"/>
          <w:lang w:val="en-US" w:eastAsia="zh-CN" w:bidi="ar-SA"/>
        </w:rPr>
        <w:t>方法</w:t>
      </w:r>
    </w:p>
    <w:p w14:paraId="655D1203">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32．投标文件初审</w:t>
      </w:r>
    </w:p>
    <w:p w14:paraId="0C04745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32.1投标文件初审包括资格性审查和符合性审查。资格性审查：依据法律法规和</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的规定，对投标文件中的资格证明等进行审查，以确定投标供应商是否具备投标资格。符合性审查：依据</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的规定，对投标文件的有效性、完整性和对</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的响应程度进行审查，以确定是否满足符合性审查的要求。</w:t>
      </w:r>
    </w:p>
    <w:p w14:paraId="14F918B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32.2投标文件初审内容请详见《资格性审查表》和《符合性审查表》部分。投标人若有一条审查不通过则按投标无效处理。</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对投标单位打√为通过审查，打×为未通过审查。</w:t>
      </w:r>
    </w:p>
    <w:p w14:paraId="0E10BBC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32.3投标文件初审中关于供应商家数的计算:</w:t>
      </w:r>
    </w:p>
    <w:p w14:paraId="3708321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32.3.1采用最低</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价法的采购项目，提供相同品牌产品的不同投标人参加同一合同项下投标的，以其中通过资格审查、符合性审查且报价最低的参加</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；报价相同的，由采购人按照</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规定的方式确定一个参加</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的投标人，</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未规定的采取随机抽取方式确定，其他投标无效。</w:t>
      </w:r>
    </w:p>
    <w:p w14:paraId="3F4F22A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32.3.2采用综合评分法的采购项目，提供相同品牌产品且通过资格审查、符合性审查的不同投标人参加同一合同项下投标的，按一家投标人计算，评审后得分最高的同品牌投标人获得中标人推荐资格；评审得分相同的，由采购人按照</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规定的方式确定一个投标人获得中标人推荐资格，</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未规定的采取随机抽取方式确定，其他同品牌投标人不作为中标候选人。</w:t>
      </w:r>
    </w:p>
    <w:p w14:paraId="642006E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32.3.3非单一产品采购项目，采购人应当根据采购项目技术构成、产品价格比重等合理确定核心产品，并在</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中载明。多家投标人提供的核心产品品牌相同的，按前两款规定处理。</w:t>
      </w:r>
    </w:p>
    <w:p w14:paraId="0DE5D90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32.4</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认为投标人的报价明显低于其他通过符合性审查投标人的报价，有可能影响产品质量或者不能诚信履约的，应当要求其在</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现场合理的时间内提供书面说明，必要时提交相关证明材料；投标人不能证明其报价合理性的，</w:t>
      </w:r>
      <w:r>
        <w:rPr>
          <w:rFonts w:hint="eastAsia" w:ascii="宋体" w:hAnsi="宋体" w:cs="Times New Roman"/>
          <w:szCs w:val="21"/>
          <w:lang w:val="en-US" w:eastAsia="zh-CN"/>
        </w:rPr>
        <w:t>采购评审小组</w:t>
      </w:r>
      <w:r>
        <w:rPr>
          <w:rFonts w:hint="default" w:ascii="宋体" w:hAnsi="宋体" w:eastAsia="宋体" w:cs="Times New Roman"/>
          <w:szCs w:val="21"/>
          <w:lang w:val="en-US" w:eastAsia="zh-CN"/>
        </w:rPr>
        <w:t>应当将其作为无效投标处理。</w:t>
      </w:r>
    </w:p>
    <w:p w14:paraId="5C53E21D">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32.5投标人投标文件作无效处理的情形，具体包括但不限于以下：</w:t>
      </w:r>
    </w:p>
    <w:p w14:paraId="105A62A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32.5.1不同投标人的投标文件由同一单位或者同一个人编制，或者由同一个人分阶段参与编制；</w:t>
      </w:r>
    </w:p>
    <w:p w14:paraId="556206CD">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32.5.2不同投标人委托同一单位或者个人办理投标事宜；</w:t>
      </w:r>
    </w:p>
    <w:p w14:paraId="5C02524C">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32.5.3不同投标人的投标文件载明的项目管理成员或者联系人员为同一人；</w:t>
      </w:r>
    </w:p>
    <w:p w14:paraId="17A61A5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32.5.4不同投标人的投标文件异常一致或者投标报价呈规律性差异；</w:t>
      </w:r>
    </w:p>
    <w:p w14:paraId="5A24DF9D">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32.5.5不同投标人的投标文件或部分投标文件相互混装；</w:t>
      </w:r>
    </w:p>
    <w:p w14:paraId="186A359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32.5.6投标供应商之间相互约定给予未中标的供应商利益补偿；</w:t>
      </w:r>
    </w:p>
    <w:p w14:paraId="62DEA54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32.5.7不同投标供应商的法定代表人、主要经营负责人、项目投标授权代表人、项目负责人、主要技术人员为同一人、属同一单位或者同一单位缴纳社会保险；</w:t>
      </w:r>
    </w:p>
    <w:p w14:paraId="45786F5C">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32.5.8不同投标供应商的投标文件内容存在非正常一致；</w:t>
      </w:r>
    </w:p>
    <w:p w14:paraId="2F6B20B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32.5.9在同一单位工作人员为两家以上（含两家）供应商进行同一项投标活动；</w:t>
      </w:r>
    </w:p>
    <w:p w14:paraId="31AB198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32.5.10主管部门依照法律、法规认定的其他情形。</w:t>
      </w:r>
    </w:p>
    <w:p w14:paraId="2D612C8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32.6对不属于《资格性审查表》和《符合性审查表》所列的其他情形，除专用条款另有规定和32.5条款所列情形外，不得作为投标无效的理由。</w:t>
      </w:r>
    </w:p>
    <w:p w14:paraId="4F88A64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33．澄清有关问题</w:t>
      </w:r>
    </w:p>
    <w:p w14:paraId="0AC6E84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对于投标文件中含义不明确、同类问题表述不一致或者有明显文字和计算错误的内容，</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应当以书面形式要求投标人作出必要的澄清、说明或者补正。</w:t>
      </w:r>
    </w:p>
    <w:p w14:paraId="3BD0072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投标人的澄清、说明或者补正应当采用书面形式，并加盖公章，或者由法定代表人或其授权的代表签字。投标人的澄清、说明或者补正不得超出投标文件的范围或者改变投标文件的实质性内容。</w:t>
      </w:r>
    </w:p>
    <w:p w14:paraId="100DC16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根据本通用条款第34条，凡属于</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在评审中发现的算术错误进行核实的修改不在此列。</w:t>
      </w:r>
    </w:p>
    <w:p w14:paraId="599F46D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34．错误的修正</w:t>
      </w:r>
    </w:p>
    <w:p w14:paraId="5440879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投标文件报价出现前后不一致的，除专用条款另有规定外，按照下列规定修正：</w:t>
      </w:r>
    </w:p>
    <w:p w14:paraId="4B15677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34.1投标文件中开标一览表内容与投标文件中相应内容不一致的，以开标一览表为准；</w:t>
      </w:r>
    </w:p>
    <w:p w14:paraId="54D7C0D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34.2大写金额和小写金额不一致的，以大写金额为准；</w:t>
      </w:r>
    </w:p>
    <w:p w14:paraId="499483E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34.3单价金额小数点或者百分比有明显错位，以开标一览表的总价为准，并修改单价；</w:t>
      </w:r>
    </w:p>
    <w:p w14:paraId="12C9C90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34.4总价金额与按单价汇总金额不一致的，以单价金额计算结果为准。</w:t>
      </w:r>
    </w:p>
    <w:p w14:paraId="4184BDD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34.5同时出现两种以上不一致的，按照前款规定的顺序修正。修正后的报价按照本通用条款33条的规定，经投标人确认后产生约束力，投标人不确认的，其投标无效。</w:t>
      </w:r>
    </w:p>
    <w:p w14:paraId="7E467297">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35．投标文件的比较与评价</w:t>
      </w:r>
    </w:p>
    <w:p w14:paraId="58A3F168">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将按照《深圳经济特区政府采购条例》和《深圳经济特区政府采购条例实施细则》，参照相关法律、法规、规定，仅对通过资格性审查和符合性审查的投标文件进行综合比较与评价。</w:t>
      </w:r>
    </w:p>
    <w:p w14:paraId="4846B1F8">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成员对需要共同认定的事项存在争议的，应当按照少数服从多数的原则作出结论。持不同意见的</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成员应当在</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报告上签署不同意见及理由，否则视为同意</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报告。</w:t>
      </w:r>
    </w:p>
    <w:p w14:paraId="6DEA9F1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36.实地考察、演示或设备测试</w:t>
      </w:r>
    </w:p>
    <w:p w14:paraId="4C49A68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36.1在招标过程中，</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有权决定是否对本项目投标人进行现场勘察或实地考察或检验有关证明材料的原件。投标人应随时做好接受检查的准备。</w:t>
      </w:r>
    </w:p>
    <w:p w14:paraId="5538D64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36.2若</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要求进行现场演示或设备测试的，投标人应做好相应准备。</w:t>
      </w:r>
    </w:p>
    <w:p w14:paraId="4A97E2B5">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37．</w:t>
      </w:r>
      <w:r>
        <w:rPr>
          <w:rFonts w:hint="eastAsia" w:ascii="宋体" w:hAnsi="宋体" w:eastAsia="宋体" w:cs="Times New Roman"/>
          <w:b/>
          <w:bCs/>
          <w:szCs w:val="21"/>
          <w:lang w:val="en-US" w:eastAsia="zh-CN"/>
        </w:rPr>
        <w:t>评审</w:t>
      </w:r>
      <w:r>
        <w:rPr>
          <w:rFonts w:hint="default" w:ascii="宋体" w:hAnsi="宋体" w:eastAsia="宋体" w:cs="Times New Roman"/>
          <w:b/>
          <w:bCs/>
          <w:szCs w:val="21"/>
          <w:lang w:val="en-US" w:eastAsia="zh-CN"/>
        </w:rPr>
        <w:t>方法</w:t>
      </w:r>
    </w:p>
    <w:p w14:paraId="104CB08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37.1最低价法</w:t>
      </w:r>
    </w:p>
    <w:p w14:paraId="5C4A3F4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最低</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价法，是指投标文件满足</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全部实质性要求，按报价进行排序且投标报价最低的投标人为中标候选人的</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方法（排名第二的投标人为第一递补中标候选人、排名第三的投标人为第二递补中标候选人）。</w:t>
      </w:r>
    </w:p>
    <w:p w14:paraId="7BE03D6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37.2综合评分法</w:t>
      </w:r>
    </w:p>
    <w:p w14:paraId="1A25873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综合评分法，是指投标文件满足</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全部实质性要求，且按照评审因素的量化指标评审得分最高的投标人为中标候选人的</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方法（排名第二的投标人为第一递补中标候选人、排名第三的投标人为第二递补中标候选人）。</w:t>
      </w:r>
    </w:p>
    <w:p w14:paraId="0B48A52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37.3定性评审法</w:t>
      </w:r>
    </w:p>
    <w:p w14:paraId="4F7E6B7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定性评审法，是指按照</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规定的各项因素进行技术商务定性评审，对各投标文件是否满足</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实质性要求提出意见，指出投标文件的优点、缺陷、问题以及签订合同前应注意和澄清的事项，并形成评审报告。所有递交的投标文件不被判定为投标无效的投标人，均推荐为候选中标供应商。</w:t>
      </w:r>
    </w:p>
    <w:p w14:paraId="48402B1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37.4本项目采用的</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方法见本项目</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第一册“专用条款”的相关内容。</w:t>
      </w:r>
    </w:p>
    <w:p w14:paraId="584F0EE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37.5重新评审的情形</w:t>
      </w:r>
    </w:p>
    <w:p w14:paraId="509F4A6F">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结果汇总完成后，除下列情形外，任何人不得修改</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结果：</w:t>
      </w:r>
    </w:p>
    <w:p w14:paraId="4F3016C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（1）分值汇总计算错误的；</w:t>
      </w:r>
    </w:p>
    <w:p w14:paraId="25B401E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（2）分项评分超出评分标准范围的；</w:t>
      </w:r>
    </w:p>
    <w:p w14:paraId="3F6BF5D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成员对客观评审因素评分不一致的；</w:t>
      </w:r>
    </w:p>
    <w:p w14:paraId="26607BF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（4）经</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认定评分畸高、畸低的。</w:t>
      </w:r>
    </w:p>
    <w:p w14:paraId="6B0367E6">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报告签署前，经复核发现存在以上情形之一的，</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应当当场修改</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结果，并在</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报告中记载；</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报告签署后，采购人或者</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发现存在以上情形之一的，应当组织原</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进行重新评审。</w:t>
      </w:r>
    </w:p>
    <w:p w14:paraId="09F3976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投标人对本条第一款情形提出质疑的，采购人可以组织原</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进行重新评审。</w:t>
      </w:r>
    </w:p>
    <w:p w14:paraId="7EF22C6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37.6重新组建</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的情形</w:t>
      </w:r>
    </w:p>
    <w:p w14:paraId="2816F427">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或者其成员存在下列情形导致</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结果无效的，重新组建</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进行</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w:t>
      </w:r>
    </w:p>
    <w:p w14:paraId="57EC9A8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组成不符合相关规定的；</w:t>
      </w:r>
    </w:p>
    <w:p w14:paraId="60A37ADD">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（2）有《政府采购货物和服务招标投标管理办法》第六十二条第一至五项情形的；</w:t>
      </w:r>
    </w:p>
    <w:p w14:paraId="7AA22F0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及其成员独立</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受到非法干预的；</w:t>
      </w:r>
    </w:p>
    <w:p w14:paraId="7D68EFA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（4）有政府采购法实施条例第七十五条规定的违法行为的。</w:t>
      </w:r>
    </w:p>
    <w:p w14:paraId="1056951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有违法违规行为的原</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成员不得参加重新组建的</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w:t>
      </w:r>
    </w:p>
    <w:p w14:paraId="6AD1FD82">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方正小标宋简体" w:hAnsi="方正小标宋简体" w:eastAsia="方正小标宋简体" w:cs="方正小标宋简体"/>
          <w:b w:val="0"/>
          <w:bCs/>
          <w:kern w:val="2"/>
          <w:sz w:val="32"/>
          <w:szCs w:val="32"/>
          <w:u w:val="none"/>
          <w:lang w:val="en-US" w:eastAsia="zh-CN" w:bidi="ar-SA"/>
        </w:rPr>
      </w:pPr>
      <w:r>
        <w:rPr>
          <w:rFonts w:hint="default" w:ascii="方正小标宋简体" w:hAnsi="方正小标宋简体" w:eastAsia="方正小标宋简体" w:cs="方正小标宋简体"/>
          <w:b w:val="0"/>
          <w:bCs/>
          <w:kern w:val="2"/>
          <w:sz w:val="32"/>
          <w:szCs w:val="32"/>
          <w:u w:val="none"/>
          <w:lang w:val="en-US" w:eastAsia="zh-CN" w:bidi="ar-SA"/>
        </w:rPr>
        <w:t>第八章</w:t>
      </w:r>
      <w:r>
        <w:rPr>
          <w:rFonts w:hint="eastAsia" w:ascii="方正小标宋简体" w:hAnsi="方正小标宋简体" w:eastAsia="方正小标宋简体" w:cs="方正小标宋简体"/>
          <w:b w:val="0"/>
          <w:bCs/>
          <w:kern w:val="2"/>
          <w:sz w:val="32"/>
          <w:szCs w:val="32"/>
          <w:u w:val="none"/>
          <w:lang w:val="en-US" w:eastAsia="zh-CN" w:bidi="ar-SA"/>
        </w:rPr>
        <w:t xml:space="preserve">  </w:t>
      </w:r>
      <w:r>
        <w:rPr>
          <w:rFonts w:hint="default" w:ascii="方正小标宋简体" w:hAnsi="方正小标宋简体" w:eastAsia="方正小标宋简体" w:cs="方正小标宋简体"/>
          <w:b w:val="0"/>
          <w:bCs/>
          <w:kern w:val="2"/>
          <w:sz w:val="32"/>
          <w:szCs w:val="32"/>
          <w:u w:val="none"/>
          <w:lang w:val="en-US" w:eastAsia="zh-CN" w:bidi="ar-SA"/>
        </w:rPr>
        <w:t>定标及公示</w:t>
      </w:r>
    </w:p>
    <w:p w14:paraId="620C6E87">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38．定标方法</w:t>
      </w:r>
    </w:p>
    <w:p w14:paraId="6A2608A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38.1</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依据本项目</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所约定的</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方法进行评审和比较，向</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提交书面</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报告，并根据</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方法比较评价结果从优到劣进行排序，并推荐中标候选人。</w:t>
      </w:r>
    </w:p>
    <w:p w14:paraId="3A1E624C">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38.2采用最低</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价法的，</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结果按投标报价由低到高顺序排列。投标报价相同的并列。投标文件满足</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全部实质性要求且投标报价最低的投标人为排名第一的中标候选人（排名第二的投标人为第一递补中标候选人、排名第三的投标人为第二递补中标候选人）。</w:t>
      </w:r>
    </w:p>
    <w:p w14:paraId="11104BD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38.3采用综合评分法的，</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结果按评审后得分由高到低顺序排列。得分相同的，按投标报价由低到高顺序排列。得分且投标报价相同的并列。投标文件满足</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全部实质性要求，且按照评审因素的量化指标评审得分最高的投标人为为排名第一的中标候选人（排名第二的投标人为第一递补中标候选人、排名第三的投标人为第二递补中标候选人）。</w:t>
      </w:r>
    </w:p>
    <w:p w14:paraId="266F6D6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38.4出现并列的情况时，采取随机抽取的方式或</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成员投票方式确定并列的投标人的排序，具体操作办法及流程由</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确定。</w:t>
      </w:r>
    </w:p>
    <w:p w14:paraId="7EC12583">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38.5专用条款另有规定的，按专用条款相关要求定标。</w:t>
      </w:r>
    </w:p>
    <w:p w14:paraId="1DB12102">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39．编写</w:t>
      </w:r>
      <w:r>
        <w:rPr>
          <w:rFonts w:hint="eastAsia" w:ascii="宋体" w:hAnsi="宋体" w:eastAsia="宋体" w:cs="Times New Roman"/>
          <w:b/>
          <w:bCs/>
          <w:szCs w:val="21"/>
          <w:lang w:val="en-US" w:eastAsia="zh-CN"/>
        </w:rPr>
        <w:t>评审</w:t>
      </w:r>
      <w:r>
        <w:rPr>
          <w:rFonts w:hint="default" w:ascii="宋体" w:hAnsi="宋体" w:eastAsia="宋体" w:cs="Times New Roman"/>
          <w:b/>
          <w:bCs/>
          <w:szCs w:val="21"/>
          <w:lang w:val="en-US" w:eastAsia="zh-CN"/>
        </w:rPr>
        <w:t>报告</w:t>
      </w:r>
    </w:p>
    <w:p w14:paraId="2541913F">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报告是</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根据全体</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成员签字的原始</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记录和</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结果编写的报告，</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报告由</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全体成员签字。对</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结论持有异议的</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成员可以书面方式阐述其不同意见和理由。</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成员拒绝在</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报告上签字且不陈述其不同意见和理由的，视为同意</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结论。</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应当对此作出书面说明并记录存档。</w:t>
      </w:r>
    </w:p>
    <w:p w14:paraId="64C80695">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40．中标公告</w:t>
      </w:r>
    </w:p>
    <w:p w14:paraId="48ABDD0C">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40.1为体现“公开、公平、公正”的原则，</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结束后，</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将在深圳盐田政府在线网站（http://www.yantian.gov.cn/）上发布中标结果公告。供应商如对</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结果有异议，可在发布公示日期起</w:t>
      </w:r>
      <w:r>
        <w:rPr>
          <w:rFonts w:hint="eastAsia" w:ascii="宋体" w:hAnsi="宋体" w:eastAsia="宋体" w:cs="Times New Roman"/>
          <w:szCs w:val="21"/>
          <w:lang w:val="en-US" w:eastAsia="zh-CN"/>
        </w:rPr>
        <w:t>3</w:t>
      </w:r>
      <w:r>
        <w:rPr>
          <w:rFonts w:hint="default" w:ascii="宋体" w:hAnsi="宋体" w:eastAsia="宋体" w:cs="Times New Roman"/>
          <w:szCs w:val="21"/>
          <w:lang w:val="en-US" w:eastAsia="zh-CN"/>
        </w:rPr>
        <w:t>日内向</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提出。若在规定期限内未提出质疑，则视为认同该</w:t>
      </w:r>
      <w:r>
        <w:rPr>
          <w:rFonts w:hint="eastAsia" w:ascii="宋体" w:hAnsi="宋体" w:eastAsia="宋体" w:cs="Times New Roman"/>
          <w:szCs w:val="21"/>
          <w:lang w:val="en-US" w:eastAsia="zh-CN"/>
        </w:rPr>
        <w:t>评审</w:t>
      </w:r>
      <w:r>
        <w:rPr>
          <w:rFonts w:hint="default" w:ascii="宋体" w:hAnsi="宋体" w:eastAsia="宋体" w:cs="Times New Roman"/>
          <w:szCs w:val="21"/>
          <w:lang w:val="en-US" w:eastAsia="zh-CN"/>
        </w:rPr>
        <w:t>结果。</w:t>
      </w:r>
    </w:p>
    <w:p w14:paraId="34297A1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40.2质疑投诉人应保证质疑投诉内容的真实性和可靠性，并承担相应的法律责任。</w:t>
      </w:r>
    </w:p>
    <w:p w14:paraId="7DD45029">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41．中标通知书</w:t>
      </w:r>
    </w:p>
    <w:p w14:paraId="60BC59D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41.1中标公告公布以后</w:t>
      </w:r>
      <w:r>
        <w:rPr>
          <w:rFonts w:hint="eastAsia" w:ascii="宋体" w:hAnsi="宋体" w:eastAsia="宋体" w:cs="Times New Roman"/>
          <w:szCs w:val="21"/>
          <w:lang w:val="en-US" w:eastAsia="zh-CN"/>
        </w:rPr>
        <w:t>，</w:t>
      </w:r>
      <w:r>
        <w:rPr>
          <w:rFonts w:hint="default" w:ascii="宋体" w:hAnsi="宋体" w:eastAsia="宋体" w:cs="Times New Roman"/>
          <w:szCs w:val="21"/>
          <w:lang w:val="en-US" w:eastAsia="zh-CN"/>
        </w:rPr>
        <w:t>在公示期内无有效质疑投诉</w:t>
      </w:r>
      <w:r>
        <w:rPr>
          <w:rFonts w:hint="eastAsia" w:ascii="宋体" w:hAnsi="宋体" w:eastAsia="宋体" w:cs="Times New Roman"/>
          <w:szCs w:val="21"/>
          <w:lang w:val="en-US" w:eastAsia="zh-CN"/>
        </w:rPr>
        <w:t>，</w:t>
      </w:r>
      <w:r>
        <w:rPr>
          <w:rFonts w:hint="default" w:ascii="宋体" w:hAnsi="宋体" w:eastAsia="宋体" w:cs="Times New Roman"/>
          <w:szCs w:val="21"/>
          <w:lang w:val="en-US" w:eastAsia="zh-CN"/>
        </w:rPr>
        <w:t>中标供应商可</w:t>
      </w:r>
      <w:r>
        <w:rPr>
          <w:rFonts w:hint="eastAsia" w:ascii="宋体" w:hAnsi="宋体" w:eastAsia="宋体" w:cs="Times New Roman"/>
          <w:szCs w:val="21"/>
          <w:lang w:val="en-US" w:eastAsia="zh-CN"/>
        </w:rPr>
        <w:t>联系采购人</w:t>
      </w:r>
      <w:r>
        <w:rPr>
          <w:rFonts w:hint="default" w:ascii="宋体" w:hAnsi="宋体" w:eastAsia="宋体" w:cs="Times New Roman"/>
          <w:szCs w:val="21"/>
          <w:lang w:val="en-US" w:eastAsia="zh-CN"/>
        </w:rPr>
        <w:t>领取《中标通知书》（地点：</w:t>
      </w:r>
      <w:r>
        <w:rPr>
          <w:rFonts w:hint="eastAsia" w:ascii="宋体" w:hAnsi="宋体" w:eastAsia="宋体" w:cs="Times New Roman"/>
          <w:szCs w:val="21"/>
          <w:lang w:val="en-US" w:eastAsia="zh-CN"/>
        </w:rPr>
        <w:t>广东省深圳市盐田区沙头角镇内碧海路8号</w:t>
      </w:r>
      <w:r>
        <w:rPr>
          <w:rFonts w:hint="default" w:ascii="宋体" w:hAnsi="宋体" w:eastAsia="宋体" w:cs="Times New Roman"/>
          <w:szCs w:val="21"/>
          <w:lang w:val="en-US" w:eastAsia="zh-CN"/>
        </w:rPr>
        <w:t>）。</w:t>
      </w:r>
    </w:p>
    <w:p w14:paraId="2DD53866">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41.2中标通知书是合同的重要组成部分。</w:t>
      </w:r>
    </w:p>
    <w:p w14:paraId="247DE3EC">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41.3因质疑投诉或其它原因导致项目结果变更或采购终止的，</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有权吊销中标通知书或终止采购合同。</w:t>
      </w:r>
    </w:p>
    <w:p w14:paraId="3A31B348">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方正小标宋简体" w:hAnsi="方正小标宋简体" w:eastAsia="方正小标宋简体" w:cs="方正小标宋简体"/>
          <w:b w:val="0"/>
          <w:bCs/>
          <w:kern w:val="2"/>
          <w:sz w:val="32"/>
          <w:szCs w:val="32"/>
          <w:u w:val="none"/>
          <w:lang w:val="en-US" w:eastAsia="zh-CN" w:bidi="ar-SA"/>
        </w:rPr>
      </w:pPr>
      <w:r>
        <w:rPr>
          <w:rFonts w:hint="default" w:ascii="方正小标宋简体" w:hAnsi="方正小标宋简体" w:eastAsia="方正小标宋简体" w:cs="方正小标宋简体"/>
          <w:b w:val="0"/>
          <w:bCs/>
          <w:kern w:val="2"/>
          <w:sz w:val="32"/>
          <w:szCs w:val="32"/>
          <w:u w:val="none"/>
          <w:lang w:val="en-US" w:eastAsia="zh-CN" w:bidi="ar-SA"/>
        </w:rPr>
        <w:t>第九章</w:t>
      </w:r>
      <w:r>
        <w:rPr>
          <w:rFonts w:hint="eastAsia" w:ascii="方正小标宋简体" w:hAnsi="方正小标宋简体" w:eastAsia="方正小标宋简体" w:cs="方正小标宋简体"/>
          <w:b w:val="0"/>
          <w:bCs/>
          <w:kern w:val="2"/>
          <w:sz w:val="32"/>
          <w:szCs w:val="32"/>
          <w:u w:val="none"/>
          <w:lang w:val="en-US" w:eastAsia="zh-CN" w:bidi="ar-SA"/>
        </w:rPr>
        <w:t xml:space="preserve">  </w:t>
      </w:r>
      <w:r>
        <w:rPr>
          <w:rFonts w:hint="default" w:ascii="方正小标宋简体" w:hAnsi="方正小标宋简体" w:eastAsia="方正小标宋简体" w:cs="方正小标宋简体"/>
          <w:b w:val="0"/>
          <w:bCs/>
          <w:kern w:val="2"/>
          <w:sz w:val="32"/>
          <w:szCs w:val="32"/>
          <w:u w:val="none"/>
          <w:lang w:val="en-US" w:eastAsia="zh-CN" w:bidi="ar-SA"/>
        </w:rPr>
        <w:t>合同的授予与备案</w:t>
      </w:r>
    </w:p>
    <w:p w14:paraId="49D94412">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4</w:t>
      </w:r>
      <w:r>
        <w:rPr>
          <w:rFonts w:hint="eastAsia" w:ascii="宋体" w:hAnsi="宋体" w:eastAsia="宋体" w:cs="Times New Roman"/>
          <w:b/>
          <w:bCs/>
          <w:szCs w:val="21"/>
          <w:lang w:val="en-US" w:eastAsia="zh-CN"/>
        </w:rPr>
        <w:t>2</w:t>
      </w:r>
      <w:r>
        <w:rPr>
          <w:rFonts w:hint="default" w:ascii="宋体" w:hAnsi="宋体" w:eastAsia="宋体" w:cs="Times New Roman"/>
          <w:b/>
          <w:bCs/>
          <w:szCs w:val="21"/>
          <w:lang w:val="en-US" w:eastAsia="zh-CN"/>
        </w:rPr>
        <w:t>．合同授予标准</w:t>
      </w:r>
    </w:p>
    <w:p w14:paraId="77E2229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本项目的合同将授予按本</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规定评审确定的中标人。</w:t>
      </w:r>
    </w:p>
    <w:p w14:paraId="77822E5A">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4</w:t>
      </w:r>
      <w:r>
        <w:rPr>
          <w:rFonts w:hint="eastAsia" w:ascii="宋体" w:hAnsi="宋体" w:eastAsia="宋体" w:cs="Times New Roman"/>
          <w:b/>
          <w:bCs/>
          <w:szCs w:val="21"/>
          <w:lang w:val="en-US" w:eastAsia="zh-CN"/>
        </w:rPr>
        <w:t>3</w:t>
      </w:r>
      <w:r>
        <w:rPr>
          <w:rFonts w:hint="default" w:ascii="宋体" w:hAnsi="宋体" w:eastAsia="宋体" w:cs="Times New Roman"/>
          <w:b/>
          <w:bCs/>
          <w:szCs w:val="21"/>
          <w:lang w:val="en-US" w:eastAsia="zh-CN"/>
        </w:rPr>
        <w:t>．接受和拒绝任何或所有投标的权力</w:t>
      </w:r>
    </w:p>
    <w:p w14:paraId="648842BB">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保留在签订合同之前任何时候接受或拒绝任何投标或所有投标，以及宣布招标无效的权力，对受影响的投标人不承担任何责任，也无义务向受影响的投标人解释采取这一行动的理由。</w:t>
      </w:r>
    </w:p>
    <w:p w14:paraId="3A2110CA">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4</w:t>
      </w:r>
      <w:r>
        <w:rPr>
          <w:rFonts w:hint="eastAsia" w:ascii="宋体" w:hAnsi="宋体" w:eastAsia="宋体" w:cs="Times New Roman"/>
          <w:b/>
          <w:bCs/>
          <w:szCs w:val="21"/>
          <w:lang w:val="en-US" w:eastAsia="zh-CN"/>
        </w:rPr>
        <w:t>4</w:t>
      </w:r>
      <w:r>
        <w:rPr>
          <w:rFonts w:hint="default" w:ascii="宋体" w:hAnsi="宋体" w:eastAsia="宋体" w:cs="Times New Roman"/>
          <w:b/>
          <w:bCs/>
          <w:szCs w:val="21"/>
          <w:lang w:val="en-US" w:eastAsia="zh-CN"/>
        </w:rPr>
        <w:t>．合同协议书的签订</w:t>
      </w:r>
    </w:p>
    <w:p w14:paraId="2B3C778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w:t>
      </w:r>
      <w:r>
        <w:rPr>
          <w:rFonts w:hint="eastAsia" w:ascii="宋体" w:hAnsi="宋体" w:eastAsia="宋体" w:cs="Times New Roman"/>
          <w:szCs w:val="21"/>
          <w:lang w:val="en-US" w:eastAsia="zh-CN"/>
        </w:rPr>
        <w:t>4</w:t>
      </w:r>
      <w:r>
        <w:rPr>
          <w:rFonts w:hint="default" w:ascii="宋体" w:hAnsi="宋体" w:eastAsia="宋体" w:cs="Times New Roman"/>
          <w:szCs w:val="21"/>
          <w:lang w:val="en-US" w:eastAsia="zh-CN"/>
        </w:rPr>
        <w:t>.1中标人将于中标通知书发出之日起十个工作日内，按照采购文件（</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和投标文件等）内容与采购人签订政府采购合同；合同的实质性内容应当符合</w:t>
      </w:r>
      <w:r>
        <w:rPr>
          <w:rFonts w:hint="eastAsia" w:ascii="宋体" w:hAnsi="宋体" w:eastAsia="宋体" w:cs="Times New Roman"/>
          <w:szCs w:val="21"/>
          <w:lang w:val="en-US" w:eastAsia="zh-CN"/>
        </w:rPr>
        <w:t>采购文件</w:t>
      </w:r>
      <w:r>
        <w:rPr>
          <w:rFonts w:hint="default" w:ascii="宋体" w:hAnsi="宋体" w:eastAsia="宋体" w:cs="Times New Roman"/>
          <w:szCs w:val="21"/>
          <w:lang w:val="en-US" w:eastAsia="zh-CN"/>
        </w:rPr>
        <w:t>的规定。</w:t>
      </w:r>
    </w:p>
    <w:p w14:paraId="2F1FD37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w:t>
      </w:r>
      <w:r>
        <w:rPr>
          <w:rFonts w:hint="eastAsia" w:ascii="宋体" w:hAnsi="宋体" w:eastAsia="宋体" w:cs="Times New Roman"/>
          <w:szCs w:val="21"/>
          <w:lang w:val="en-US" w:eastAsia="zh-CN"/>
        </w:rPr>
        <w:t>4</w:t>
      </w:r>
      <w:r>
        <w:rPr>
          <w:rFonts w:hint="default" w:ascii="宋体" w:hAnsi="宋体" w:eastAsia="宋体" w:cs="Times New Roman"/>
          <w:szCs w:val="21"/>
          <w:lang w:val="en-US" w:eastAsia="zh-CN"/>
        </w:rPr>
        <w:t>.2中标人如不按本通用条款第4</w:t>
      </w:r>
      <w:r>
        <w:rPr>
          <w:rFonts w:hint="eastAsia" w:ascii="宋体" w:hAnsi="宋体" w:eastAsia="宋体" w:cs="Times New Roman"/>
          <w:szCs w:val="21"/>
          <w:lang w:val="en-US" w:eastAsia="zh-CN"/>
        </w:rPr>
        <w:t>4</w:t>
      </w:r>
      <w:r>
        <w:rPr>
          <w:rFonts w:hint="default" w:ascii="宋体" w:hAnsi="宋体" w:eastAsia="宋体" w:cs="Times New Roman"/>
          <w:szCs w:val="21"/>
          <w:lang w:val="en-US" w:eastAsia="zh-CN"/>
        </w:rPr>
        <w:t>.1款的规定与采购人签订合同，</w:t>
      </w: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将有充分的理由取消中标人的中标，并计入供应商诚信档案。</w:t>
      </w:r>
    </w:p>
    <w:p w14:paraId="4F8F4618">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w:t>
      </w:r>
      <w:r>
        <w:rPr>
          <w:rFonts w:hint="eastAsia" w:ascii="宋体" w:hAnsi="宋体" w:eastAsia="宋体" w:cs="Times New Roman"/>
          <w:szCs w:val="21"/>
          <w:lang w:val="en-US" w:eastAsia="zh-CN"/>
        </w:rPr>
        <w:t>4</w:t>
      </w:r>
      <w:r>
        <w:rPr>
          <w:rFonts w:hint="default" w:ascii="宋体" w:hAnsi="宋体" w:eastAsia="宋体" w:cs="Times New Roman"/>
          <w:szCs w:val="21"/>
          <w:lang w:val="en-US" w:eastAsia="zh-CN"/>
        </w:rPr>
        <w:t>.3中标人应当按照合同约定履行义务，完成中标项目，不得将中标项目转让（转包）给他人。</w:t>
      </w:r>
    </w:p>
    <w:p w14:paraId="7A5D4E5A">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default" w:ascii="宋体" w:hAnsi="宋体" w:eastAsia="宋体" w:cs="Times New Roman"/>
          <w:b/>
          <w:bCs/>
          <w:szCs w:val="21"/>
          <w:lang w:val="en-US" w:eastAsia="zh-CN"/>
        </w:rPr>
        <w:t>4</w:t>
      </w:r>
      <w:r>
        <w:rPr>
          <w:rFonts w:hint="eastAsia" w:ascii="宋体" w:hAnsi="宋体" w:eastAsia="宋体" w:cs="Times New Roman"/>
          <w:b/>
          <w:bCs/>
          <w:szCs w:val="21"/>
          <w:lang w:val="en-US" w:eastAsia="zh-CN"/>
        </w:rPr>
        <w:t>5</w:t>
      </w:r>
      <w:r>
        <w:rPr>
          <w:rFonts w:hint="default" w:ascii="宋体" w:hAnsi="宋体" w:eastAsia="宋体" w:cs="Times New Roman"/>
          <w:b/>
          <w:bCs/>
          <w:szCs w:val="21"/>
          <w:lang w:val="en-US" w:eastAsia="zh-CN"/>
        </w:rPr>
        <w:t>．供应商违法行为</w:t>
      </w:r>
    </w:p>
    <w:p w14:paraId="56DADD7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1E8B7E6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（1）在采购活动中应当回避而未回避的；</w:t>
      </w:r>
    </w:p>
    <w:p w14:paraId="0EBD28A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（2）未按本条例规定签订、履行采购合同，造成严重后果的；</w:t>
      </w:r>
    </w:p>
    <w:p w14:paraId="6B201BDD">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（3）隐瞒真实情况，提供虚假资料的；</w:t>
      </w:r>
    </w:p>
    <w:p w14:paraId="649EC68C">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（4）以非法手段排斥其他供应商参与竞争的；</w:t>
      </w:r>
    </w:p>
    <w:p w14:paraId="4D5252B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（5）与其他采购参加人串通投标的；</w:t>
      </w:r>
    </w:p>
    <w:p w14:paraId="5EC586A4">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（6）恶意投诉的；</w:t>
      </w:r>
    </w:p>
    <w:p w14:paraId="6CDFB90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（7）向采购项目相关人行贿或者提供其他不当利益的；</w:t>
      </w:r>
    </w:p>
    <w:p w14:paraId="3CDA26A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（8）阻碍、抗拒主管部门监督检查的；</w:t>
      </w:r>
    </w:p>
    <w:p w14:paraId="509791F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（9）其他违反本条例规定的行为。</w:t>
      </w:r>
    </w:p>
    <w:p w14:paraId="775948F1">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方正小标宋简体" w:hAnsi="方正小标宋简体" w:eastAsia="方正小标宋简体" w:cs="方正小标宋简体"/>
          <w:b w:val="0"/>
          <w:bCs/>
          <w:kern w:val="2"/>
          <w:sz w:val="32"/>
          <w:szCs w:val="32"/>
          <w:u w:val="none"/>
          <w:lang w:val="en-US" w:eastAsia="zh-CN" w:bidi="ar-SA"/>
        </w:rPr>
      </w:pPr>
      <w:r>
        <w:rPr>
          <w:rFonts w:hint="default" w:ascii="方正小标宋简体" w:hAnsi="方正小标宋简体" w:eastAsia="方正小标宋简体" w:cs="方正小标宋简体"/>
          <w:b w:val="0"/>
          <w:bCs/>
          <w:kern w:val="2"/>
          <w:sz w:val="32"/>
          <w:szCs w:val="32"/>
          <w:u w:val="none"/>
          <w:lang w:val="en-US" w:eastAsia="zh-CN" w:bidi="ar-SA"/>
        </w:rPr>
        <w:t>第十章</w:t>
      </w:r>
      <w:r>
        <w:rPr>
          <w:rFonts w:hint="eastAsia" w:ascii="方正小标宋简体" w:hAnsi="方正小标宋简体" w:eastAsia="方正小标宋简体" w:cs="方正小标宋简体"/>
          <w:b w:val="0"/>
          <w:bCs/>
          <w:kern w:val="2"/>
          <w:sz w:val="32"/>
          <w:szCs w:val="32"/>
          <w:u w:val="none"/>
          <w:lang w:val="en-US" w:eastAsia="zh-CN" w:bidi="ar-SA"/>
        </w:rPr>
        <w:t xml:space="preserve">  </w:t>
      </w:r>
      <w:r>
        <w:rPr>
          <w:rFonts w:hint="default" w:ascii="方正小标宋简体" w:hAnsi="方正小标宋简体" w:eastAsia="方正小标宋简体" w:cs="方正小标宋简体"/>
          <w:b w:val="0"/>
          <w:bCs/>
          <w:kern w:val="2"/>
          <w:sz w:val="32"/>
          <w:szCs w:val="32"/>
          <w:u w:val="none"/>
          <w:lang w:val="en-US" w:eastAsia="zh-CN" w:bidi="ar-SA"/>
        </w:rPr>
        <w:t>质疑处理</w:t>
      </w:r>
    </w:p>
    <w:p w14:paraId="0E804327">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eastAsia" w:ascii="宋体" w:hAnsi="宋体" w:eastAsia="宋体" w:cs="Times New Roman"/>
          <w:b/>
          <w:bCs/>
          <w:szCs w:val="21"/>
          <w:lang w:val="en-US" w:eastAsia="zh-CN"/>
        </w:rPr>
        <w:t>46.</w:t>
      </w:r>
      <w:r>
        <w:rPr>
          <w:rFonts w:hint="default" w:ascii="宋体" w:hAnsi="宋体" w:eastAsia="宋体" w:cs="Times New Roman"/>
          <w:b/>
          <w:bCs/>
          <w:szCs w:val="21"/>
          <w:lang w:val="en-US" w:eastAsia="zh-CN"/>
        </w:rPr>
        <w:t>质疑处理原则</w:t>
      </w:r>
    </w:p>
    <w:p w14:paraId="7D018FF8">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.1提出质疑</w:t>
      </w:r>
    </w:p>
    <w:p w14:paraId="65D363AF">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参与政府采购活动的供应商认为自己的权益在采购活动中受到损害的，应当自知道或者应当知道其权益受到损害之日起</w:t>
      </w:r>
      <w:r>
        <w:rPr>
          <w:rFonts w:hint="eastAsia" w:ascii="宋体" w:hAnsi="宋体" w:eastAsia="宋体" w:cs="Times New Roman"/>
          <w:szCs w:val="21"/>
          <w:lang w:val="en-US" w:eastAsia="zh-CN"/>
        </w:rPr>
        <w:t>3</w:t>
      </w:r>
      <w:r>
        <w:rPr>
          <w:rFonts w:hint="default" w:ascii="宋体" w:hAnsi="宋体" w:eastAsia="宋体" w:cs="Times New Roman"/>
          <w:szCs w:val="21"/>
          <w:lang w:val="en-US" w:eastAsia="zh-CN"/>
        </w:rPr>
        <w:t>个工作日内向采购人以书面形式提出质疑。</w:t>
      </w:r>
    </w:p>
    <w:p w14:paraId="35CCD977">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.2法律依据</w:t>
      </w:r>
    </w:p>
    <w:p w14:paraId="45248A2D">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中华人民共和国政府采购法》、《中华人民共和国政府采购法实施条例》、《深圳经济特区政府采购条例》、《深圳经济特区政府采购条例实施细则》、《政府采购质疑和投诉办法》（财政部令第94号）和其他有关法律法规规定。</w:t>
      </w:r>
    </w:p>
    <w:p w14:paraId="1AB90B6F">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.3质疑条件</w:t>
      </w:r>
    </w:p>
    <w:p w14:paraId="297E2B25">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.3.1提出质疑的供应商应当是参与所质疑项目采购活动的供应商；</w:t>
      </w:r>
    </w:p>
    <w:p w14:paraId="3674B1AB">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.3.2应当在法定质疑期内一次性提出针对同一采购程序环节的质疑，法定质疑期为自知道或应当知道权益受到损害之日起</w:t>
      </w:r>
      <w:r>
        <w:rPr>
          <w:rFonts w:hint="eastAsia" w:ascii="宋体" w:hAnsi="宋体" w:eastAsia="宋体" w:cs="Times New Roman"/>
          <w:szCs w:val="21"/>
          <w:lang w:val="en-US" w:eastAsia="zh-CN"/>
        </w:rPr>
        <w:t>3</w:t>
      </w:r>
      <w:r>
        <w:rPr>
          <w:rFonts w:hint="default" w:ascii="宋体" w:hAnsi="宋体" w:eastAsia="宋体" w:cs="Times New Roman"/>
          <w:szCs w:val="21"/>
          <w:lang w:val="en-US" w:eastAsia="zh-CN"/>
        </w:rPr>
        <w:t>个工作日内。应当知道其权益受到损害之日是指：对采购文件的质疑，为采购文件公布之日；对采购过程的质疑，为各采购程序环节结束之日；对中标或者成交结果以及</w:t>
      </w:r>
      <w:r>
        <w:rPr>
          <w:rFonts w:hint="eastAsia" w:ascii="宋体" w:hAnsi="宋体" w:eastAsia="宋体" w:cs="Times New Roman"/>
          <w:szCs w:val="21"/>
          <w:lang w:val="en-US" w:eastAsia="zh-CN"/>
        </w:rPr>
        <w:t>采购评审小组</w:t>
      </w:r>
      <w:r>
        <w:rPr>
          <w:rFonts w:hint="default" w:ascii="宋体" w:hAnsi="宋体" w:eastAsia="宋体" w:cs="Times New Roman"/>
          <w:szCs w:val="21"/>
          <w:lang w:val="en-US" w:eastAsia="zh-CN"/>
        </w:rPr>
        <w:t>组成人员的质疑，为中标</w:t>
      </w:r>
      <w:r>
        <w:rPr>
          <w:rFonts w:hint="eastAsia" w:ascii="宋体" w:hAnsi="宋体" w:eastAsia="宋体" w:cs="Times New Roman"/>
          <w:szCs w:val="21"/>
          <w:lang w:val="en-US" w:eastAsia="zh-CN"/>
        </w:rPr>
        <w:t>（</w:t>
      </w:r>
      <w:r>
        <w:rPr>
          <w:rFonts w:hint="default" w:ascii="宋体" w:hAnsi="宋体" w:eastAsia="宋体" w:cs="Times New Roman"/>
          <w:szCs w:val="21"/>
          <w:lang w:val="en-US" w:eastAsia="zh-CN"/>
        </w:rPr>
        <w:t>成交</w:t>
      </w:r>
      <w:r>
        <w:rPr>
          <w:rFonts w:hint="eastAsia" w:ascii="宋体" w:hAnsi="宋体" w:eastAsia="宋体" w:cs="Times New Roman"/>
          <w:szCs w:val="21"/>
          <w:lang w:val="en-US" w:eastAsia="zh-CN"/>
        </w:rPr>
        <w:t>）</w:t>
      </w:r>
      <w:r>
        <w:rPr>
          <w:rFonts w:hint="default" w:ascii="宋体" w:hAnsi="宋体" w:eastAsia="宋体" w:cs="Times New Roman"/>
          <w:szCs w:val="21"/>
          <w:lang w:val="en-US" w:eastAsia="zh-CN"/>
        </w:rPr>
        <w:t>结果公示之日；</w:t>
      </w:r>
    </w:p>
    <w:p w14:paraId="1FBFEA72">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 xml:space="preserve">.3.3应提交书面质疑函，质疑函应当包括以下内容： </w:t>
      </w:r>
    </w:p>
    <w:p w14:paraId="5EDFBF69">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（1）供应商的名称（或者姓名）、地址、邮编、邮箱、联系人及联系电话；</w:t>
      </w:r>
    </w:p>
    <w:p w14:paraId="44BE1768">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（2）质疑项目的名称、编号；</w:t>
      </w:r>
    </w:p>
    <w:p w14:paraId="1C192712">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（3）具体、明确的质疑对象、质疑事项和质疑请求；</w:t>
      </w:r>
    </w:p>
    <w:p w14:paraId="09EDE631">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（4）因质疑事项而受损害的权益；</w:t>
      </w:r>
    </w:p>
    <w:p w14:paraId="203CD4C7">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（5）事实依据；</w:t>
      </w:r>
    </w:p>
    <w:p w14:paraId="2DE7100A">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（6）必要的法律依据；</w:t>
      </w:r>
    </w:p>
    <w:p w14:paraId="5CE8BE2E">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（7）提出质疑的日期。</w:t>
      </w:r>
    </w:p>
    <w:p w14:paraId="7910407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供应商为自然人的，应当由本人签字；供应商为法人或者其他组织的，应当由法定代表人（负责人），或者其授权代理人签字或者盖章，并加盖公章。</w:t>
      </w:r>
    </w:p>
    <w:p w14:paraId="30A8FF5A">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w:t>
      </w:r>
      <w:r>
        <w:rPr>
          <w:rFonts w:hint="eastAsia" w:ascii="宋体" w:hAnsi="宋体" w:eastAsia="宋体" w:cs="Times New Roman"/>
          <w:szCs w:val="21"/>
          <w:lang w:val="en-US" w:eastAsia="zh-CN"/>
        </w:rPr>
        <w:t>4</w:t>
      </w:r>
      <w:r>
        <w:rPr>
          <w:rFonts w:hint="default" w:ascii="宋体" w:hAnsi="宋体" w:eastAsia="宋体" w:cs="Times New Roman"/>
          <w:szCs w:val="21"/>
          <w:lang w:val="en-US" w:eastAsia="zh-CN"/>
        </w:rPr>
        <w:t>提交材料</w:t>
      </w:r>
    </w:p>
    <w:p w14:paraId="064A2D3B">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供应商质疑实行实名制。质疑（投诉）人应保证质疑、投诉的真实性，其在质疑或投诉时应当有具体的事项及证明利益受损的事实根据，实行“谁质疑，谁举证”的原则。</w:t>
      </w:r>
    </w:p>
    <w:p w14:paraId="0E811E20">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供应商为自然人的，应当提交本人身份证复印件；供应商为法人或者其他组织的，应当根据自身性质提交营业执照复印件或者其他证明文件（如事业单位法人证书等）复印件。</w:t>
      </w:r>
    </w:p>
    <w:p w14:paraId="70FD9588">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供应商可以委托代理人进行质疑。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2AFF1AE">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.5收文部门</w:t>
      </w:r>
    </w:p>
    <w:p w14:paraId="68D0E6E6">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采购人</w:t>
      </w:r>
      <w:r>
        <w:rPr>
          <w:rFonts w:hint="default" w:ascii="宋体" w:hAnsi="宋体" w:eastAsia="宋体" w:cs="Times New Roman"/>
          <w:szCs w:val="21"/>
          <w:lang w:val="en-US" w:eastAsia="zh-CN"/>
        </w:rPr>
        <w:t>，地址：广东省深圳市盐田区沙头角镇内碧海路8号</w:t>
      </w:r>
      <w:r>
        <w:rPr>
          <w:rFonts w:hint="eastAsia" w:ascii="宋体" w:hAnsi="宋体" w:eastAsia="宋体" w:cs="Times New Roman"/>
          <w:szCs w:val="21"/>
          <w:lang w:val="en-US" w:eastAsia="zh-CN"/>
        </w:rPr>
        <w:t>2楼</w:t>
      </w:r>
      <w:r>
        <w:rPr>
          <w:rFonts w:hint="default" w:ascii="宋体" w:hAnsi="宋体" w:eastAsia="宋体" w:cs="Times New Roman"/>
          <w:szCs w:val="21"/>
          <w:lang w:val="en-US" w:eastAsia="zh-CN"/>
        </w:rPr>
        <w:t>，质疑咨询电话：0755-</w:t>
      </w:r>
      <w:r>
        <w:rPr>
          <w:rFonts w:hint="eastAsia" w:ascii="宋体" w:hAnsi="宋体" w:eastAsia="宋体" w:cs="Times New Roman"/>
          <w:szCs w:val="21"/>
          <w:lang w:val="en-US" w:eastAsia="zh-CN"/>
        </w:rPr>
        <w:t>22327442</w:t>
      </w:r>
      <w:r>
        <w:rPr>
          <w:rFonts w:hint="default" w:ascii="宋体" w:hAnsi="宋体" w:eastAsia="宋体" w:cs="Times New Roman"/>
          <w:szCs w:val="21"/>
          <w:lang w:val="en-US" w:eastAsia="zh-CN"/>
        </w:rPr>
        <w:t>。</w:t>
      </w:r>
    </w:p>
    <w:p w14:paraId="3B1D1957">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.6收文办理程序</w:t>
      </w:r>
    </w:p>
    <w:p w14:paraId="6724E4D8">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.6.1供应商提交的质疑材料符合质疑条件的办理收文，出具收文回执；</w:t>
      </w:r>
    </w:p>
    <w:p w14:paraId="46D89E8F">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.6.2供应商提交的质疑材料不符合质疑条件的，视情况处理：（1）质疑主体、时限不符合的，不予收文；（2）质疑函内容、提交人身份证明不符合的，开具补正告知书，供应商可在质疑期内补正后重新提交。</w:t>
      </w:r>
    </w:p>
    <w:p w14:paraId="684D3B78">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46</w:t>
      </w:r>
      <w:r>
        <w:rPr>
          <w:rFonts w:hint="default" w:ascii="宋体" w:hAnsi="宋体" w:eastAsia="宋体" w:cs="Times New Roman"/>
          <w:szCs w:val="21"/>
          <w:lang w:val="en-US" w:eastAsia="zh-CN"/>
        </w:rPr>
        <w:t>.7质疑答复时限</w:t>
      </w:r>
    </w:p>
    <w:p w14:paraId="442B66B5">
      <w:pPr>
        <w:ind w:firstLine="411" w:firstLineChars="196"/>
        <w:rPr>
          <w:rFonts w:hint="default" w:ascii="宋体" w:hAnsi="宋体" w:eastAsia="宋体" w:cs="Times New Roman"/>
          <w:szCs w:val="21"/>
          <w:lang w:val="en-US" w:eastAsia="zh-CN"/>
        </w:rPr>
      </w:pPr>
      <w:r>
        <w:rPr>
          <w:rFonts w:hint="default" w:ascii="宋体" w:hAnsi="宋体" w:eastAsia="宋体" w:cs="Times New Roman"/>
          <w:szCs w:val="21"/>
          <w:lang w:val="en-US" w:eastAsia="zh-CN"/>
        </w:rPr>
        <w:t>自收文之日起</w:t>
      </w:r>
      <w:r>
        <w:rPr>
          <w:rFonts w:hint="eastAsia" w:ascii="宋体" w:hAnsi="宋体" w:eastAsia="宋体" w:cs="Times New Roman"/>
          <w:szCs w:val="21"/>
          <w:lang w:val="en-US" w:eastAsia="zh-CN"/>
        </w:rPr>
        <w:t>7</w:t>
      </w:r>
      <w:r>
        <w:rPr>
          <w:rFonts w:hint="default" w:ascii="宋体" w:hAnsi="宋体" w:eastAsia="宋体" w:cs="Times New Roman"/>
          <w:szCs w:val="21"/>
          <w:lang w:val="en-US" w:eastAsia="zh-CN"/>
        </w:rPr>
        <w:t>个工作日内。</w:t>
      </w:r>
    </w:p>
    <w:p w14:paraId="2713383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宋体" w:hAnsi="宋体" w:eastAsia="宋体" w:cs="Times New Roman"/>
          <w:b/>
          <w:bCs/>
          <w:szCs w:val="21"/>
          <w:lang w:val="en-US" w:eastAsia="zh-CN"/>
        </w:rPr>
      </w:pPr>
      <w:r>
        <w:rPr>
          <w:rFonts w:hint="eastAsia" w:ascii="宋体" w:hAnsi="宋体" w:eastAsia="宋体" w:cs="Times New Roman"/>
          <w:b/>
          <w:bCs/>
          <w:szCs w:val="21"/>
          <w:lang w:val="en-US" w:eastAsia="zh-CN"/>
        </w:rPr>
        <w:t>47</w:t>
      </w:r>
      <w:r>
        <w:rPr>
          <w:rFonts w:hint="default" w:ascii="宋体" w:hAnsi="宋体" w:eastAsia="宋体" w:cs="Times New Roman"/>
          <w:b/>
          <w:bCs/>
          <w:szCs w:val="21"/>
          <w:lang w:val="en-US" w:eastAsia="zh-CN"/>
        </w:rPr>
        <w:t>.质疑后续处理</w:t>
      </w:r>
    </w:p>
    <w:p w14:paraId="173C332A">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47</w:t>
      </w:r>
      <w:r>
        <w:rPr>
          <w:rFonts w:hint="default" w:ascii="宋体" w:hAnsi="宋体" w:eastAsia="宋体" w:cs="Times New Roman"/>
          <w:szCs w:val="21"/>
          <w:lang w:val="en-US" w:eastAsia="zh-CN"/>
        </w:rPr>
        <w:t>.1供应商质疑不成立，或者成立但未对中标、成交结果构成影响的，继续开展采购活动。</w:t>
      </w:r>
    </w:p>
    <w:p w14:paraId="74DBF8CA">
      <w:pPr>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47</w:t>
      </w:r>
      <w:r>
        <w:rPr>
          <w:rFonts w:hint="default" w:ascii="宋体" w:hAnsi="宋体" w:eastAsia="宋体" w:cs="Times New Roman"/>
          <w:szCs w:val="21"/>
          <w:lang w:val="en-US" w:eastAsia="zh-CN"/>
        </w:rPr>
        <w:t>.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如果合格供应商符合法定数量，依法从合格的中标或者成交候选人中另行确定中标、成交供应商；如果合格供应商不符合法定数量，应当重新开展采购活动。</w:t>
      </w:r>
    </w:p>
    <w:sectPr>
      <w:pgSz w:w="11906" w:h="16838"/>
      <w:pgMar w:top="2098" w:right="1474" w:bottom="1984" w:left="1587"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yantian" w:date="2026-10-12T20:44:47Z" w:initials="y">
    <w:p w14:paraId="0EB3D61E">
      <w:pPr>
        <w:pStyle w:val="7"/>
        <w:rPr>
          <w:rFonts w:hint="eastAsia" w:eastAsia="宋体"/>
          <w:lang w:eastAsia="zh-CN"/>
        </w:rPr>
      </w:pPr>
      <w:r>
        <w:rPr>
          <w:rFonts w:hint="eastAsia"/>
          <w:lang w:eastAsia="zh-CN"/>
        </w:rPr>
        <w:t>我们有监理吗</w:t>
      </w:r>
    </w:p>
  </w:comment>
  <w:comment w:id="1" w:author="yantian" w:date="2026-10-12T20:45:00Z" w:initials="y">
    <w:p w14:paraId="3F6F4D19">
      <w:pPr>
        <w:pStyle w:val="7"/>
        <w:rPr>
          <w:rFonts w:hint="eastAsia" w:eastAsia="宋体"/>
          <w:lang w:eastAsia="zh-CN"/>
        </w:rPr>
      </w:pPr>
      <w:r>
        <w:rPr>
          <w:rFonts w:hint="eastAsia"/>
          <w:lang w:eastAsia="zh-CN"/>
        </w:rPr>
        <w:t>同上</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EB3D61E" w15:done="0"/>
  <w15:commentEx w15:paraId="3F6F4D1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1B17DF5-5F9B-420F-989F-70BDD97CD28C}"/>
  </w:font>
  <w:font w:name="黑体">
    <w:panose1 w:val="02010609060101010101"/>
    <w:charset w:val="86"/>
    <w:family w:val="auto"/>
    <w:pitch w:val="default"/>
    <w:sig w:usb0="800002BF" w:usb1="38CF7CFA" w:usb2="00000016" w:usb3="00000000" w:csb0="00040001" w:csb1="00000000"/>
    <w:embedRegular r:id="rId2" w:fontKey="{D2A7F8E1-A5F3-4731-8887-00B13879EC4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FD4098F2-C1C2-463E-ADC0-6895668168A4}"/>
  </w:font>
  <w:font w:name="文鼎小标宋简">
    <w:altName w:val="方正小标宋_GBK"/>
    <w:panose1 w:val="00000000000000000000"/>
    <w:charset w:val="86"/>
    <w:family w:val="modern"/>
    <w:pitch w:val="default"/>
    <w:sig w:usb0="00000000" w:usb1="00000000" w:usb2="00000010" w:usb3="00000000" w:csb0="00040000" w:csb1="00000000"/>
  </w:font>
  <w:font w:name="方正小标宋_GBK">
    <w:panose1 w:val="03000509000000000000"/>
    <w:charset w:val="86"/>
    <w:family w:val="auto"/>
    <w:pitch w:val="default"/>
    <w:sig w:usb0="00000001" w:usb1="080E0000" w:usb2="00000000" w:usb3="00000000" w:csb0="00040000" w:csb1="00000000"/>
  </w:font>
  <w:font w:name="隶书">
    <w:altName w:val="微软雅黑"/>
    <w:panose1 w:val="02010509060101010101"/>
    <w:charset w:val="00"/>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2000000000000000000"/>
    <w:charset w:val="86"/>
    <w:family w:val="auto"/>
    <w:pitch w:val="default"/>
    <w:sig w:usb0="00000000" w:usb1="00000000" w:usb2="00000012" w:usb3="00000000" w:csb0="00040001" w:csb1="00000000"/>
    <w:embedRegular r:id="rId4" w:fontKey="{508BCF8E-D7EE-4B97-AA3F-3E4B3E5E2B77}"/>
  </w:font>
  <w:font w:name="仿宋_GB2312">
    <w:altName w:val="仿宋"/>
    <w:panose1 w:val="02010609030101010101"/>
    <w:charset w:val="86"/>
    <w:family w:val="modern"/>
    <w:pitch w:val="default"/>
    <w:sig w:usb0="00000000" w:usb1="00000000" w:usb2="00000000" w:usb3="00000000" w:csb0="00040000" w:csb1="00000000"/>
    <w:embedRegular r:id="rId5" w:fontKey="{5677B5A1-C651-402A-9D1B-4845F7A42939}"/>
  </w:font>
  <w:font w:name="仿宋">
    <w:panose1 w:val="02010609060101010101"/>
    <w:charset w:val="86"/>
    <w:family w:val="modern"/>
    <w:pitch w:val="default"/>
    <w:sig w:usb0="800002BF" w:usb1="38CF7CFA" w:usb2="00000016" w:usb3="00000000" w:csb0="00040001" w:csb1="00000000"/>
    <w:embedRegular r:id="rId6" w:fontKey="{440BFAB3-B657-4CDF-9B90-38092E0BC864}"/>
  </w:font>
  <w:font w:name="楷体">
    <w:panose1 w:val="02010609060101010101"/>
    <w:charset w:val="86"/>
    <w:family w:val="auto"/>
    <w:pitch w:val="default"/>
    <w:sig w:usb0="800002BF" w:usb1="38CF7CFA" w:usb2="00000016" w:usb3="00000000" w:csb0="00040001" w:csb1="00000000"/>
    <w:embedRegular r:id="rId7" w:fontKey="{F2CDF914-50FF-4D1D-A943-5689DE0233C4}"/>
  </w:font>
  <w:font w:name="楷体_GB2312">
    <w:altName w:val="楷体"/>
    <w:panose1 w:val="02010609030101010101"/>
    <w:charset w:val="86"/>
    <w:family w:val="modern"/>
    <w:pitch w:val="default"/>
    <w:sig w:usb0="00000000" w:usb1="00000000" w:usb2="00000000" w:usb3="00000000" w:csb0="00040000" w:csb1="00000000"/>
    <w:embedRegular r:id="rId8" w:fontKey="{1B1CDD31-68B0-4753-BED9-86A18DE8104F}"/>
  </w:font>
  <w:font w:name="方正楷体_GBK">
    <w:panose1 w:val="02000000000000000000"/>
    <w:charset w:val="86"/>
    <w:family w:val="auto"/>
    <w:pitch w:val="default"/>
    <w:sig w:usb0="800002BF" w:usb1="38CF7CFA" w:usb2="00000016" w:usb3="00000000" w:csb0="00040000" w:csb1="00000000"/>
    <w:embedRegular r:id="rId9" w:fontKey="{4CAFC7A7-CF58-4DF2-AF32-1A795D25B927}"/>
  </w:font>
  <w:font w:name="方正仿宋_GBK">
    <w:altName w:val="微软雅黑"/>
    <w:panose1 w:val="02000000000000000000"/>
    <w:charset w:val="86"/>
    <w:family w:val="auto"/>
    <w:pitch w:val="default"/>
    <w:sig w:usb0="00000000" w:usb1="00000000" w:usb2="00000000" w:usb3="00000000" w:csb0="00040000" w:csb1="00000000"/>
    <w:embedRegular r:id="rId10" w:fontKey="{51C5765F-D14D-4F36-843E-1327850FF37A}"/>
  </w:font>
  <w:font w:name="华文新魏">
    <w:altName w:val="宋体"/>
    <w:panose1 w:val="02010800040101010101"/>
    <w:charset w:val="86"/>
    <w:family w:val="auto"/>
    <w:pitch w:val="default"/>
    <w:sig w:usb0="00000000" w:usb1="00000000" w:usb2="00000000" w:usb3="00000000" w:csb0="00040000" w:csb1="00000000"/>
    <w:embedRegular r:id="rId11" w:fontKey="{67956395-80B9-4156-862C-635687A588F7}"/>
  </w:font>
  <w:font w:name="MS Sans Serif">
    <w:altName w:val="Vrinda"/>
    <w:panose1 w:val="020B0500000000000000"/>
    <w:charset w:val="00"/>
    <w:family w:val="swiss"/>
    <w:pitch w:val="default"/>
    <w:sig w:usb0="00000000" w:usb1="00000000" w:usb2="00000000" w:usb3="00000000" w:csb0="00000001" w:csb1="00000000"/>
  </w:font>
  <w:font w:name="Vrinda">
    <w:panose1 w:val="020B0502040204020203"/>
    <w:charset w:val="00"/>
    <w:family w:val="auto"/>
    <w:pitch w:val="default"/>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B178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1423F5">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041423F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antian">
    <w15:presenceInfo w15:providerId="None" w15:userId="yant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C32"/>
    <w:rsid w:val="00074814"/>
    <w:rsid w:val="00086359"/>
    <w:rsid w:val="000E0330"/>
    <w:rsid w:val="000E16C7"/>
    <w:rsid w:val="00135E3C"/>
    <w:rsid w:val="00153D56"/>
    <w:rsid w:val="00161A3D"/>
    <w:rsid w:val="00161CC7"/>
    <w:rsid w:val="001778B0"/>
    <w:rsid w:val="00181C32"/>
    <w:rsid w:val="001C3C9B"/>
    <w:rsid w:val="001D61C4"/>
    <w:rsid w:val="001E7FAC"/>
    <w:rsid w:val="00217A2C"/>
    <w:rsid w:val="0022544A"/>
    <w:rsid w:val="0027722F"/>
    <w:rsid w:val="0029013A"/>
    <w:rsid w:val="002B247F"/>
    <w:rsid w:val="003279CF"/>
    <w:rsid w:val="0036480A"/>
    <w:rsid w:val="00396F44"/>
    <w:rsid w:val="003B04FB"/>
    <w:rsid w:val="003B6C0B"/>
    <w:rsid w:val="003C6E63"/>
    <w:rsid w:val="00413707"/>
    <w:rsid w:val="00424F07"/>
    <w:rsid w:val="004B6AC6"/>
    <w:rsid w:val="004B73E0"/>
    <w:rsid w:val="004C3A1E"/>
    <w:rsid w:val="004D3E32"/>
    <w:rsid w:val="004E5A98"/>
    <w:rsid w:val="004F1304"/>
    <w:rsid w:val="004F141D"/>
    <w:rsid w:val="0051640A"/>
    <w:rsid w:val="005537FA"/>
    <w:rsid w:val="00556B01"/>
    <w:rsid w:val="005A1F97"/>
    <w:rsid w:val="005B25FE"/>
    <w:rsid w:val="005B3953"/>
    <w:rsid w:val="005F34DE"/>
    <w:rsid w:val="00613AB4"/>
    <w:rsid w:val="00613CE5"/>
    <w:rsid w:val="00623BBB"/>
    <w:rsid w:val="00630797"/>
    <w:rsid w:val="006341EF"/>
    <w:rsid w:val="006348BF"/>
    <w:rsid w:val="006B3439"/>
    <w:rsid w:val="006D426A"/>
    <w:rsid w:val="006F0BCA"/>
    <w:rsid w:val="006F3D6C"/>
    <w:rsid w:val="00706F98"/>
    <w:rsid w:val="007230E5"/>
    <w:rsid w:val="0077439D"/>
    <w:rsid w:val="00774C1C"/>
    <w:rsid w:val="007C22B0"/>
    <w:rsid w:val="0083459F"/>
    <w:rsid w:val="0086279C"/>
    <w:rsid w:val="008B73C2"/>
    <w:rsid w:val="008D4465"/>
    <w:rsid w:val="008D7B88"/>
    <w:rsid w:val="008E7954"/>
    <w:rsid w:val="0096687C"/>
    <w:rsid w:val="0099245F"/>
    <w:rsid w:val="009930E4"/>
    <w:rsid w:val="00996332"/>
    <w:rsid w:val="009969C3"/>
    <w:rsid w:val="009B14B0"/>
    <w:rsid w:val="00A44398"/>
    <w:rsid w:val="00A63004"/>
    <w:rsid w:val="00A7732D"/>
    <w:rsid w:val="00AE7919"/>
    <w:rsid w:val="00B720BF"/>
    <w:rsid w:val="00BC591C"/>
    <w:rsid w:val="00BD35D7"/>
    <w:rsid w:val="00BD3F66"/>
    <w:rsid w:val="00BD6006"/>
    <w:rsid w:val="00BF1E03"/>
    <w:rsid w:val="00C15654"/>
    <w:rsid w:val="00C42619"/>
    <w:rsid w:val="00C528D4"/>
    <w:rsid w:val="00C770AC"/>
    <w:rsid w:val="00CE26FD"/>
    <w:rsid w:val="00D16E2F"/>
    <w:rsid w:val="00D67331"/>
    <w:rsid w:val="00D82DF9"/>
    <w:rsid w:val="00D921F6"/>
    <w:rsid w:val="00D965C6"/>
    <w:rsid w:val="00DA1E30"/>
    <w:rsid w:val="00E3292A"/>
    <w:rsid w:val="00E575B8"/>
    <w:rsid w:val="00E747F1"/>
    <w:rsid w:val="00EA15F3"/>
    <w:rsid w:val="00ED2A66"/>
    <w:rsid w:val="00F4273A"/>
    <w:rsid w:val="00FF7558"/>
    <w:rsid w:val="011E0F4E"/>
    <w:rsid w:val="01317F69"/>
    <w:rsid w:val="01EC0334"/>
    <w:rsid w:val="02854D06"/>
    <w:rsid w:val="02EE513F"/>
    <w:rsid w:val="032D650E"/>
    <w:rsid w:val="03977E2B"/>
    <w:rsid w:val="04275653"/>
    <w:rsid w:val="04E854C5"/>
    <w:rsid w:val="05FB6170"/>
    <w:rsid w:val="06457D23"/>
    <w:rsid w:val="064C36A0"/>
    <w:rsid w:val="067601CC"/>
    <w:rsid w:val="071F5EA4"/>
    <w:rsid w:val="072B0FB7"/>
    <w:rsid w:val="07C66F31"/>
    <w:rsid w:val="08760957"/>
    <w:rsid w:val="09F02666"/>
    <w:rsid w:val="0AC43BFC"/>
    <w:rsid w:val="0AF142C5"/>
    <w:rsid w:val="0C601702"/>
    <w:rsid w:val="0D354DA4"/>
    <w:rsid w:val="0DA43871"/>
    <w:rsid w:val="0E4806A0"/>
    <w:rsid w:val="0E5D3935"/>
    <w:rsid w:val="0E611762"/>
    <w:rsid w:val="0EC35F79"/>
    <w:rsid w:val="0FDC3796"/>
    <w:rsid w:val="106622B6"/>
    <w:rsid w:val="108654B0"/>
    <w:rsid w:val="11105B44"/>
    <w:rsid w:val="116C28F7"/>
    <w:rsid w:val="11C00551"/>
    <w:rsid w:val="120D5D21"/>
    <w:rsid w:val="123871F5"/>
    <w:rsid w:val="13225964"/>
    <w:rsid w:val="13A7639D"/>
    <w:rsid w:val="13E4721A"/>
    <w:rsid w:val="13F310AE"/>
    <w:rsid w:val="143D057B"/>
    <w:rsid w:val="14507177"/>
    <w:rsid w:val="147246C9"/>
    <w:rsid w:val="154156BA"/>
    <w:rsid w:val="15477903"/>
    <w:rsid w:val="177713E0"/>
    <w:rsid w:val="184370F1"/>
    <w:rsid w:val="18591450"/>
    <w:rsid w:val="191E14D3"/>
    <w:rsid w:val="19D159ED"/>
    <w:rsid w:val="1A143B2C"/>
    <w:rsid w:val="1A516B2E"/>
    <w:rsid w:val="1A8F02A3"/>
    <w:rsid w:val="1C2838BF"/>
    <w:rsid w:val="1C47643B"/>
    <w:rsid w:val="1C6E7E6B"/>
    <w:rsid w:val="1D6E17A5"/>
    <w:rsid w:val="1E4852D2"/>
    <w:rsid w:val="1EF34658"/>
    <w:rsid w:val="201E137B"/>
    <w:rsid w:val="203B3344"/>
    <w:rsid w:val="2088281A"/>
    <w:rsid w:val="2138344A"/>
    <w:rsid w:val="217A2E0F"/>
    <w:rsid w:val="21C30312"/>
    <w:rsid w:val="23AE4FF1"/>
    <w:rsid w:val="24771887"/>
    <w:rsid w:val="24AC2872"/>
    <w:rsid w:val="252E1F46"/>
    <w:rsid w:val="25331C52"/>
    <w:rsid w:val="25665B84"/>
    <w:rsid w:val="259742A2"/>
    <w:rsid w:val="260544E4"/>
    <w:rsid w:val="285578EF"/>
    <w:rsid w:val="29A309A6"/>
    <w:rsid w:val="29E7300B"/>
    <w:rsid w:val="2A8E16D9"/>
    <w:rsid w:val="2AAA2C41"/>
    <w:rsid w:val="2B980A61"/>
    <w:rsid w:val="2C293467"/>
    <w:rsid w:val="2C7843EE"/>
    <w:rsid w:val="2CB7326C"/>
    <w:rsid w:val="2DEB7DEB"/>
    <w:rsid w:val="2E026666"/>
    <w:rsid w:val="2EB7DC5D"/>
    <w:rsid w:val="2FC5271B"/>
    <w:rsid w:val="2FC802ED"/>
    <w:rsid w:val="30D140CD"/>
    <w:rsid w:val="30F027A5"/>
    <w:rsid w:val="33B51311"/>
    <w:rsid w:val="3421153E"/>
    <w:rsid w:val="34452E08"/>
    <w:rsid w:val="345D465C"/>
    <w:rsid w:val="3493264E"/>
    <w:rsid w:val="358B0CEF"/>
    <w:rsid w:val="35EF5721"/>
    <w:rsid w:val="35F9034E"/>
    <w:rsid w:val="360D1393"/>
    <w:rsid w:val="36315D3A"/>
    <w:rsid w:val="3720190B"/>
    <w:rsid w:val="37FB0141"/>
    <w:rsid w:val="39311BAD"/>
    <w:rsid w:val="394418E0"/>
    <w:rsid w:val="39B26C5B"/>
    <w:rsid w:val="3A1F0FA2"/>
    <w:rsid w:val="3A5E3A75"/>
    <w:rsid w:val="3AA47EC1"/>
    <w:rsid w:val="3AE25855"/>
    <w:rsid w:val="3B334302"/>
    <w:rsid w:val="3B3C32D2"/>
    <w:rsid w:val="3B742225"/>
    <w:rsid w:val="3B7A5A8D"/>
    <w:rsid w:val="3C805325"/>
    <w:rsid w:val="3D7D3613"/>
    <w:rsid w:val="3D8E75CE"/>
    <w:rsid w:val="3E422918"/>
    <w:rsid w:val="3ED2798E"/>
    <w:rsid w:val="3F5C1B04"/>
    <w:rsid w:val="3F8F3AD1"/>
    <w:rsid w:val="3FA43579"/>
    <w:rsid w:val="3FBD5D22"/>
    <w:rsid w:val="3FD2347F"/>
    <w:rsid w:val="40DC68A2"/>
    <w:rsid w:val="40F07927"/>
    <w:rsid w:val="412F3D4F"/>
    <w:rsid w:val="41BD6F44"/>
    <w:rsid w:val="432877CA"/>
    <w:rsid w:val="43860D47"/>
    <w:rsid w:val="43A538C3"/>
    <w:rsid w:val="4504286C"/>
    <w:rsid w:val="451505D5"/>
    <w:rsid w:val="45441FDC"/>
    <w:rsid w:val="458832A1"/>
    <w:rsid w:val="45B47DEE"/>
    <w:rsid w:val="45C75D73"/>
    <w:rsid w:val="47285EAC"/>
    <w:rsid w:val="48D80297"/>
    <w:rsid w:val="4A2B73D2"/>
    <w:rsid w:val="4A825948"/>
    <w:rsid w:val="4B9A1834"/>
    <w:rsid w:val="4BBD5522"/>
    <w:rsid w:val="4BE40D01"/>
    <w:rsid w:val="4C6065D9"/>
    <w:rsid w:val="4C9646F1"/>
    <w:rsid w:val="4D65577E"/>
    <w:rsid w:val="4DFE60AA"/>
    <w:rsid w:val="4E612478"/>
    <w:rsid w:val="4E6A373F"/>
    <w:rsid w:val="4FFFB7BE"/>
    <w:rsid w:val="501E6141"/>
    <w:rsid w:val="50454464"/>
    <w:rsid w:val="51257DF2"/>
    <w:rsid w:val="518E007E"/>
    <w:rsid w:val="523702BE"/>
    <w:rsid w:val="526B5CD8"/>
    <w:rsid w:val="526C7ABA"/>
    <w:rsid w:val="52AF02BB"/>
    <w:rsid w:val="52C553E8"/>
    <w:rsid w:val="52E90528"/>
    <w:rsid w:val="53042DB3"/>
    <w:rsid w:val="53500852"/>
    <w:rsid w:val="542412B3"/>
    <w:rsid w:val="542E3461"/>
    <w:rsid w:val="54337860"/>
    <w:rsid w:val="544D38E7"/>
    <w:rsid w:val="545A4256"/>
    <w:rsid w:val="54C571FB"/>
    <w:rsid w:val="54E666E2"/>
    <w:rsid w:val="554A42CB"/>
    <w:rsid w:val="555E38D2"/>
    <w:rsid w:val="564F7A5E"/>
    <w:rsid w:val="573B3D20"/>
    <w:rsid w:val="578A6C00"/>
    <w:rsid w:val="57AE6D93"/>
    <w:rsid w:val="57D77424"/>
    <w:rsid w:val="58BD6B62"/>
    <w:rsid w:val="58DC7930"/>
    <w:rsid w:val="58E23ED8"/>
    <w:rsid w:val="58F72073"/>
    <w:rsid w:val="5AEB5C08"/>
    <w:rsid w:val="5B583BEB"/>
    <w:rsid w:val="5BD91F04"/>
    <w:rsid w:val="5BF925A6"/>
    <w:rsid w:val="5C1B42CB"/>
    <w:rsid w:val="5C6F4617"/>
    <w:rsid w:val="5C7834CB"/>
    <w:rsid w:val="5CD050B5"/>
    <w:rsid w:val="5CED5C47"/>
    <w:rsid w:val="5D8A795A"/>
    <w:rsid w:val="5E7E36FE"/>
    <w:rsid w:val="5F795ED8"/>
    <w:rsid w:val="5FF27A39"/>
    <w:rsid w:val="600F4147"/>
    <w:rsid w:val="601243E7"/>
    <w:rsid w:val="604A69F1"/>
    <w:rsid w:val="60B151FE"/>
    <w:rsid w:val="611B4D6D"/>
    <w:rsid w:val="61354081"/>
    <w:rsid w:val="622A170C"/>
    <w:rsid w:val="62B9483E"/>
    <w:rsid w:val="630C7063"/>
    <w:rsid w:val="639D5F0D"/>
    <w:rsid w:val="657D1B52"/>
    <w:rsid w:val="65AE7F5E"/>
    <w:rsid w:val="65B73439"/>
    <w:rsid w:val="66124991"/>
    <w:rsid w:val="6638F3AE"/>
    <w:rsid w:val="68996CA3"/>
    <w:rsid w:val="69A262CD"/>
    <w:rsid w:val="6B8D6867"/>
    <w:rsid w:val="6C691082"/>
    <w:rsid w:val="6D286848"/>
    <w:rsid w:val="6D57537F"/>
    <w:rsid w:val="6DD24A05"/>
    <w:rsid w:val="6DDF374D"/>
    <w:rsid w:val="6F7F342B"/>
    <w:rsid w:val="6FEC1DAE"/>
    <w:rsid w:val="703B2D36"/>
    <w:rsid w:val="70710506"/>
    <w:rsid w:val="70986E39"/>
    <w:rsid w:val="70F52EE5"/>
    <w:rsid w:val="71CD79BE"/>
    <w:rsid w:val="73463ECB"/>
    <w:rsid w:val="74051691"/>
    <w:rsid w:val="74B82BA7"/>
    <w:rsid w:val="75023E22"/>
    <w:rsid w:val="750D1087"/>
    <w:rsid w:val="753F0BD2"/>
    <w:rsid w:val="755C79D6"/>
    <w:rsid w:val="76742AFE"/>
    <w:rsid w:val="780B7492"/>
    <w:rsid w:val="78BE13A5"/>
    <w:rsid w:val="78CF4963"/>
    <w:rsid w:val="78D36201"/>
    <w:rsid w:val="79815591"/>
    <w:rsid w:val="79B26E68"/>
    <w:rsid w:val="7AC2652D"/>
    <w:rsid w:val="7AC57DCC"/>
    <w:rsid w:val="7AFFAC5D"/>
    <w:rsid w:val="7B5FE912"/>
    <w:rsid w:val="7BBD96FD"/>
    <w:rsid w:val="7C016BE2"/>
    <w:rsid w:val="7C2EB0AC"/>
    <w:rsid w:val="7E2E33F3"/>
    <w:rsid w:val="7F3F9E7F"/>
    <w:rsid w:val="7FD05249"/>
    <w:rsid w:val="7FEF84A5"/>
    <w:rsid w:val="9FF85322"/>
    <w:rsid w:val="AD6C3B1E"/>
    <w:rsid w:val="B75D19E9"/>
    <w:rsid w:val="B8F34336"/>
    <w:rsid w:val="C2B7D3B2"/>
    <w:rsid w:val="E955D3B8"/>
    <w:rsid w:val="EBBF5875"/>
    <w:rsid w:val="ED769E19"/>
    <w:rsid w:val="EDF5BE84"/>
    <w:rsid w:val="EF9D8F18"/>
    <w:rsid w:val="F5F3AD99"/>
    <w:rsid w:val="F5F92E26"/>
    <w:rsid w:val="F76D298B"/>
    <w:rsid w:val="FA4D76B9"/>
    <w:rsid w:val="FA7E1FEF"/>
    <w:rsid w:val="FBFFC581"/>
    <w:rsid w:val="FFD68EB2"/>
    <w:rsid w:val="FFFFF20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1"/>
    <w:basedOn w:val="4"/>
    <w:next w:val="1"/>
    <w:qFormat/>
    <w:uiPriority w:val="0"/>
    <w:pPr>
      <w:keepNext/>
      <w:keepLines/>
      <w:adjustRightInd w:val="0"/>
      <w:jc w:val="distribute"/>
      <w:outlineLvl w:val="0"/>
    </w:pPr>
    <w:rPr>
      <w:rFonts w:eastAsia="文鼎小标宋简"/>
      <w:color w:val="FF0000"/>
      <w:kern w:val="44"/>
      <w:sz w:val="72"/>
      <w:szCs w:val="20"/>
    </w:rPr>
  </w:style>
  <w:style w:type="paragraph" w:styleId="6">
    <w:name w:val="heading 2"/>
    <w:basedOn w:val="4"/>
    <w:next w:val="5"/>
    <w:qFormat/>
    <w:uiPriority w:val="0"/>
    <w:pPr>
      <w:adjustRightInd w:val="0"/>
      <w:jc w:val="center"/>
      <w:textAlignment w:val="baseline"/>
      <w:outlineLvl w:val="1"/>
    </w:pPr>
    <w:rPr>
      <w:bCs/>
      <w:kern w:val="0"/>
      <w:sz w:val="24"/>
      <w:szCs w:val="20"/>
    </w:rPr>
  </w:style>
  <w:style w:type="paragraph" w:styleId="4">
    <w:name w:val="heading 3"/>
    <w:basedOn w:val="5"/>
    <w:next w:val="1"/>
    <w:qFormat/>
    <w:uiPriority w:val="0"/>
    <w:pPr>
      <w:spacing w:before="260" w:after="260" w:line="240" w:lineRule="auto"/>
      <w:outlineLvl w:val="2"/>
    </w:pPr>
    <w:rPr>
      <w:rFonts w:ascii="宋体" w:hAnsi="宋体" w:eastAsia="宋体"/>
      <w:bCs w:val="0"/>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4"/>
    </w:rPr>
  </w:style>
  <w:style w:type="paragraph" w:styleId="7">
    <w:name w:val="annotation text"/>
    <w:basedOn w:val="1"/>
    <w:semiHidden/>
    <w:unhideWhenUsed/>
    <w:qFormat/>
    <w:uiPriority w:val="99"/>
    <w:pPr>
      <w:jc w:val="left"/>
    </w:pPr>
  </w:style>
  <w:style w:type="paragraph" w:styleId="8">
    <w:name w:val="Body Text"/>
    <w:basedOn w:val="1"/>
    <w:next w:val="9"/>
    <w:qFormat/>
    <w:uiPriority w:val="0"/>
    <w:pPr>
      <w:spacing w:line="360" w:lineRule="auto"/>
    </w:pPr>
    <w:rPr>
      <w:b/>
      <w:bCs/>
      <w:sz w:val="24"/>
    </w:rPr>
  </w:style>
  <w:style w:type="paragraph" w:styleId="9">
    <w:name w:val="Title"/>
    <w:basedOn w:val="1"/>
    <w:qFormat/>
    <w:uiPriority w:val="0"/>
    <w:pPr>
      <w:spacing w:before="240" w:after="60"/>
      <w:jc w:val="center"/>
      <w:outlineLvl w:val="0"/>
    </w:pPr>
    <w:rPr>
      <w:rFonts w:ascii="Arial" w:hAnsi="Arial" w:eastAsia="隶书" w:cs="Arial"/>
      <w:b/>
      <w:bCs/>
      <w:sz w:val="32"/>
      <w:szCs w:val="32"/>
    </w:rPr>
  </w:style>
  <w:style w:type="paragraph" w:styleId="10">
    <w:name w:val="toc 3"/>
    <w:basedOn w:val="1"/>
    <w:next w:val="1"/>
    <w:qFormat/>
    <w:uiPriority w:val="39"/>
    <w:pPr>
      <w:ind w:left="420"/>
      <w:jc w:val="left"/>
    </w:pPr>
    <w:rPr>
      <w:i/>
      <w:iCs/>
    </w:rPr>
  </w:style>
  <w:style w:type="paragraph" w:styleId="11">
    <w:name w:val="Plain Text"/>
    <w:basedOn w:val="1"/>
    <w:qFormat/>
    <w:uiPriority w:val="0"/>
    <w:rPr>
      <w:rFonts w:ascii="宋体" w:hAnsi="Courier New"/>
      <w:szCs w:val="20"/>
    </w:rPr>
  </w:style>
  <w:style w:type="paragraph" w:styleId="12">
    <w:name w:val="footer"/>
    <w:basedOn w:val="1"/>
    <w:link w:val="2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2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toc 2"/>
    <w:basedOn w:val="1"/>
    <w:next w:val="1"/>
    <w:qFormat/>
    <w:uiPriority w:val="39"/>
    <w:pPr>
      <w:tabs>
        <w:tab w:val="right" w:leader="dot" w:pos="8296"/>
      </w:tabs>
      <w:ind w:left="210"/>
      <w:jc w:val="left"/>
    </w:pPr>
    <w:rPr>
      <w:smallCaps/>
    </w:rPr>
  </w:style>
  <w:style w:type="paragraph" w:styleId="15">
    <w:name w:val="Body Text 2"/>
    <w:basedOn w:val="1"/>
    <w:qFormat/>
    <w:uiPriority w:val="0"/>
    <w:pPr>
      <w:spacing w:line="360" w:lineRule="auto"/>
    </w:pPr>
    <w:rPr>
      <w:sz w:val="24"/>
    </w:rPr>
  </w:style>
  <w:style w:type="paragraph" w:styleId="16">
    <w:name w:val="Normal (Web)"/>
    <w:basedOn w:val="1"/>
    <w:qFormat/>
    <w:uiPriority w:val="99"/>
    <w:rPr>
      <w:sz w:val="24"/>
    </w:rPr>
  </w:style>
  <w:style w:type="table" w:styleId="18">
    <w:name w:val="Table Grid"/>
    <w:basedOn w:val="17"/>
    <w:unhideWhenUsed/>
    <w:qFormat/>
    <w:uiPriority w:val="99"/>
    <w:rPr>
      <w:rFonts w:ascii="Calibri" w:hAnsi="Calibri" w:eastAsia="宋体"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annotation reference"/>
    <w:qFormat/>
    <w:uiPriority w:val="0"/>
    <w:rPr>
      <w:sz w:val="21"/>
      <w:szCs w:val="21"/>
    </w:rPr>
  </w:style>
  <w:style w:type="character" w:customStyle="1" w:styleId="21">
    <w:name w:val="页眉 Char"/>
    <w:basedOn w:val="19"/>
    <w:link w:val="13"/>
    <w:semiHidden/>
    <w:qFormat/>
    <w:uiPriority w:val="99"/>
    <w:rPr>
      <w:sz w:val="18"/>
      <w:szCs w:val="18"/>
    </w:rPr>
  </w:style>
  <w:style w:type="character" w:customStyle="1" w:styleId="22">
    <w:name w:val="页脚 Char"/>
    <w:basedOn w:val="19"/>
    <w:link w:val="12"/>
    <w:semiHidden/>
    <w:qFormat/>
    <w:uiPriority w:val="99"/>
    <w:rPr>
      <w:sz w:val="18"/>
      <w:szCs w:val="18"/>
    </w:rPr>
  </w:style>
  <w:style w:type="paragraph" w:customStyle="1" w:styleId="23">
    <w:name w:val="Table Paragraph"/>
    <w:qFormat/>
    <w:uiPriority w:val="1"/>
    <w:pPr>
      <w:widowControl w:val="0"/>
      <w:jc w:val="both"/>
    </w:pPr>
    <w:rPr>
      <w:rFonts w:ascii="宋体" w:hAnsi="宋体" w:eastAsia="宋体" w:cs="宋体"/>
      <w:kern w:val="2"/>
      <w:sz w:val="21"/>
      <w:szCs w:val="24"/>
      <w:lang w:val="en-US" w:eastAsia="zh-CN" w:bidi="ar-SA"/>
    </w:rPr>
  </w:style>
  <w:style w:type="paragraph" w:styleId="24">
    <w:name w:val="List Paragraph"/>
    <w:basedOn w:val="1"/>
    <w:qFormat/>
    <w:uiPriority w:val="34"/>
    <w:pPr>
      <w:ind w:firstLine="420" w:firstLineChars="200"/>
    </w:pPr>
    <w:rPr>
      <w:rFonts w:ascii="Calibri" w:hAnsi="Calibri"/>
      <w:szCs w:val="22"/>
    </w:rPr>
  </w:style>
  <w:style w:type="character" w:customStyle="1" w:styleId="25">
    <w:name w:val="标题 3 Char"/>
    <w:qFormat/>
    <w:uiPriority w:val="0"/>
    <w:rPr>
      <w:rFonts w:ascii="黑体" w:eastAsia="黑体"/>
      <w:bCs/>
      <w:sz w:val="30"/>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65</Pages>
  <Words>15738</Words>
  <Characters>16243</Characters>
  <Lines>14</Lines>
  <Paragraphs>4</Paragraphs>
  <TotalTime>14</TotalTime>
  <ScaleCrop>false</ScaleCrop>
  <LinksUpToDate>false</LinksUpToDate>
  <CharactersWithSpaces>16891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2024-12-23T10:50:00Z</dcterms:created>
  <dc:creator>黄文彬</dc:creator>
  <cp:lastModifiedBy>Rodney</cp:lastModifiedBy>
  <cp:lastPrinted>2026-10-13T06:02:38Z</cp:lastPrinted>
  <dcterms:modified xsi:type="dcterms:W3CDTF">2026-10-13T07:27:06Z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8BF6AAEBF3A54037B5FB984CAC6B8EBA_13</vt:lpwstr>
  </property>
  <property fmtid="{D5CDD505-2E9C-101B-9397-08002B2CF9AE}" pid="4" name="KSOTemplateDocerSaveRecord">
    <vt:lpwstr>eyJoZGlkIjoiMTFjYjE1YTNkNDMwNWNkMTBhYzE5ODFhYzljMGRiNTkiLCJ1c2VySWQiOiI3MDg5MjQyMDgifQ==</vt:lpwstr>
  </property>
</Properties>
</file>