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240" w:after="240" w:line="640" w:lineRule="exact"/>
        <w:jc w:val="center"/>
        <w:rPr>
          <w:rFonts w:hint="eastAsia" w:ascii="方正小标宋简体" w:hAnsi="方正小标宋简体" w:eastAsia="方正小标宋简体" w:cs="方正小标宋简体"/>
          <w:color w:val="auto"/>
        </w:rPr>
      </w:pPr>
      <w:bookmarkStart w:id="0" w:name="盐田区壹海城二区401场地公共文化建设公益项目招标方案服务类征求意见稿"/>
      <w:r>
        <w:rPr>
          <w:rFonts w:hint="eastAsia" w:ascii="方正小标宋简体" w:hAnsi="方正小标宋简体" w:eastAsia="方正小标宋简体" w:cs="方正小标宋简体"/>
          <w:b/>
          <w:color w:val="auto"/>
          <w:sz w:val="44"/>
        </w:rPr>
        <w:t>盐田区壹海城二区401场地公共文化建设公益项目招标方案（服务类）</w:t>
      </w:r>
    </w:p>
    <w:p>
      <w:pPr>
        <w:pStyle w:val="5"/>
        <w:keepNext/>
        <w:keepLines/>
        <w:pageBreakBefore w:val="0"/>
        <w:widowControl/>
        <w:kinsoku/>
        <w:wordWrap/>
        <w:overflowPunct/>
        <w:topLinePunct w:val="0"/>
        <w:autoSpaceDE/>
        <w:autoSpaceDN/>
        <w:bidi w:val="0"/>
        <w:adjustRightInd/>
        <w:snapToGrid w:val="0"/>
        <w:spacing w:before="0" w:after="0" w:line="560" w:lineRule="atLeast"/>
        <w:ind w:firstLine="642" w:firstLineChars="200"/>
        <w:jc w:val="left"/>
        <w:textAlignment w:val="auto"/>
        <w:rPr>
          <w:i w:val="0"/>
          <w:iCs w:val="0"/>
          <w:color w:val="auto"/>
          <w:sz w:val="32"/>
          <w:szCs w:val="32"/>
        </w:rPr>
      </w:pPr>
      <w:bookmarkStart w:id="1" w:name="第一章-招标公告"/>
      <w:bookmarkStart w:id="2" w:name="第一册-专用条款"/>
      <w:r>
        <w:rPr>
          <w:rFonts w:hint="eastAsia" w:ascii="Times New Roman" w:hAnsi="Times New Roman" w:eastAsia="黑体"/>
          <w:b/>
          <w:i w:val="0"/>
          <w:iCs w:val="0"/>
          <w:color w:val="auto"/>
          <w:sz w:val="32"/>
          <w:szCs w:val="32"/>
          <w:lang w:eastAsia="zh-CN"/>
        </w:rPr>
        <w:t>一、</w:t>
      </w:r>
      <w:r>
        <w:rPr>
          <w:rFonts w:hint="eastAsia" w:ascii="Times New Roman" w:hAnsi="Times New Roman" w:eastAsia="黑体"/>
          <w:b/>
          <w:i w:val="0"/>
          <w:iCs w:val="0"/>
          <w:color w:val="auto"/>
          <w:sz w:val="32"/>
          <w:szCs w:val="32"/>
        </w:rPr>
        <w:t>招标公告</w:t>
      </w:r>
    </w:p>
    <w:p>
      <w:pPr>
        <w:pStyle w:val="6"/>
        <w:keepNext/>
        <w:keepLines/>
        <w:pageBreakBefore w:val="0"/>
        <w:widowControl/>
        <w:kinsoku/>
        <w:wordWrap/>
        <w:overflowPunct/>
        <w:topLinePunct w:val="0"/>
        <w:autoSpaceDE/>
        <w:autoSpaceDN/>
        <w:bidi w:val="0"/>
        <w:adjustRightInd/>
        <w:snapToGrid w:val="0"/>
        <w:spacing w:before="0" w:after="0" w:line="560" w:lineRule="atLeast"/>
        <w:ind w:firstLine="642" w:firstLineChars="200"/>
        <w:jc w:val="left"/>
        <w:textAlignment w:val="auto"/>
        <w:rPr>
          <w:rFonts w:hint="eastAsia" w:ascii="楷体_GB2312" w:hAnsi="楷体_GB2312" w:eastAsia="楷体_GB2312" w:cs="楷体_GB2312"/>
          <w:i w:val="0"/>
          <w:iCs w:val="0"/>
          <w:color w:val="auto"/>
          <w:sz w:val="32"/>
          <w:szCs w:val="32"/>
        </w:rPr>
      </w:pPr>
      <w:bookmarkStart w:id="3" w:name="一项目基本情况"/>
      <w:r>
        <w:rPr>
          <w:rFonts w:hint="eastAsia" w:ascii="楷体_GB2312" w:hAnsi="楷体_GB2312" w:eastAsia="楷体_GB2312" w:cs="楷体_GB2312"/>
          <w:b/>
          <w:i w:val="0"/>
          <w:iCs w:val="0"/>
          <w:color w:val="auto"/>
          <w:sz w:val="32"/>
          <w:szCs w:val="32"/>
          <w:lang w:eastAsia="zh-CN"/>
        </w:rPr>
        <w:t>（一）</w:t>
      </w:r>
      <w:r>
        <w:rPr>
          <w:rFonts w:hint="eastAsia" w:ascii="楷体_GB2312" w:hAnsi="楷体_GB2312" w:eastAsia="楷体_GB2312" w:cs="楷体_GB2312"/>
          <w:b/>
          <w:i w:val="0"/>
          <w:iCs w:val="0"/>
          <w:color w:val="auto"/>
          <w:sz w:val="32"/>
          <w:szCs w:val="32"/>
        </w:rPr>
        <w:t>项目基本情况</w:t>
      </w:r>
    </w:p>
    <w:p>
      <w:pPr>
        <w:pStyle w:val="26"/>
        <w:pageBreakBefore w:val="0"/>
        <w:widowControl/>
        <w:numPr>
          <w:numId w:val="0"/>
        </w:numPr>
        <w:kinsoku/>
        <w:wordWrap/>
        <w:overflowPunct/>
        <w:topLinePunct w:val="0"/>
        <w:autoSpaceDE/>
        <w:autoSpaceDN/>
        <w:bidi w:val="0"/>
        <w:adjustRightInd/>
        <w:spacing w:before="0" w:after="0" w:line="560" w:lineRule="exact"/>
        <w:ind w:left="0" w:leftChars="0"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rPr>
        <w:t>项目名称</w:t>
      </w:r>
      <w:r>
        <w:rPr>
          <w:rFonts w:hint="eastAsia" w:ascii="仿宋_GB2312" w:hAnsi="仿宋_GB2312" w:eastAsia="仿宋_GB2312" w:cs="仿宋_GB2312"/>
          <w:b w:val="0"/>
          <w:color w:val="auto"/>
          <w:sz w:val="32"/>
          <w:szCs w:val="32"/>
        </w:rPr>
        <w:t>：盐田区壹海城二区401场地公共文化建</w:t>
      </w:r>
      <w:r>
        <w:rPr>
          <w:rFonts w:hint="eastAsia" w:ascii="仿宋_GB2312" w:hAnsi="仿宋_GB2312" w:eastAsia="仿宋_GB2312" w:cs="仿宋_GB2312"/>
          <w:b w:val="0"/>
          <w:color w:val="auto"/>
          <w:sz w:val="32"/>
          <w:szCs w:val="32"/>
        </w:rPr>
        <w:t>设公益项目</w:t>
      </w:r>
    </w:p>
    <w:p>
      <w:pPr>
        <w:pStyle w:val="26"/>
        <w:pageBreakBefore w:val="0"/>
        <w:widowControl/>
        <w:numPr>
          <w:numId w:val="0"/>
        </w:numPr>
        <w:kinsoku/>
        <w:wordWrap/>
        <w:overflowPunct/>
        <w:topLinePunct w:val="0"/>
        <w:autoSpaceDE/>
        <w:autoSpaceDN/>
        <w:bidi w:val="0"/>
        <w:adjustRightInd/>
        <w:spacing w:before="0" w:after="0" w:line="560" w:lineRule="exact"/>
        <w:ind w:left="0" w:leftChars="0"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rPr>
        <w:t>项目编号</w:t>
      </w:r>
      <w:r>
        <w:rPr>
          <w:rFonts w:hint="eastAsia" w:ascii="仿宋_GB2312" w:hAnsi="仿宋_GB2312" w:eastAsia="仿宋_GB2312" w:cs="仿宋_GB2312"/>
          <w:b w:val="0"/>
          <w:color w:val="auto"/>
          <w:sz w:val="32"/>
          <w:szCs w:val="32"/>
        </w:rPr>
        <w:t>：待定</w:t>
      </w:r>
    </w:p>
    <w:p>
      <w:pPr>
        <w:pStyle w:val="26"/>
        <w:pageBreakBefore w:val="0"/>
        <w:widowControl/>
        <w:numPr>
          <w:numId w:val="0"/>
        </w:numPr>
        <w:kinsoku/>
        <w:wordWrap/>
        <w:overflowPunct/>
        <w:topLinePunct w:val="0"/>
        <w:autoSpaceDE/>
        <w:autoSpaceDN/>
        <w:bidi w:val="0"/>
        <w:adjustRightInd/>
        <w:spacing w:before="0" w:after="0" w:line="560" w:lineRule="exact"/>
        <w:ind w:left="0" w:leftChars="0"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3.</w:t>
      </w:r>
      <w:r>
        <w:rPr>
          <w:rFonts w:hint="eastAsia" w:ascii="仿宋_GB2312" w:hAnsi="仿宋_GB2312" w:eastAsia="仿宋_GB2312" w:cs="仿宋_GB2312"/>
          <w:b/>
          <w:bCs/>
          <w:color w:val="auto"/>
          <w:sz w:val="32"/>
          <w:szCs w:val="32"/>
        </w:rPr>
        <w:t>采购方式</w:t>
      </w:r>
      <w:r>
        <w:rPr>
          <w:rFonts w:hint="eastAsia" w:ascii="仿宋_GB2312" w:hAnsi="仿宋_GB2312" w:eastAsia="仿宋_GB2312" w:cs="仿宋_GB2312"/>
          <w:b w:val="0"/>
          <w:color w:val="auto"/>
          <w:sz w:val="32"/>
          <w:szCs w:val="32"/>
        </w:rPr>
        <w:t>：公开招标</w:t>
      </w:r>
    </w:p>
    <w:p>
      <w:pPr>
        <w:pStyle w:val="26"/>
        <w:pageBreakBefore w:val="0"/>
        <w:widowControl/>
        <w:numPr>
          <w:numId w:val="0"/>
        </w:numPr>
        <w:kinsoku/>
        <w:wordWrap/>
        <w:overflowPunct/>
        <w:topLinePunct w:val="0"/>
        <w:autoSpaceDE/>
        <w:autoSpaceDN/>
        <w:bidi w:val="0"/>
        <w:adjustRightInd/>
        <w:spacing w:before="0" w:after="0" w:line="560" w:lineRule="exact"/>
        <w:ind w:left="0" w:leftChars="0"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4.</w:t>
      </w:r>
      <w:r>
        <w:rPr>
          <w:rFonts w:hint="eastAsia" w:ascii="仿宋_GB2312" w:hAnsi="仿宋_GB2312" w:eastAsia="仿宋_GB2312" w:cs="仿宋_GB2312"/>
          <w:b/>
          <w:bCs/>
          <w:color w:val="auto"/>
          <w:sz w:val="32"/>
          <w:szCs w:val="32"/>
        </w:rPr>
        <w:t>项目类型</w:t>
      </w:r>
      <w:r>
        <w:rPr>
          <w:rFonts w:hint="eastAsia" w:ascii="仿宋_GB2312" w:hAnsi="仿宋_GB2312" w:eastAsia="仿宋_GB2312" w:cs="仿宋_GB2312"/>
          <w:b w:val="0"/>
          <w:color w:val="auto"/>
          <w:sz w:val="32"/>
          <w:szCs w:val="32"/>
        </w:rPr>
        <w:t>：服务类（公共文化场馆委托运营服务）</w:t>
      </w:r>
    </w:p>
    <w:p>
      <w:pPr>
        <w:pStyle w:val="26"/>
        <w:pageBreakBefore w:val="0"/>
        <w:widowControl/>
        <w:numPr>
          <w:numId w:val="0"/>
        </w:numPr>
        <w:kinsoku/>
        <w:wordWrap/>
        <w:overflowPunct/>
        <w:topLinePunct w:val="0"/>
        <w:autoSpaceDE/>
        <w:autoSpaceDN/>
        <w:bidi w:val="0"/>
        <w:adjustRightInd/>
        <w:spacing w:before="0" w:after="0" w:line="560" w:lineRule="exact"/>
        <w:ind w:left="0" w:leftChars="0"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5.</w:t>
      </w:r>
      <w:r>
        <w:rPr>
          <w:rFonts w:hint="eastAsia" w:ascii="仿宋_GB2312" w:hAnsi="仿宋_GB2312" w:eastAsia="仿宋_GB2312" w:cs="仿宋_GB2312"/>
          <w:b/>
          <w:bCs/>
          <w:color w:val="auto"/>
          <w:sz w:val="32"/>
          <w:szCs w:val="32"/>
        </w:rPr>
        <w:t>评标方法</w:t>
      </w:r>
      <w:r>
        <w:rPr>
          <w:rFonts w:hint="eastAsia" w:ascii="仿宋_GB2312" w:hAnsi="仿宋_GB2312" w:eastAsia="仿宋_GB2312" w:cs="仿宋_GB2312"/>
          <w:b w:val="0"/>
          <w:color w:val="auto"/>
          <w:sz w:val="32"/>
          <w:szCs w:val="32"/>
        </w:rPr>
        <w:t>：综合评分法</w:t>
      </w:r>
    </w:p>
    <w:p>
      <w:pPr>
        <w:pStyle w:val="26"/>
        <w:pageBreakBefore w:val="0"/>
        <w:widowControl/>
        <w:numPr>
          <w:numId w:val="0"/>
        </w:numPr>
        <w:kinsoku/>
        <w:wordWrap/>
        <w:overflowPunct/>
        <w:topLinePunct w:val="0"/>
        <w:autoSpaceDE/>
        <w:autoSpaceDN/>
        <w:bidi w:val="0"/>
        <w:adjustRightInd/>
        <w:spacing w:before="0" w:after="0" w:line="560" w:lineRule="exact"/>
        <w:ind w:left="0" w:leftChars="0"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6.</w:t>
      </w:r>
      <w:r>
        <w:rPr>
          <w:rFonts w:hint="eastAsia" w:ascii="仿宋_GB2312" w:hAnsi="仿宋_GB2312" w:eastAsia="仿宋_GB2312" w:cs="仿宋_GB2312"/>
          <w:b/>
          <w:bCs/>
          <w:color w:val="auto"/>
          <w:sz w:val="32"/>
          <w:szCs w:val="32"/>
        </w:rPr>
        <w:t>服务期限</w:t>
      </w:r>
      <w:r>
        <w:rPr>
          <w:rFonts w:hint="eastAsia" w:ascii="仿宋_GB2312" w:hAnsi="仿宋_GB2312" w:eastAsia="仿宋_GB2312" w:cs="仿宋_GB2312"/>
          <w:b w:val="0"/>
          <w:color w:val="auto"/>
          <w:sz w:val="32"/>
          <w:szCs w:val="32"/>
        </w:rPr>
        <w:t>：</w:t>
      </w:r>
      <w:r>
        <w:rPr>
          <w:rFonts w:hint="eastAsia" w:ascii="仿宋_GB2312" w:hAnsi="仿宋_GB2312" w:eastAsia="仿宋_GB2312" w:cs="仿宋_GB2312"/>
          <w:b w:val="0"/>
          <w:color w:val="auto"/>
          <w:sz w:val="32"/>
          <w:szCs w:val="32"/>
          <w:lang w:val="en-US" w:eastAsia="zh-CN"/>
        </w:rPr>
        <w:t>2026年11月</w:t>
      </w:r>
      <w:r>
        <w:rPr>
          <w:rFonts w:hint="eastAsia" w:ascii="仿宋_GB2312" w:hAnsi="仿宋_GB2312" w:eastAsia="仿宋_GB2312" w:cs="仿宋_GB2312"/>
          <w:b w:val="0"/>
          <w:color w:val="auto"/>
          <w:sz w:val="32"/>
          <w:szCs w:val="32"/>
        </w:rPr>
        <w:t>至</w:t>
      </w:r>
      <w:r>
        <w:rPr>
          <w:rFonts w:hint="eastAsia" w:ascii="仿宋_GB2312" w:hAnsi="仿宋_GB2312" w:eastAsia="仿宋_GB2312" w:cs="仿宋_GB2312"/>
          <w:b w:val="0"/>
          <w:color w:val="auto"/>
          <w:sz w:val="32"/>
          <w:szCs w:val="32"/>
          <w:lang w:val="en-US" w:eastAsia="zh-CN"/>
        </w:rPr>
        <w:t>2029年11月</w:t>
      </w:r>
      <w:r>
        <w:rPr>
          <w:rFonts w:hint="eastAsia" w:ascii="仿宋_GB2312" w:hAnsi="仿宋_GB2312" w:eastAsia="仿宋_GB2312" w:cs="仿宋_GB2312"/>
          <w:b w:val="0"/>
          <w:color w:val="auto"/>
          <w:sz w:val="32"/>
          <w:szCs w:val="32"/>
        </w:rPr>
        <w:t>（暂定三年）</w:t>
      </w:r>
    </w:p>
    <w:p>
      <w:pPr>
        <w:pStyle w:val="26"/>
        <w:pageBreakBefore w:val="0"/>
        <w:widowControl/>
        <w:numPr>
          <w:numId w:val="0"/>
        </w:numPr>
        <w:kinsoku/>
        <w:wordWrap/>
        <w:overflowPunct/>
        <w:topLinePunct w:val="0"/>
        <w:autoSpaceDE/>
        <w:autoSpaceDN/>
        <w:bidi w:val="0"/>
        <w:adjustRightInd/>
        <w:spacing w:before="0" w:after="0" w:line="560" w:lineRule="exact"/>
        <w:ind w:left="0" w:leftChars="0" w:firstLine="642" w:firstLineChars="200"/>
        <w:textAlignment w:val="auto"/>
        <w:rPr>
          <w:color w:val="auto"/>
          <w:sz w:val="32"/>
          <w:szCs w:val="32"/>
        </w:rPr>
      </w:pPr>
      <w:r>
        <w:rPr>
          <w:rFonts w:hint="eastAsia" w:ascii="仿宋_GB2312" w:hAnsi="仿宋_GB2312" w:eastAsia="仿宋_GB2312" w:cs="仿宋_GB2312"/>
          <w:b/>
          <w:bCs/>
          <w:color w:val="auto"/>
          <w:sz w:val="32"/>
          <w:szCs w:val="32"/>
          <w:lang w:val="en-US" w:eastAsia="zh-CN"/>
        </w:rPr>
        <w:t>7.</w:t>
      </w:r>
      <w:r>
        <w:rPr>
          <w:rFonts w:hint="eastAsia" w:ascii="仿宋_GB2312" w:hAnsi="仿宋_GB2312" w:eastAsia="仿宋_GB2312" w:cs="仿宋_GB2312"/>
          <w:b/>
          <w:bCs/>
          <w:color w:val="auto"/>
          <w:sz w:val="32"/>
          <w:szCs w:val="32"/>
        </w:rPr>
        <w:t>项目概况</w:t>
      </w:r>
      <w:r>
        <w:rPr>
          <w:rFonts w:hint="eastAsia" w:ascii="仿宋_GB2312" w:hAnsi="仿宋_GB2312" w:eastAsia="仿宋_GB2312" w:cs="仿宋_GB2312"/>
          <w:b w:val="0"/>
          <w:color w:val="auto"/>
          <w:sz w:val="32"/>
          <w:szCs w:val="32"/>
        </w:rPr>
        <w:t>：本项目旨在通过引入专业社会力量，盘活盐田区壹海城二区401场地资源，打造集群众性文化活动、艺术展览、文艺培训、阅读推广、文创开发及文艺交流于一体的综合性公共文化服务阵地。中标方将获得该场地的使用权，全面负责场地的日常运营管理、活动策划与执行、安全管理及维护等工作。</w:t>
      </w:r>
    </w:p>
    <w:p>
      <w:pPr>
        <w:pStyle w:val="26"/>
        <w:keepNext w:val="0"/>
        <w:keepLines w:val="0"/>
        <w:pageBreakBefore w:val="0"/>
        <w:widowControl w:val="0"/>
        <w:numPr>
          <w:numId w:val="0"/>
        </w:numPr>
        <w:kinsoku/>
        <w:wordWrap/>
        <w:overflowPunct/>
        <w:topLinePunct w:val="0"/>
        <w:autoSpaceDE/>
        <w:autoSpaceDN/>
        <w:bidi w:val="0"/>
        <w:adjustRightInd/>
        <w:snapToGrid/>
        <w:spacing w:before="0" w:after="0" w:line="560" w:lineRule="exact"/>
        <w:ind w:left="0" w:leftChars="0" w:firstLine="642" w:firstLineChars="200"/>
        <w:textAlignment w:val="auto"/>
        <w:rPr>
          <w:rFonts w:hint="eastAsia" w:ascii="仿宋_GB2312" w:hAnsi="仿宋_GB2312" w:eastAsia="仿宋_GB2312" w:cs="仿宋_GB2312"/>
          <w:b w:val="0"/>
          <w:color w:val="auto"/>
          <w:sz w:val="32"/>
          <w:szCs w:val="32"/>
        </w:rPr>
      </w:pPr>
      <w:r>
        <w:rPr>
          <w:rFonts w:hint="eastAsia" w:ascii="仿宋_GB2312" w:hAnsi="仿宋_GB2312" w:eastAsia="仿宋_GB2312" w:cs="仿宋_GB2312"/>
          <w:b/>
          <w:bCs/>
          <w:color w:val="auto"/>
          <w:sz w:val="32"/>
          <w:szCs w:val="32"/>
          <w:lang w:val="en-US" w:eastAsia="zh-CN"/>
        </w:rPr>
        <w:t>8.</w:t>
      </w:r>
      <w:r>
        <w:rPr>
          <w:rFonts w:hint="eastAsia" w:ascii="仿宋_GB2312" w:hAnsi="仿宋_GB2312" w:eastAsia="仿宋_GB2312" w:cs="仿宋_GB2312"/>
          <w:b/>
          <w:bCs/>
          <w:color w:val="auto"/>
          <w:sz w:val="32"/>
          <w:szCs w:val="32"/>
        </w:rPr>
        <w:t>服务范围</w:t>
      </w:r>
      <w:r>
        <w:rPr>
          <w:rFonts w:hint="eastAsia" w:ascii="仿宋_GB2312" w:hAnsi="仿宋_GB2312" w:eastAsia="仿宋_GB2312" w:cs="仿宋_GB2312"/>
          <w:b w:val="0"/>
          <w:color w:val="auto"/>
          <w:sz w:val="32"/>
          <w:szCs w:val="32"/>
        </w:rPr>
        <w:t>：盐田区壹海城二区401场地，建筑面积约1525平方米，使用性质为公共文化服务场所。</w:t>
      </w:r>
      <w:bookmarkEnd w:id="3"/>
      <w:bookmarkStart w:id="4" w:name="二投标人资格要求"/>
    </w:p>
    <w:p>
      <w:pPr>
        <w:pStyle w:val="26"/>
        <w:keepNext w:val="0"/>
        <w:keepLines w:val="0"/>
        <w:pageBreakBefore w:val="0"/>
        <w:widowControl w:val="0"/>
        <w:numPr>
          <w:numId w:val="0"/>
        </w:numPr>
        <w:kinsoku/>
        <w:wordWrap/>
        <w:overflowPunct/>
        <w:topLinePunct w:val="0"/>
        <w:autoSpaceDE/>
        <w:autoSpaceDN/>
        <w:bidi w:val="0"/>
        <w:adjustRightInd/>
        <w:snapToGrid/>
        <w:spacing w:before="0" w:after="0" w:line="560" w:lineRule="exact"/>
        <w:ind w:left="0" w:leftChars="0" w:firstLine="642" w:firstLineChars="200"/>
        <w:textAlignment w:val="auto"/>
        <w:rPr>
          <w:rFonts w:hint="eastAsia" w:ascii="楷体_GB2312" w:hAnsi="楷体_GB2312" w:eastAsia="楷体_GB2312" w:cs="楷体_GB2312"/>
          <w:b/>
          <w:i w:val="0"/>
          <w:iCs w:val="0"/>
          <w:color w:val="auto"/>
          <w:sz w:val="32"/>
          <w:szCs w:val="32"/>
          <w:lang w:eastAsia="zh-CN"/>
        </w:rPr>
      </w:pPr>
      <w:r>
        <w:rPr>
          <w:rFonts w:hint="eastAsia" w:ascii="楷体_GB2312" w:hAnsi="楷体_GB2312" w:eastAsia="楷体_GB2312" w:cs="楷体_GB2312"/>
          <w:b/>
          <w:i w:val="0"/>
          <w:iCs w:val="0"/>
          <w:color w:val="auto"/>
          <w:sz w:val="32"/>
          <w:szCs w:val="32"/>
          <w:lang w:eastAsia="zh-CN"/>
        </w:rPr>
        <w:t>（二）投标人资格要求</w:t>
      </w:r>
    </w:p>
    <w:p>
      <w:pPr>
        <w:pStyle w:val="26"/>
        <w:keepNext w:val="0"/>
        <w:keepLines w:val="0"/>
        <w:pageBreakBefore w:val="0"/>
        <w:widowControl w:val="0"/>
        <w:numPr>
          <w:numId w:val="0"/>
        </w:numPr>
        <w:kinsoku/>
        <w:wordWrap/>
        <w:overflowPunct/>
        <w:topLinePunct w:val="0"/>
        <w:autoSpaceDE/>
        <w:autoSpaceDN/>
        <w:bidi w:val="0"/>
        <w:adjustRightInd/>
        <w:snapToGrid/>
        <w:spacing w:before="0" w:after="0" w:line="560" w:lineRule="exact"/>
        <w:ind w:left="0" w:leftChars="0"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rPr>
        <w:t>主体资格</w:t>
      </w:r>
      <w:r>
        <w:rPr>
          <w:rFonts w:hint="eastAsia" w:ascii="仿宋_GB2312" w:hAnsi="仿宋_GB2312" w:eastAsia="仿宋_GB2312" w:cs="仿宋_GB2312"/>
          <w:b w:val="0"/>
          <w:color w:val="auto"/>
          <w:sz w:val="32"/>
          <w:szCs w:val="32"/>
        </w:rPr>
        <w:t>：在中华人民共和国境内依法注册的独立法人，具备有效的营业执照或民办非企业单位登记证书，具有从事文化场馆管理、文化艺术交流等相关业务范围。</w:t>
      </w:r>
    </w:p>
    <w:p>
      <w:pPr>
        <w:pStyle w:val="26"/>
        <w:keepNext w:val="0"/>
        <w:keepLines w:val="0"/>
        <w:pageBreakBefore w:val="0"/>
        <w:widowControl w:val="0"/>
        <w:numPr>
          <w:numId w:val="0"/>
        </w:numPr>
        <w:kinsoku/>
        <w:wordWrap/>
        <w:overflowPunct/>
        <w:topLinePunct w:val="0"/>
        <w:autoSpaceDE/>
        <w:autoSpaceDN/>
        <w:bidi w:val="0"/>
        <w:adjustRightInd/>
        <w:snapToGrid/>
        <w:spacing w:before="0" w:after="0" w:line="560" w:lineRule="exact"/>
        <w:ind w:left="0" w:leftChars="0"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rPr>
        <w:t>运营经验</w:t>
      </w:r>
      <w:r>
        <w:rPr>
          <w:rFonts w:hint="eastAsia" w:ascii="仿宋_GB2312" w:hAnsi="仿宋_GB2312" w:eastAsia="仿宋_GB2312" w:cs="仿宋_GB2312"/>
          <w:b w:val="0"/>
          <w:color w:val="auto"/>
          <w:sz w:val="32"/>
          <w:szCs w:val="32"/>
        </w:rPr>
        <w:t>：具有美术馆、艺术空间或同类公共文化场馆的运营管理经验，熟悉公共文化空间的日常开放、展览策划、观众服务及安全管理等工作流程。</w:t>
      </w:r>
    </w:p>
    <w:p>
      <w:pPr>
        <w:pStyle w:val="26"/>
        <w:pageBreakBefore w:val="0"/>
        <w:widowControl/>
        <w:numPr>
          <w:numId w:val="0"/>
        </w:numPr>
        <w:kinsoku/>
        <w:wordWrap/>
        <w:overflowPunct/>
        <w:topLinePunct w:val="0"/>
        <w:autoSpaceDE/>
        <w:autoSpaceDN/>
        <w:bidi w:val="0"/>
        <w:adjustRightInd/>
        <w:spacing w:before="0" w:after="0" w:line="560" w:lineRule="exact"/>
        <w:ind w:left="0" w:leftChars="0"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3.</w:t>
      </w:r>
      <w:r>
        <w:rPr>
          <w:rFonts w:hint="eastAsia" w:ascii="仿宋_GB2312" w:hAnsi="仿宋_GB2312" w:eastAsia="仿宋_GB2312" w:cs="仿宋_GB2312"/>
          <w:b/>
          <w:bCs/>
          <w:color w:val="auto"/>
          <w:sz w:val="32"/>
          <w:szCs w:val="32"/>
        </w:rPr>
        <w:t>专业团队</w:t>
      </w:r>
      <w:r>
        <w:rPr>
          <w:rFonts w:hint="eastAsia" w:ascii="仿宋_GB2312" w:hAnsi="仿宋_GB2312" w:eastAsia="仿宋_GB2312" w:cs="仿宋_GB2312"/>
          <w:b w:val="0"/>
          <w:color w:val="auto"/>
          <w:sz w:val="32"/>
          <w:szCs w:val="32"/>
        </w:rPr>
        <w:t>：拥有不少于3人的专职运营团队，</w:t>
      </w:r>
      <w:r>
        <w:rPr>
          <w:rFonts w:hint="eastAsia" w:ascii="仿宋_GB2312" w:hAnsi="仿宋_GB2312" w:eastAsia="仿宋_GB2312" w:cs="仿宋_GB2312"/>
          <w:color w:val="auto"/>
          <w:sz w:val="32"/>
          <w:szCs w:val="32"/>
          <w:lang w:eastAsia="zh-CN"/>
        </w:rPr>
        <w:t>其中项目负责人需要文化艺术类专业背景</w:t>
      </w:r>
      <w:r>
        <w:rPr>
          <w:rFonts w:hint="eastAsia" w:ascii="仿宋_GB2312" w:hAnsi="仿宋_GB2312" w:eastAsia="仿宋_GB2312" w:cs="仿宋_GB2312"/>
          <w:b w:val="0"/>
          <w:color w:val="auto"/>
          <w:sz w:val="32"/>
          <w:szCs w:val="32"/>
          <w:lang w:eastAsia="zh-CN"/>
        </w:rPr>
        <w:t>且具有</w:t>
      </w:r>
      <w:r>
        <w:rPr>
          <w:rFonts w:hint="eastAsia" w:ascii="仿宋_GB2312" w:hAnsi="仿宋_GB2312" w:eastAsia="仿宋_GB2312" w:cs="仿宋_GB2312"/>
          <w:b w:val="0"/>
          <w:color w:val="auto"/>
          <w:sz w:val="32"/>
          <w:szCs w:val="32"/>
          <w:lang w:val="en-US" w:eastAsia="zh-CN"/>
        </w:rPr>
        <w:t>5</w:t>
      </w:r>
      <w:r>
        <w:rPr>
          <w:rFonts w:hint="eastAsia" w:ascii="仿宋_GB2312" w:hAnsi="仿宋_GB2312" w:eastAsia="仿宋_GB2312" w:cs="仿宋_GB2312"/>
          <w:b w:val="0"/>
          <w:color w:val="auto"/>
          <w:sz w:val="32"/>
          <w:szCs w:val="32"/>
        </w:rPr>
        <w:t>年以上相关经验</w:t>
      </w:r>
      <w:r>
        <w:rPr>
          <w:rFonts w:hint="eastAsia" w:ascii="仿宋_GB2312" w:hAnsi="仿宋_GB2312" w:eastAsia="仿宋_GB2312" w:cs="仿宋_GB2312"/>
          <w:color w:val="auto"/>
          <w:sz w:val="32"/>
          <w:szCs w:val="32"/>
          <w:lang w:eastAsia="zh-CN"/>
        </w:rPr>
        <w:t>。</w:t>
      </w:r>
    </w:p>
    <w:p>
      <w:pPr>
        <w:pStyle w:val="26"/>
        <w:pageBreakBefore w:val="0"/>
        <w:widowControl/>
        <w:numPr>
          <w:numId w:val="0"/>
        </w:numPr>
        <w:kinsoku/>
        <w:wordWrap/>
        <w:overflowPunct/>
        <w:topLinePunct w:val="0"/>
        <w:autoSpaceDE/>
        <w:autoSpaceDN/>
        <w:bidi w:val="0"/>
        <w:adjustRightInd/>
        <w:spacing w:before="0" w:after="0" w:line="560" w:lineRule="exact"/>
        <w:ind w:left="0" w:leftChars="0"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4.</w:t>
      </w:r>
      <w:r>
        <w:rPr>
          <w:rFonts w:hint="eastAsia" w:ascii="仿宋_GB2312" w:hAnsi="仿宋_GB2312" w:eastAsia="仿宋_GB2312" w:cs="仿宋_GB2312"/>
          <w:b/>
          <w:bCs/>
          <w:color w:val="auto"/>
          <w:sz w:val="32"/>
          <w:szCs w:val="32"/>
        </w:rPr>
        <w:t>学术与策展能力</w:t>
      </w:r>
      <w:r>
        <w:rPr>
          <w:rFonts w:hint="eastAsia" w:ascii="仿宋_GB2312" w:hAnsi="仿宋_GB2312" w:eastAsia="仿宋_GB2312" w:cs="仿宋_GB2312"/>
          <w:b w:val="0"/>
          <w:color w:val="auto"/>
          <w:sz w:val="32"/>
          <w:szCs w:val="32"/>
        </w:rPr>
        <w:t>：具备独立策划和实施艺术展览、学术交流活动及公共美育和学术推广活动的能力，有相关成功案例。</w:t>
      </w:r>
    </w:p>
    <w:p>
      <w:pPr>
        <w:pStyle w:val="26"/>
        <w:pageBreakBefore w:val="0"/>
        <w:widowControl/>
        <w:numPr>
          <w:numId w:val="0"/>
        </w:numPr>
        <w:kinsoku/>
        <w:wordWrap/>
        <w:overflowPunct/>
        <w:topLinePunct w:val="0"/>
        <w:autoSpaceDE/>
        <w:autoSpaceDN/>
        <w:bidi w:val="0"/>
        <w:adjustRightInd/>
        <w:spacing w:before="0" w:after="0" w:line="560" w:lineRule="exact"/>
        <w:ind w:left="0" w:leftChars="0"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5.</w:t>
      </w:r>
      <w:r>
        <w:rPr>
          <w:rFonts w:hint="eastAsia" w:ascii="仿宋_GB2312" w:hAnsi="仿宋_GB2312" w:eastAsia="仿宋_GB2312" w:cs="仿宋_GB2312"/>
          <w:b/>
          <w:bCs/>
          <w:color w:val="auto"/>
          <w:sz w:val="32"/>
          <w:szCs w:val="32"/>
        </w:rPr>
        <w:t>公益服务承诺</w:t>
      </w:r>
      <w:r>
        <w:rPr>
          <w:rFonts w:hint="eastAsia" w:ascii="仿宋_GB2312" w:hAnsi="仿宋_GB2312" w:eastAsia="仿宋_GB2312" w:cs="仿宋_GB2312"/>
          <w:b w:val="0"/>
          <w:color w:val="auto"/>
          <w:sz w:val="32"/>
          <w:szCs w:val="32"/>
        </w:rPr>
        <w:t>：运营期间每年面向公众提供约定场次的免费或低收费公共文化服务活动，活动内容须符合社会主义核心价值观，积极弘扬主旋律，传播正能量。</w:t>
      </w:r>
    </w:p>
    <w:p>
      <w:pPr>
        <w:pStyle w:val="26"/>
        <w:pageBreakBefore w:val="0"/>
        <w:widowControl/>
        <w:numPr>
          <w:numId w:val="0"/>
        </w:numPr>
        <w:kinsoku/>
        <w:wordWrap/>
        <w:overflowPunct/>
        <w:topLinePunct w:val="0"/>
        <w:autoSpaceDE/>
        <w:autoSpaceDN/>
        <w:bidi w:val="0"/>
        <w:adjustRightInd/>
        <w:spacing w:before="0" w:after="0" w:line="560" w:lineRule="exact"/>
        <w:ind w:left="0" w:leftChars="0"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6.</w:t>
      </w:r>
      <w:r>
        <w:rPr>
          <w:rFonts w:hint="eastAsia" w:ascii="仿宋_GB2312" w:hAnsi="仿宋_GB2312" w:eastAsia="仿宋_GB2312" w:cs="仿宋_GB2312"/>
          <w:b/>
          <w:bCs/>
          <w:color w:val="auto"/>
          <w:sz w:val="32"/>
          <w:szCs w:val="32"/>
        </w:rPr>
        <w:t>社会信誉</w:t>
      </w:r>
      <w:r>
        <w:rPr>
          <w:rFonts w:hint="eastAsia" w:ascii="仿宋_GB2312" w:hAnsi="仿宋_GB2312" w:eastAsia="仿宋_GB2312" w:cs="仿宋_GB2312"/>
          <w:b w:val="0"/>
          <w:color w:val="auto"/>
          <w:sz w:val="32"/>
          <w:szCs w:val="32"/>
        </w:rPr>
        <w:t>：具有良好的社会信誉和健全的组织机构，近三年内无重大违法违规记录，未被列入政府采购严重违法失信行为记录名单。</w:t>
      </w:r>
    </w:p>
    <w:p>
      <w:pPr>
        <w:pStyle w:val="26"/>
        <w:pageBreakBefore w:val="0"/>
        <w:widowControl/>
        <w:numPr>
          <w:numId w:val="0"/>
        </w:numPr>
        <w:kinsoku/>
        <w:wordWrap/>
        <w:overflowPunct/>
        <w:topLinePunct w:val="0"/>
        <w:autoSpaceDE/>
        <w:autoSpaceDN/>
        <w:bidi w:val="0"/>
        <w:adjustRightInd/>
        <w:spacing w:before="0" w:after="0" w:line="560" w:lineRule="exact"/>
        <w:ind w:left="0" w:leftChars="0"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7.</w:t>
      </w:r>
      <w:r>
        <w:rPr>
          <w:rFonts w:hint="eastAsia" w:ascii="仿宋_GB2312" w:hAnsi="仿宋_GB2312" w:eastAsia="仿宋_GB2312" w:cs="仿宋_GB2312"/>
          <w:b/>
          <w:bCs/>
          <w:color w:val="auto"/>
          <w:sz w:val="32"/>
          <w:szCs w:val="32"/>
        </w:rPr>
        <w:t>其他要求</w:t>
      </w:r>
      <w:r>
        <w:rPr>
          <w:rFonts w:hint="eastAsia" w:ascii="仿宋_GB2312" w:hAnsi="仿宋_GB2312" w:eastAsia="仿宋_GB2312" w:cs="仿宋_GB2312"/>
          <w:b w:val="0"/>
          <w:color w:val="auto"/>
          <w:sz w:val="32"/>
          <w:szCs w:val="32"/>
        </w:rPr>
        <w:t>：本项目不接受联合体投标。</w:t>
      </w:r>
    </w:p>
    <w:bookmarkEnd w:id="4"/>
    <w:p>
      <w:pPr>
        <w:pStyle w:val="6"/>
        <w:keepNext/>
        <w:keepLines/>
        <w:pageBreakBefore w:val="0"/>
        <w:widowControl/>
        <w:kinsoku/>
        <w:wordWrap/>
        <w:overflowPunct/>
        <w:topLinePunct w:val="0"/>
        <w:autoSpaceDE/>
        <w:autoSpaceDN/>
        <w:bidi w:val="0"/>
        <w:adjustRightInd/>
        <w:snapToGrid w:val="0"/>
        <w:spacing w:before="0" w:after="0" w:line="560" w:lineRule="atLeast"/>
        <w:ind w:firstLine="642" w:firstLineChars="200"/>
        <w:jc w:val="left"/>
        <w:textAlignment w:val="auto"/>
        <w:rPr>
          <w:rFonts w:hint="eastAsia" w:ascii="楷体_GB2312" w:hAnsi="楷体_GB2312" w:eastAsia="楷体_GB2312" w:cs="楷体_GB2312"/>
          <w:b/>
          <w:i w:val="0"/>
          <w:iCs w:val="0"/>
          <w:color w:val="auto"/>
          <w:sz w:val="32"/>
          <w:szCs w:val="32"/>
          <w:lang w:eastAsia="zh-CN"/>
        </w:rPr>
      </w:pPr>
      <w:bookmarkStart w:id="5" w:name="三项目核心运营要求"/>
      <w:r>
        <w:rPr>
          <w:rFonts w:hint="eastAsia" w:ascii="楷体_GB2312" w:hAnsi="楷体_GB2312" w:eastAsia="楷体_GB2312" w:cs="楷体_GB2312"/>
          <w:b/>
          <w:i w:val="0"/>
          <w:iCs w:val="0"/>
          <w:color w:val="auto"/>
          <w:sz w:val="32"/>
          <w:szCs w:val="32"/>
          <w:lang w:eastAsia="zh-CN"/>
        </w:rPr>
        <w:t>（三）项目核心运营要求</w:t>
      </w:r>
    </w:p>
    <w:p>
      <w:pPr>
        <w:pStyle w:val="26"/>
        <w:keepNext w:val="0"/>
        <w:keepLines w:val="0"/>
        <w:pageBreakBefore w:val="0"/>
        <w:widowControl/>
        <w:numPr>
          <w:numId w:val="0"/>
        </w:numPr>
        <w:kinsoku/>
        <w:wordWrap/>
        <w:overflowPunct/>
        <w:topLinePunct w:val="0"/>
        <w:autoSpaceDE/>
        <w:autoSpaceDN/>
        <w:bidi w:val="0"/>
        <w:adjustRightInd/>
        <w:snapToGrid/>
        <w:spacing w:before="0" w:after="0" w:line="560" w:lineRule="exact"/>
        <w:ind w:left="0" w:leftChars="0"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rPr>
        <w:t>场地运营管理</w:t>
      </w:r>
      <w:r>
        <w:rPr>
          <w:rFonts w:hint="eastAsia" w:ascii="仿宋_GB2312" w:hAnsi="仿宋_GB2312" w:eastAsia="仿宋_GB2312" w:cs="仿宋_GB2312"/>
          <w:b w:val="0"/>
          <w:color w:val="auto"/>
          <w:sz w:val="32"/>
          <w:szCs w:val="32"/>
        </w:rPr>
        <w:t>：中标方需建立完善的场馆日常管理制度，确保场地按时、高质量向公众开放。负责场馆内的环境维护、设施设备的日常巡检与报修、观众接待与咨询引导等工作，营造舒适、安全、有序的文化空间氛围。</w:t>
      </w:r>
    </w:p>
    <w:p>
      <w:pPr>
        <w:pStyle w:val="26"/>
        <w:keepNext w:val="0"/>
        <w:keepLines w:val="0"/>
        <w:pageBreakBefore w:val="0"/>
        <w:widowControl/>
        <w:numPr>
          <w:numId w:val="0"/>
        </w:numPr>
        <w:kinsoku/>
        <w:wordWrap/>
        <w:overflowPunct/>
        <w:topLinePunct w:val="0"/>
        <w:autoSpaceDE/>
        <w:autoSpaceDN/>
        <w:bidi w:val="0"/>
        <w:adjustRightInd/>
        <w:snapToGrid/>
        <w:spacing w:before="0" w:after="0" w:line="560" w:lineRule="exact"/>
        <w:ind w:left="0" w:leftChars="0"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rPr>
        <w:t>活动策划与执行</w:t>
      </w:r>
      <w:r>
        <w:rPr>
          <w:rFonts w:hint="eastAsia" w:ascii="仿宋_GB2312" w:hAnsi="仿宋_GB2312" w:eastAsia="仿宋_GB2312" w:cs="仿宋_GB2312"/>
          <w:b w:val="0"/>
          <w:color w:val="auto"/>
          <w:sz w:val="32"/>
          <w:szCs w:val="32"/>
        </w:rPr>
        <w:t>：结合盐田区地域文化特色及公众文化需求，制定年度、季度及月度文化活动计划。每年需策划并落地执行不少于</w:t>
      </w:r>
      <w:r>
        <w:rPr>
          <w:rFonts w:hint="eastAsia" w:ascii="仿宋_GB2312" w:hAnsi="仿宋_GB2312" w:eastAsia="仿宋_GB2312" w:cs="仿宋_GB2312"/>
          <w:b w:val="0"/>
          <w:color w:val="auto"/>
          <w:sz w:val="32"/>
          <w:szCs w:val="32"/>
          <w:lang w:val="en-US" w:eastAsia="zh-CN"/>
        </w:rPr>
        <w:t>5</w:t>
      </w:r>
      <w:r>
        <w:rPr>
          <w:rFonts w:hint="eastAsia" w:ascii="仿宋_GB2312" w:hAnsi="仿宋_GB2312" w:eastAsia="仿宋_GB2312" w:cs="仿宋_GB2312"/>
          <w:b w:val="0"/>
          <w:color w:val="auto"/>
          <w:sz w:val="32"/>
          <w:szCs w:val="32"/>
        </w:rPr>
        <w:t>场高质量的文化活动，涵盖艺术展览、文艺培训、阅读推广等类别，确保活动的思想性、艺术性与群众参与度。</w:t>
      </w:r>
    </w:p>
    <w:p>
      <w:pPr>
        <w:pStyle w:val="26"/>
        <w:keepNext w:val="0"/>
        <w:keepLines w:val="0"/>
        <w:pageBreakBefore w:val="0"/>
        <w:widowControl/>
        <w:numPr>
          <w:numId w:val="0"/>
        </w:numPr>
        <w:kinsoku/>
        <w:wordWrap/>
        <w:overflowPunct/>
        <w:topLinePunct w:val="0"/>
        <w:autoSpaceDE/>
        <w:autoSpaceDN/>
        <w:bidi w:val="0"/>
        <w:adjustRightInd/>
        <w:snapToGrid/>
        <w:spacing w:before="0" w:after="0" w:line="560" w:lineRule="exact"/>
        <w:ind w:left="0" w:leftChars="0"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3.</w:t>
      </w:r>
      <w:r>
        <w:rPr>
          <w:rFonts w:hint="eastAsia" w:ascii="仿宋_GB2312" w:hAnsi="仿宋_GB2312" w:eastAsia="仿宋_GB2312" w:cs="仿宋_GB2312"/>
          <w:b/>
          <w:bCs/>
          <w:color w:val="auto"/>
          <w:sz w:val="32"/>
          <w:szCs w:val="32"/>
        </w:rPr>
        <w:t>安全管理及维护</w:t>
      </w:r>
      <w:r>
        <w:rPr>
          <w:rFonts w:hint="eastAsia" w:ascii="仿宋_GB2312" w:hAnsi="仿宋_GB2312" w:eastAsia="仿宋_GB2312" w:cs="仿宋_GB2312"/>
          <w:b w:val="0"/>
          <w:color w:val="auto"/>
          <w:sz w:val="32"/>
          <w:szCs w:val="32"/>
        </w:rPr>
        <w:t>：严格落实安全生产主体责任，建立健全消防安全、突发事件应急预案及人员密集场所管理制度。定期开展安全隐患排查与消防演练，确保场馆内人员及财产安全。</w:t>
      </w:r>
    </w:p>
    <w:p>
      <w:pPr>
        <w:pStyle w:val="26"/>
        <w:keepNext w:val="0"/>
        <w:keepLines w:val="0"/>
        <w:pageBreakBefore w:val="0"/>
        <w:widowControl/>
        <w:numPr>
          <w:numId w:val="0"/>
        </w:numPr>
        <w:kinsoku/>
        <w:wordWrap/>
        <w:overflowPunct/>
        <w:topLinePunct w:val="0"/>
        <w:autoSpaceDE/>
        <w:autoSpaceDN/>
        <w:bidi w:val="0"/>
        <w:adjustRightInd/>
        <w:snapToGrid/>
        <w:spacing w:before="0" w:after="0" w:line="560" w:lineRule="exact"/>
        <w:ind w:left="0" w:leftChars="0"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4.</w:t>
      </w:r>
      <w:r>
        <w:rPr>
          <w:rFonts w:hint="eastAsia" w:ascii="仿宋_GB2312" w:hAnsi="仿宋_GB2312" w:eastAsia="仿宋_GB2312" w:cs="仿宋_GB2312"/>
          <w:b/>
          <w:bCs/>
          <w:color w:val="auto"/>
          <w:sz w:val="32"/>
          <w:szCs w:val="32"/>
        </w:rPr>
        <w:t>公益服务承诺</w:t>
      </w:r>
      <w:r>
        <w:rPr>
          <w:rFonts w:hint="eastAsia" w:ascii="仿宋_GB2312" w:hAnsi="仿宋_GB2312" w:eastAsia="仿宋_GB2312" w:cs="仿宋_GB2312"/>
          <w:b w:val="0"/>
          <w:color w:val="auto"/>
          <w:sz w:val="32"/>
          <w:szCs w:val="32"/>
        </w:rPr>
        <w:t>：必须将社会效益放在首位。每年面向公众提供的免费或低收费公共文化服务活动场次不得低于招标文件规定的最低标准。活动内容须紧扣时代脉搏，弘扬中华优秀传统文化及社会主义核心价值观。</w:t>
      </w:r>
    </w:p>
    <w:p>
      <w:pPr>
        <w:pStyle w:val="26"/>
        <w:keepNext w:val="0"/>
        <w:keepLines w:val="0"/>
        <w:pageBreakBefore w:val="0"/>
        <w:widowControl/>
        <w:numPr>
          <w:numId w:val="0"/>
        </w:numPr>
        <w:kinsoku/>
        <w:wordWrap/>
        <w:overflowPunct/>
        <w:topLinePunct w:val="0"/>
        <w:autoSpaceDE/>
        <w:autoSpaceDN/>
        <w:bidi w:val="0"/>
        <w:adjustRightInd/>
        <w:snapToGrid/>
        <w:spacing w:before="0" w:after="0" w:line="560" w:lineRule="exact"/>
        <w:ind w:left="0" w:leftChars="0"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5.</w:t>
      </w:r>
      <w:r>
        <w:rPr>
          <w:rFonts w:hint="eastAsia" w:ascii="仿宋_GB2312" w:hAnsi="仿宋_GB2312" w:eastAsia="仿宋_GB2312" w:cs="仿宋_GB2312"/>
          <w:b/>
          <w:bCs/>
          <w:color w:val="auto"/>
          <w:sz w:val="32"/>
          <w:szCs w:val="32"/>
        </w:rPr>
        <w:t>学术性与社区性并重</w:t>
      </w:r>
      <w:r>
        <w:rPr>
          <w:rFonts w:hint="eastAsia" w:ascii="仿宋_GB2312" w:hAnsi="仿宋_GB2312" w:eastAsia="仿宋_GB2312" w:cs="仿宋_GB2312"/>
          <w:b w:val="0"/>
          <w:color w:val="auto"/>
          <w:sz w:val="32"/>
          <w:szCs w:val="32"/>
        </w:rPr>
        <w:t>：借鉴国内重点美术馆的公共教育经验，将专业艺术资源转化为面向社区群众的公共文化服务产品。通过举办学术讲座、导览沙龙等形式，推动高端艺术资源下沉社区，提升辖区居民的艺术鉴赏力。</w:t>
      </w:r>
    </w:p>
    <w:p>
      <w:pPr>
        <w:pStyle w:val="26"/>
        <w:keepNext w:val="0"/>
        <w:keepLines w:val="0"/>
        <w:pageBreakBefore w:val="0"/>
        <w:widowControl/>
        <w:numPr>
          <w:numId w:val="0"/>
        </w:numPr>
        <w:kinsoku/>
        <w:wordWrap/>
        <w:overflowPunct/>
        <w:topLinePunct w:val="0"/>
        <w:autoSpaceDE/>
        <w:autoSpaceDN/>
        <w:bidi w:val="0"/>
        <w:adjustRightInd/>
        <w:snapToGrid/>
        <w:spacing w:before="0" w:after="0" w:line="560" w:lineRule="exact"/>
        <w:ind w:left="0" w:leftChars="0"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6.</w:t>
      </w:r>
      <w:r>
        <w:rPr>
          <w:rFonts w:hint="eastAsia" w:ascii="仿宋_GB2312" w:hAnsi="仿宋_GB2312" w:eastAsia="仿宋_GB2312" w:cs="仿宋_GB2312"/>
          <w:b/>
          <w:bCs/>
          <w:color w:val="auto"/>
          <w:sz w:val="32"/>
          <w:szCs w:val="32"/>
        </w:rPr>
        <w:t>探索“公共文化服务+适度市场化运营”模式</w:t>
      </w:r>
      <w:r>
        <w:rPr>
          <w:rFonts w:hint="eastAsia" w:ascii="仿宋_GB2312" w:hAnsi="仿宋_GB2312" w:eastAsia="仿宋_GB2312" w:cs="仿宋_GB2312"/>
          <w:b w:val="0"/>
          <w:color w:val="auto"/>
          <w:sz w:val="32"/>
          <w:szCs w:val="32"/>
        </w:rPr>
        <w:t>：在确保公益服务质量和频次的前提下，允许中标方适度开展文创产品开发、艺术体验课程、场地非公益时段租赁等配套服务。市场化运营收入应主要用于反哺场馆的日常维护、公益活动的补充投入及团队运营，增强项目的自我造血与可持续运营能力。</w:t>
      </w:r>
    </w:p>
    <w:bookmarkEnd w:id="5"/>
    <w:p>
      <w:pPr>
        <w:pStyle w:val="6"/>
        <w:keepNext/>
        <w:keepLines/>
        <w:pageBreakBefore w:val="0"/>
        <w:widowControl/>
        <w:kinsoku/>
        <w:wordWrap/>
        <w:overflowPunct/>
        <w:topLinePunct w:val="0"/>
        <w:autoSpaceDE/>
        <w:autoSpaceDN/>
        <w:bidi w:val="0"/>
        <w:adjustRightInd/>
        <w:snapToGrid w:val="0"/>
        <w:spacing w:before="0" w:after="0" w:line="560" w:lineRule="atLeast"/>
        <w:ind w:firstLine="642" w:firstLineChars="200"/>
        <w:jc w:val="left"/>
        <w:textAlignment w:val="auto"/>
        <w:rPr>
          <w:rFonts w:hint="eastAsia" w:ascii="楷体_GB2312" w:hAnsi="楷体_GB2312" w:eastAsia="楷体_GB2312" w:cs="楷体_GB2312"/>
          <w:b/>
          <w:i w:val="0"/>
          <w:iCs w:val="0"/>
          <w:color w:val="auto"/>
          <w:sz w:val="32"/>
          <w:szCs w:val="32"/>
          <w:lang w:eastAsia="zh-CN"/>
        </w:rPr>
      </w:pPr>
      <w:bookmarkStart w:id="6" w:name="四服务评价与考核机制"/>
      <w:r>
        <w:rPr>
          <w:rFonts w:hint="eastAsia" w:ascii="楷体_GB2312" w:hAnsi="楷体_GB2312" w:eastAsia="楷体_GB2312" w:cs="楷体_GB2312"/>
          <w:b/>
          <w:i w:val="0"/>
          <w:iCs w:val="0"/>
          <w:color w:val="auto"/>
          <w:sz w:val="32"/>
          <w:szCs w:val="32"/>
          <w:lang w:eastAsia="zh-CN"/>
        </w:rPr>
        <w:t>（四）服务评价与考核机制</w:t>
      </w:r>
    </w:p>
    <w:p>
      <w:pPr>
        <w:pStyle w:val="25"/>
        <w:spacing w:before="60" w:after="60" w:line="560" w:lineRule="exact"/>
        <w:ind w:firstLine="480"/>
        <w:rPr>
          <w:color w:val="auto"/>
          <w:sz w:val="32"/>
          <w:szCs w:val="32"/>
        </w:rPr>
      </w:pPr>
      <w:r>
        <w:rPr>
          <w:rFonts w:hint="eastAsia" w:ascii="Times New Roman" w:hAnsi="Times New Roman" w:eastAsia="仿宋"/>
          <w:b w:val="0"/>
          <w:color w:val="auto"/>
          <w:sz w:val="32"/>
          <w:szCs w:val="32"/>
        </w:rPr>
        <w:t>采购人将建立科学的绩效评价体系，对中标方进行定期考核，考核结果作为合同续签的重要依据。考核总分100分，具体维度如下：</w:t>
      </w:r>
    </w:p>
    <w:p>
      <w:pPr>
        <w:pStyle w:val="26"/>
        <w:keepNext w:val="0"/>
        <w:keepLines w:val="0"/>
        <w:pageBreakBefore w:val="0"/>
        <w:widowControl/>
        <w:numPr>
          <w:numId w:val="0"/>
        </w:numPr>
        <w:kinsoku/>
        <w:wordWrap/>
        <w:overflowPunct/>
        <w:topLinePunct w:val="0"/>
        <w:autoSpaceDE/>
        <w:autoSpaceDN/>
        <w:bidi w:val="0"/>
        <w:adjustRightInd/>
        <w:snapToGrid/>
        <w:spacing w:before="0" w:after="0" w:line="560" w:lineRule="exact"/>
        <w:ind w:left="0" w:leftChars="0"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rPr>
        <w:t>基础服务考核（30分）</w:t>
      </w:r>
      <w:r>
        <w:rPr>
          <w:rFonts w:hint="eastAsia" w:ascii="仿宋_GB2312" w:hAnsi="仿宋_GB2312" w:eastAsia="仿宋_GB2312" w:cs="仿宋_GB2312"/>
          <w:b w:val="0"/>
          <w:color w:val="auto"/>
          <w:sz w:val="32"/>
          <w:szCs w:val="32"/>
        </w:rPr>
        <w:t>：主要考核场馆开放时长、环境卫生、设施设备完好率、安全生产责任落实情况等。若发生重大安全责任事故，此项直接计0分，并触发违约接管机制。</w:t>
      </w:r>
    </w:p>
    <w:p>
      <w:pPr>
        <w:pStyle w:val="26"/>
        <w:keepNext w:val="0"/>
        <w:keepLines w:val="0"/>
        <w:pageBreakBefore w:val="0"/>
        <w:widowControl/>
        <w:numPr>
          <w:numId w:val="0"/>
        </w:numPr>
        <w:kinsoku/>
        <w:wordWrap/>
        <w:overflowPunct/>
        <w:topLinePunct w:val="0"/>
        <w:autoSpaceDE/>
        <w:autoSpaceDN/>
        <w:bidi w:val="0"/>
        <w:adjustRightInd/>
        <w:snapToGrid/>
        <w:spacing w:before="0" w:after="0" w:line="560" w:lineRule="exact"/>
        <w:ind w:left="0" w:leftChars="0" w:firstLine="642" w:firstLineChars="200"/>
        <w:textAlignment w:val="auto"/>
        <w:rPr>
          <w:rFonts w:hint="eastAsia" w:ascii="仿宋_GB2312" w:hAnsi="仿宋_GB2312" w:eastAsia="仿宋_GB2312" w:cs="仿宋_GB2312"/>
          <w:b w:val="0"/>
          <w:color w:val="auto"/>
          <w:sz w:val="32"/>
          <w:szCs w:val="32"/>
        </w:rPr>
      </w:pPr>
      <w:r>
        <w:rPr>
          <w:rFonts w:hint="eastAsia" w:ascii="仿宋_GB2312" w:hAnsi="仿宋_GB2312" w:eastAsia="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rPr>
        <w:t>运营模式考核（20分）</w:t>
      </w:r>
      <w:r>
        <w:rPr>
          <w:rFonts w:hint="eastAsia" w:ascii="仿宋_GB2312" w:hAnsi="仿宋_GB2312" w:eastAsia="仿宋_GB2312" w:cs="仿宋_GB2312"/>
          <w:b w:val="0"/>
          <w:color w:val="auto"/>
          <w:sz w:val="32"/>
          <w:szCs w:val="32"/>
        </w:rPr>
        <w:t>：考核年度文化活动计划的完成率、活动质量评估、市场化运营的合规性及财务透明度。</w:t>
      </w:r>
    </w:p>
    <w:p>
      <w:pPr>
        <w:pStyle w:val="26"/>
        <w:keepNext w:val="0"/>
        <w:keepLines w:val="0"/>
        <w:pageBreakBefore w:val="0"/>
        <w:widowControl/>
        <w:numPr>
          <w:numId w:val="0"/>
        </w:numPr>
        <w:kinsoku/>
        <w:wordWrap/>
        <w:overflowPunct/>
        <w:topLinePunct w:val="0"/>
        <w:autoSpaceDE/>
        <w:autoSpaceDN/>
        <w:bidi w:val="0"/>
        <w:adjustRightInd/>
        <w:snapToGrid/>
        <w:spacing w:before="0" w:after="0" w:line="560" w:lineRule="exact"/>
        <w:ind w:left="0" w:leftChars="0"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3.</w:t>
      </w:r>
      <w:r>
        <w:rPr>
          <w:rFonts w:hint="eastAsia" w:ascii="仿宋_GB2312" w:hAnsi="仿宋_GB2312" w:eastAsia="仿宋_GB2312" w:cs="仿宋_GB2312"/>
          <w:b/>
          <w:bCs/>
          <w:color w:val="auto"/>
          <w:sz w:val="32"/>
          <w:szCs w:val="32"/>
        </w:rPr>
        <w:t>公益成效考核（30分）</w:t>
      </w:r>
      <w:r>
        <w:rPr>
          <w:rFonts w:hint="eastAsia" w:ascii="仿宋_GB2312" w:hAnsi="仿宋_GB2312" w:eastAsia="仿宋_GB2312" w:cs="仿宋_GB2312"/>
          <w:b w:val="0"/>
          <w:color w:val="auto"/>
          <w:sz w:val="32"/>
          <w:szCs w:val="32"/>
        </w:rPr>
        <w:t>：考核免费或低收费活动的场次达标率、服务人次、受众覆盖面及活动内容的导向正确性。</w:t>
      </w:r>
    </w:p>
    <w:p>
      <w:pPr>
        <w:pStyle w:val="26"/>
        <w:keepNext w:val="0"/>
        <w:keepLines w:val="0"/>
        <w:pageBreakBefore w:val="0"/>
        <w:widowControl/>
        <w:numPr>
          <w:numId w:val="0"/>
        </w:numPr>
        <w:kinsoku/>
        <w:wordWrap/>
        <w:overflowPunct/>
        <w:topLinePunct w:val="0"/>
        <w:autoSpaceDE/>
        <w:autoSpaceDN/>
        <w:bidi w:val="0"/>
        <w:adjustRightInd/>
        <w:snapToGrid/>
        <w:spacing w:before="0" w:after="0" w:line="560" w:lineRule="exact"/>
        <w:ind w:left="0" w:leftChars="0" w:firstLine="642" w:firstLineChars="200"/>
        <w:textAlignment w:val="auto"/>
        <w:rPr>
          <w:color w:val="auto"/>
          <w:sz w:val="32"/>
          <w:szCs w:val="32"/>
        </w:rPr>
      </w:pPr>
      <w:r>
        <w:rPr>
          <w:rFonts w:hint="eastAsia" w:ascii="仿宋_GB2312" w:hAnsi="仿宋_GB2312" w:eastAsia="仿宋_GB2312" w:cs="仿宋_GB2312"/>
          <w:b/>
          <w:bCs/>
          <w:color w:val="auto"/>
          <w:sz w:val="32"/>
          <w:szCs w:val="32"/>
          <w:lang w:val="en-US" w:eastAsia="zh-CN"/>
        </w:rPr>
        <w:t>4.</w:t>
      </w:r>
      <w:r>
        <w:rPr>
          <w:rFonts w:hint="eastAsia" w:ascii="仿宋_GB2312" w:hAnsi="仿宋_GB2312" w:eastAsia="仿宋_GB2312" w:cs="仿宋_GB2312"/>
          <w:b/>
          <w:bCs/>
          <w:color w:val="auto"/>
          <w:sz w:val="32"/>
          <w:szCs w:val="32"/>
        </w:rPr>
        <w:t>满意度与示范成效考核（20分）</w:t>
      </w:r>
      <w:r>
        <w:rPr>
          <w:rFonts w:hint="eastAsia" w:ascii="仿宋_GB2312" w:hAnsi="仿宋_GB2312" w:eastAsia="仿宋_GB2312" w:cs="仿宋_GB2312"/>
          <w:b w:val="0"/>
          <w:color w:val="auto"/>
          <w:sz w:val="32"/>
          <w:szCs w:val="32"/>
        </w:rPr>
        <w:t>：通过第三方问卷调查、公众意见征集等方式，评估群众对场馆及活动</w:t>
      </w:r>
      <w:r>
        <w:rPr>
          <w:rFonts w:hint="eastAsia" w:ascii="Times New Roman" w:hAnsi="Times New Roman" w:eastAsia="仿宋"/>
          <w:b w:val="0"/>
          <w:color w:val="auto"/>
          <w:sz w:val="32"/>
          <w:szCs w:val="32"/>
        </w:rPr>
        <w:t>的满意度。同时考核项目在市级、区级媒体上的正面报道情况及获得的行业荣誉。</w:t>
      </w:r>
    </w:p>
    <w:bookmarkEnd w:id="6"/>
    <w:p>
      <w:pPr>
        <w:pStyle w:val="6"/>
        <w:keepNext/>
        <w:keepLines/>
        <w:pageBreakBefore w:val="0"/>
        <w:widowControl/>
        <w:kinsoku/>
        <w:wordWrap/>
        <w:overflowPunct/>
        <w:topLinePunct w:val="0"/>
        <w:autoSpaceDE/>
        <w:autoSpaceDN/>
        <w:bidi w:val="0"/>
        <w:adjustRightInd/>
        <w:snapToGrid w:val="0"/>
        <w:spacing w:before="0" w:after="0" w:line="560" w:lineRule="atLeast"/>
        <w:ind w:firstLine="642" w:firstLineChars="200"/>
        <w:jc w:val="left"/>
        <w:textAlignment w:val="auto"/>
        <w:rPr>
          <w:rFonts w:hint="eastAsia" w:ascii="楷体_GB2312" w:hAnsi="楷体_GB2312" w:eastAsia="楷体_GB2312" w:cs="楷体_GB2312"/>
          <w:b/>
          <w:i w:val="0"/>
          <w:iCs w:val="0"/>
          <w:color w:val="auto"/>
          <w:sz w:val="32"/>
          <w:szCs w:val="32"/>
          <w:lang w:eastAsia="zh-CN"/>
        </w:rPr>
      </w:pPr>
      <w:bookmarkStart w:id="7" w:name="五履约要求"/>
      <w:r>
        <w:rPr>
          <w:rFonts w:hint="eastAsia" w:ascii="楷体_GB2312" w:hAnsi="楷体_GB2312" w:eastAsia="楷体_GB2312" w:cs="楷体_GB2312"/>
          <w:b/>
          <w:i w:val="0"/>
          <w:iCs w:val="0"/>
          <w:color w:val="auto"/>
          <w:sz w:val="32"/>
          <w:szCs w:val="32"/>
          <w:lang w:eastAsia="zh-CN"/>
        </w:rPr>
        <w:t>（五）履约要求</w:t>
      </w:r>
    </w:p>
    <w:p>
      <w:pPr>
        <w:pStyle w:val="2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1.中标方须在合同签订后30日内组建运营团队并正式接管场地，完成资产清点与交接。</w:t>
      </w:r>
    </w:p>
    <w:p>
      <w:pPr>
        <w:pStyle w:val="2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2.中标方须按要求提交运营总结及财务收支明细。</w:t>
      </w:r>
    </w:p>
    <w:p>
      <w:pPr>
        <w:pStyle w:val="2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3.未经采购人书面同意，中标方不得擅自改变场地的公共文化服务性质，不得将场地整体转租、分租或抵押。</w:t>
      </w:r>
    </w:p>
    <w:p>
      <w:pPr>
        <w:pStyle w:val="2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4.中标方应积极配合采购人及上级主管部门的监督检查、审计及绩效考核工作。</w:t>
      </w:r>
    </w:p>
    <w:bookmarkEnd w:id="7"/>
    <w:p>
      <w:pPr>
        <w:pStyle w:val="6"/>
        <w:keepNext/>
        <w:keepLines/>
        <w:pageBreakBefore w:val="0"/>
        <w:widowControl/>
        <w:kinsoku/>
        <w:wordWrap/>
        <w:overflowPunct/>
        <w:topLinePunct w:val="0"/>
        <w:autoSpaceDE/>
        <w:autoSpaceDN/>
        <w:bidi w:val="0"/>
        <w:adjustRightInd/>
        <w:snapToGrid w:val="0"/>
        <w:spacing w:before="0" w:after="0" w:line="560" w:lineRule="atLeast"/>
        <w:ind w:firstLine="642" w:firstLineChars="200"/>
        <w:jc w:val="left"/>
        <w:textAlignment w:val="auto"/>
        <w:rPr>
          <w:rFonts w:hint="eastAsia" w:ascii="楷体_GB2312" w:hAnsi="楷体_GB2312" w:eastAsia="楷体_GB2312" w:cs="楷体_GB2312"/>
          <w:b/>
          <w:i w:val="0"/>
          <w:iCs w:val="0"/>
          <w:color w:val="auto"/>
          <w:sz w:val="32"/>
          <w:szCs w:val="32"/>
          <w:lang w:eastAsia="zh-CN"/>
        </w:rPr>
      </w:pPr>
      <w:bookmarkStart w:id="8" w:name="六投标报价说明"/>
      <w:r>
        <w:rPr>
          <w:rFonts w:hint="eastAsia" w:ascii="楷体_GB2312" w:hAnsi="楷体_GB2312" w:eastAsia="楷体_GB2312" w:cs="楷体_GB2312"/>
          <w:b/>
          <w:i w:val="0"/>
          <w:iCs w:val="0"/>
          <w:color w:val="auto"/>
          <w:sz w:val="32"/>
          <w:szCs w:val="32"/>
          <w:lang w:eastAsia="zh-CN"/>
        </w:rPr>
        <w:t>（六）投标说明</w:t>
      </w:r>
    </w:p>
    <w:p>
      <w:pPr>
        <w:pStyle w:val="2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1.本项目为公共文化场馆委托运营项目，投标为投标人自主申报的项目自筹运营投入方案，无需财政资金报价，投标文件需详细列明年度自筹运营成本、人员配置、服务投入、低偿服务收益规划等内容。</w:t>
      </w:r>
    </w:p>
    <w:p>
      <w:pPr>
        <w:pStyle w:val="2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2.投标内容应包含人员工资、社保、场馆日常运维费、活动策划执行费、保险费、税费及合理利润等完成本项目所需的一切费用。</w:t>
      </w:r>
    </w:p>
    <w:p>
      <w:pPr>
        <w:pStyle w:val="2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3.投标人须在投标文件中提供详细的《项目运营收支预算表》，明确公益服务投入比例及市场化运营收入预估。投标人报运营方案需真实合理，严禁虚假投入、低价恶性竞争，评审委员会将重点核查方案可行性、可持续性。</w:t>
      </w:r>
    </w:p>
    <w:bookmarkEnd w:id="1"/>
    <w:bookmarkEnd w:id="8"/>
    <w:p>
      <w:pPr>
        <w:pStyle w:val="6"/>
        <w:keepNext/>
        <w:keepLines/>
        <w:pageBreakBefore w:val="0"/>
        <w:widowControl/>
        <w:kinsoku/>
        <w:wordWrap/>
        <w:overflowPunct/>
        <w:topLinePunct w:val="0"/>
        <w:autoSpaceDE/>
        <w:autoSpaceDN/>
        <w:bidi w:val="0"/>
        <w:adjustRightInd/>
        <w:snapToGrid w:val="0"/>
        <w:spacing w:before="0" w:after="0" w:line="560" w:lineRule="exact"/>
        <w:ind w:left="0" w:firstLine="642" w:firstLineChars="200"/>
        <w:jc w:val="left"/>
        <w:textAlignment w:val="auto"/>
        <w:rPr>
          <w:rFonts w:hint="eastAsia" w:ascii="Times New Roman" w:hAnsi="Times New Roman" w:eastAsia="黑体"/>
          <w:b/>
          <w:i w:val="0"/>
          <w:iCs w:val="0"/>
          <w:color w:val="auto"/>
          <w:sz w:val="32"/>
          <w:szCs w:val="32"/>
        </w:rPr>
      </w:pPr>
      <w:bookmarkStart w:id="9" w:name="第二章-对通用条款的补充内容及其他关键信息"/>
      <w:r>
        <w:rPr>
          <w:rFonts w:hint="eastAsia" w:ascii="Times New Roman" w:hAnsi="Times New Roman" w:eastAsia="黑体"/>
          <w:b/>
          <w:i w:val="0"/>
          <w:iCs w:val="0"/>
          <w:color w:val="auto"/>
          <w:sz w:val="32"/>
          <w:szCs w:val="32"/>
          <w:lang w:eastAsia="zh-CN"/>
        </w:rPr>
        <w:t>二、</w:t>
      </w:r>
      <w:r>
        <w:rPr>
          <w:rFonts w:hint="eastAsia" w:ascii="Times New Roman" w:hAnsi="Times New Roman" w:eastAsia="黑体"/>
          <w:b/>
          <w:i w:val="0"/>
          <w:iCs w:val="0"/>
          <w:color w:val="auto"/>
          <w:sz w:val="32"/>
          <w:szCs w:val="32"/>
        </w:rPr>
        <w:t>对通用条款的补充内容及其他关键信息</w:t>
      </w:r>
    </w:p>
    <w:p>
      <w:pPr>
        <w:pStyle w:val="6"/>
        <w:keepNext/>
        <w:keepLines/>
        <w:pageBreakBefore w:val="0"/>
        <w:widowControl/>
        <w:kinsoku/>
        <w:wordWrap/>
        <w:overflowPunct/>
        <w:topLinePunct w:val="0"/>
        <w:autoSpaceDE/>
        <w:autoSpaceDN/>
        <w:bidi w:val="0"/>
        <w:adjustRightInd/>
        <w:snapToGrid w:val="0"/>
        <w:spacing w:before="0" w:after="0" w:line="560" w:lineRule="atLeast"/>
        <w:ind w:firstLine="642" w:firstLineChars="200"/>
        <w:jc w:val="left"/>
        <w:textAlignment w:val="auto"/>
        <w:rPr>
          <w:rFonts w:hint="eastAsia" w:ascii="楷体_GB2312" w:hAnsi="楷体_GB2312" w:eastAsia="楷体_GB2312" w:cs="楷体_GB2312"/>
          <w:b/>
          <w:i w:val="0"/>
          <w:iCs w:val="0"/>
          <w:color w:val="auto"/>
          <w:sz w:val="32"/>
          <w:szCs w:val="32"/>
          <w:lang w:eastAsia="zh-CN"/>
        </w:rPr>
      </w:pPr>
      <w:bookmarkStart w:id="10" w:name="一通用条款补充内容"/>
      <w:r>
        <w:rPr>
          <w:rFonts w:hint="eastAsia" w:ascii="楷体_GB2312" w:hAnsi="楷体_GB2312" w:eastAsia="楷体_GB2312" w:cs="楷体_GB2312"/>
          <w:b/>
          <w:i w:val="0"/>
          <w:iCs w:val="0"/>
          <w:color w:val="auto"/>
          <w:sz w:val="32"/>
          <w:szCs w:val="32"/>
          <w:lang w:eastAsia="zh-CN"/>
        </w:rPr>
        <w:t>（一）通用条款补充内容</w:t>
      </w:r>
    </w:p>
    <w:tbl>
      <w:tblPr>
        <w:tblStyle w:val="43"/>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08"/>
        <w:gridCol w:w="3090"/>
        <w:gridCol w:w="485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611" w:type="pct"/>
          </w:tcPr>
          <w:p>
            <w:pPr>
              <w:pStyle w:val="26"/>
              <w:spacing w:before="40" w:after="40" w:line="440" w:lineRule="exact"/>
              <w:jc w:val="center"/>
              <w:rPr>
                <w:color w:val="auto"/>
                <w:sz w:val="32"/>
                <w:szCs w:val="32"/>
              </w:rPr>
            </w:pPr>
            <w:r>
              <w:rPr>
                <w:rFonts w:hint="eastAsia" w:ascii="Times New Roman" w:hAnsi="Times New Roman" w:eastAsia="黑体"/>
                <w:b/>
                <w:color w:val="auto"/>
                <w:sz w:val="32"/>
                <w:szCs w:val="32"/>
              </w:rPr>
              <w:t>序号</w:t>
            </w:r>
          </w:p>
        </w:tc>
        <w:tc>
          <w:tcPr>
            <w:tcW w:w="1706" w:type="pct"/>
          </w:tcPr>
          <w:p>
            <w:pPr>
              <w:pStyle w:val="26"/>
              <w:spacing w:before="40" w:after="40" w:line="440" w:lineRule="exact"/>
              <w:jc w:val="center"/>
              <w:rPr>
                <w:color w:val="auto"/>
                <w:sz w:val="32"/>
                <w:szCs w:val="32"/>
              </w:rPr>
            </w:pPr>
            <w:r>
              <w:rPr>
                <w:rFonts w:hint="eastAsia" w:ascii="Times New Roman" w:hAnsi="Times New Roman" w:eastAsia="黑体"/>
                <w:b/>
                <w:color w:val="auto"/>
                <w:sz w:val="32"/>
                <w:szCs w:val="32"/>
              </w:rPr>
              <w:t>补充条款内容</w:t>
            </w:r>
          </w:p>
        </w:tc>
        <w:tc>
          <w:tcPr>
            <w:tcW w:w="2682" w:type="pct"/>
          </w:tcPr>
          <w:p>
            <w:pPr>
              <w:pStyle w:val="26"/>
              <w:spacing w:before="40" w:after="40" w:line="440" w:lineRule="exact"/>
              <w:jc w:val="center"/>
              <w:rPr>
                <w:color w:val="auto"/>
                <w:sz w:val="32"/>
                <w:szCs w:val="32"/>
              </w:rPr>
            </w:pPr>
            <w:r>
              <w:rPr>
                <w:rFonts w:hint="eastAsia" w:ascii="Times New Roman" w:hAnsi="Times New Roman" w:eastAsia="黑体"/>
                <w:b/>
                <w:color w:val="auto"/>
                <w:sz w:val="32"/>
                <w:szCs w:val="32"/>
              </w:rPr>
              <w:t>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1" w:type="pct"/>
          </w:tcPr>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1</w:t>
            </w:r>
          </w:p>
        </w:tc>
        <w:tc>
          <w:tcPr>
            <w:tcW w:w="1706" w:type="pct"/>
          </w:tcPr>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采购人</w:t>
            </w:r>
          </w:p>
        </w:tc>
        <w:tc>
          <w:tcPr>
            <w:tcW w:w="2682" w:type="pct"/>
          </w:tcPr>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中共深圳市盐田区委宣传部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1" w:type="pct"/>
          </w:tcPr>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2</w:t>
            </w:r>
          </w:p>
        </w:tc>
        <w:tc>
          <w:tcPr>
            <w:tcW w:w="1706" w:type="pct"/>
          </w:tcPr>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政府集中采购机构</w:t>
            </w:r>
          </w:p>
        </w:tc>
        <w:tc>
          <w:tcPr>
            <w:tcW w:w="2682" w:type="pct"/>
          </w:tcPr>
          <w:p>
            <w:pPr>
              <w:pStyle w:val="26"/>
              <w:spacing w:before="40" w:after="40" w:line="440" w:lineRule="exact"/>
              <w:jc w:val="left"/>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val="0"/>
                <w:color w:val="auto"/>
                <w:sz w:val="32"/>
                <w:szCs w:val="32"/>
                <w:lang w:eastAsia="zh-CN"/>
              </w:rPr>
              <w:t>不</w:t>
            </w:r>
            <w:r>
              <w:rPr>
                <w:rFonts w:hint="eastAsia" w:ascii="仿宋_GB2312" w:hAnsi="仿宋_GB2312" w:eastAsia="仿宋_GB2312" w:cs="仿宋_GB2312"/>
                <w:b w:val="0"/>
                <w:color w:val="auto"/>
                <w:sz w:val="32"/>
                <w:szCs w:val="32"/>
              </w:rPr>
              <w:t>适用</w:t>
            </w:r>
            <w:r>
              <w:rPr>
                <w:rFonts w:hint="eastAsia" w:ascii="仿宋_GB2312" w:hAnsi="仿宋_GB2312" w:eastAsia="仿宋_GB2312" w:cs="仿宋_GB2312"/>
                <w:b w:val="0"/>
                <w:color w:val="auto"/>
                <w:sz w:val="32"/>
                <w:szCs w:val="32"/>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611" w:type="pct"/>
          </w:tcPr>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3</w:t>
            </w:r>
          </w:p>
        </w:tc>
        <w:tc>
          <w:tcPr>
            <w:tcW w:w="1706" w:type="pct"/>
          </w:tcPr>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踏勘现场</w:t>
            </w:r>
          </w:p>
        </w:tc>
        <w:tc>
          <w:tcPr>
            <w:tcW w:w="2682" w:type="pct"/>
          </w:tcPr>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lang w:eastAsia="zh-CN"/>
              </w:rPr>
              <w:t>联系</w:t>
            </w:r>
            <w:r>
              <w:rPr>
                <w:rFonts w:hint="eastAsia" w:ascii="仿宋_GB2312" w:hAnsi="仿宋_GB2312" w:eastAsia="仿宋_GB2312" w:cs="仿宋_GB2312"/>
                <w:b w:val="0"/>
                <w:color w:val="auto"/>
                <w:sz w:val="32"/>
                <w:szCs w:val="32"/>
              </w:rPr>
              <w:t>采购人</w:t>
            </w:r>
            <w:r>
              <w:rPr>
                <w:rFonts w:hint="eastAsia" w:ascii="仿宋_GB2312" w:hAnsi="仿宋_GB2312" w:eastAsia="仿宋_GB2312" w:cs="仿宋_GB2312"/>
                <w:b w:val="0"/>
                <w:color w:val="auto"/>
                <w:sz w:val="32"/>
                <w:szCs w:val="32"/>
                <w:lang w:eastAsia="zh-CN"/>
              </w:rPr>
              <w:t>后可提供前往</w:t>
            </w:r>
            <w:r>
              <w:rPr>
                <w:rFonts w:hint="eastAsia" w:ascii="仿宋_GB2312" w:hAnsi="仿宋_GB2312" w:eastAsia="仿宋_GB2312" w:cs="仿宋_GB2312"/>
                <w:b w:val="0"/>
                <w:color w:val="auto"/>
                <w:sz w:val="32"/>
                <w:szCs w:val="32"/>
              </w:rPr>
              <w:t>现场踏勘</w:t>
            </w:r>
            <w:r>
              <w:rPr>
                <w:rFonts w:hint="eastAsia" w:ascii="仿宋_GB2312" w:hAnsi="仿宋_GB2312" w:eastAsia="仿宋_GB2312" w:cs="仿宋_GB2312"/>
                <w:b w:val="0"/>
                <w:color w:val="auto"/>
                <w:sz w:val="32"/>
                <w:szCs w:val="32"/>
                <w:lang w:eastAsia="zh-CN"/>
              </w:rPr>
              <w:t>方式</w:t>
            </w:r>
            <w:r>
              <w:rPr>
                <w:rFonts w:hint="eastAsia" w:ascii="仿宋_GB2312" w:hAnsi="仿宋_GB2312" w:eastAsia="仿宋_GB2312" w:cs="仿宋_GB2312"/>
                <w:b w:val="0"/>
                <w:color w:val="auto"/>
                <w:sz w:val="32"/>
                <w:szCs w:val="32"/>
              </w:rPr>
              <w:t>，地点：盐田区壹海城二区401场地。未参加踏勘不影响投标，但视为已充分了解场地现状。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1" w:type="pct"/>
          </w:tcPr>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4</w:t>
            </w:r>
          </w:p>
        </w:tc>
        <w:tc>
          <w:tcPr>
            <w:tcW w:w="1706" w:type="pct"/>
          </w:tcPr>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标前会议</w:t>
            </w:r>
          </w:p>
        </w:tc>
        <w:tc>
          <w:tcPr>
            <w:tcW w:w="2682" w:type="pct"/>
          </w:tcPr>
          <w:p>
            <w:pPr>
              <w:pStyle w:val="26"/>
              <w:spacing w:before="40" w:after="40" w:line="440" w:lineRule="exact"/>
              <w:jc w:val="left"/>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val="0"/>
                <w:color w:val="auto"/>
                <w:sz w:val="32"/>
                <w:szCs w:val="32"/>
              </w:rPr>
              <w:t>不召开</w:t>
            </w:r>
            <w:r>
              <w:rPr>
                <w:rFonts w:hint="eastAsia" w:ascii="仿宋_GB2312" w:hAnsi="仿宋_GB2312" w:eastAsia="仿宋_GB2312" w:cs="仿宋_GB2312"/>
                <w:b w:val="0"/>
                <w:color w:val="auto"/>
                <w:sz w:val="32"/>
                <w:szCs w:val="32"/>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1" w:type="pct"/>
          </w:tcPr>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5</w:t>
            </w:r>
          </w:p>
        </w:tc>
        <w:tc>
          <w:tcPr>
            <w:tcW w:w="1706" w:type="pct"/>
          </w:tcPr>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招标文件澄清和修改</w:t>
            </w:r>
          </w:p>
        </w:tc>
        <w:tc>
          <w:tcPr>
            <w:tcW w:w="2682" w:type="pct"/>
          </w:tcPr>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lang w:eastAsia="zh-CN"/>
              </w:rPr>
              <w:t>如有投标要求</w:t>
            </w:r>
            <w:r>
              <w:rPr>
                <w:rFonts w:hint="eastAsia" w:ascii="仿宋_GB2312" w:hAnsi="仿宋_GB2312" w:eastAsia="仿宋_GB2312" w:cs="仿宋_GB2312"/>
                <w:b w:val="0"/>
                <w:color w:val="auto"/>
                <w:sz w:val="32"/>
                <w:szCs w:val="32"/>
              </w:rPr>
              <w:t>澄清和修改</w:t>
            </w:r>
            <w:r>
              <w:rPr>
                <w:rFonts w:hint="eastAsia" w:ascii="仿宋_GB2312" w:hAnsi="仿宋_GB2312" w:eastAsia="仿宋_GB2312" w:cs="仿宋_GB2312"/>
                <w:b w:val="0"/>
                <w:color w:val="auto"/>
                <w:sz w:val="32"/>
                <w:szCs w:val="32"/>
                <w:lang w:eastAsia="zh-CN"/>
              </w:rPr>
              <w:t>，将在</w:t>
            </w:r>
            <w:r>
              <w:rPr>
                <w:rFonts w:hint="eastAsia" w:ascii="仿宋_GB2312" w:hAnsi="仿宋_GB2312" w:eastAsia="仿宋_GB2312" w:cs="仿宋_GB2312"/>
                <w:b w:val="0"/>
                <w:color w:val="auto"/>
                <w:sz w:val="32"/>
                <w:szCs w:val="32"/>
              </w:rPr>
              <w:t>投标截止时间前</w:t>
            </w:r>
            <w:r>
              <w:rPr>
                <w:rFonts w:hint="eastAsia" w:ascii="仿宋_GB2312" w:hAnsi="仿宋_GB2312" w:eastAsia="仿宋_GB2312" w:cs="仿宋_GB2312"/>
                <w:b w:val="0"/>
                <w:color w:val="auto"/>
                <w:sz w:val="32"/>
                <w:szCs w:val="32"/>
                <w:lang w:val="en-US" w:eastAsia="zh-CN"/>
              </w:rPr>
              <w:t>1</w:t>
            </w:r>
            <w:r>
              <w:rPr>
                <w:rFonts w:hint="eastAsia" w:ascii="仿宋_GB2312" w:hAnsi="仿宋_GB2312" w:eastAsia="仿宋_GB2312" w:cs="仿宋_GB2312"/>
                <w:b w:val="0"/>
                <w:color w:val="auto"/>
                <w:sz w:val="32"/>
                <w:szCs w:val="32"/>
              </w:rPr>
              <w:t>日，采购人将以书面形式通知所有获取招标文件的潜在投标人。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1" w:type="pct"/>
          </w:tcPr>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6</w:t>
            </w:r>
          </w:p>
        </w:tc>
        <w:tc>
          <w:tcPr>
            <w:tcW w:w="1706" w:type="pct"/>
          </w:tcPr>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投标有效期</w:t>
            </w:r>
          </w:p>
        </w:tc>
        <w:tc>
          <w:tcPr>
            <w:tcW w:w="2682" w:type="pct"/>
          </w:tcPr>
          <w:p>
            <w:pPr>
              <w:pStyle w:val="26"/>
              <w:spacing w:before="40" w:after="40" w:line="440" w:lineRule="exact"/>
              <w:jc w:val="left"/>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val="0"/>
                <w:color w:val="auto"/>
                <w:sz w:val="32"/>
                <w:szCs w:val="32"/>
              </w:rPr>
              <w:t>自投标截止之日起</w:t>
            </w:r>
            <w:r>
              <w:rPr>
                <w:rFonts w:hint="eastAsia" w:ascii="仿宋_GB2312" w:hAnsi="仿宋_GB2312" w:eastAsia="仿宋_GB2312" w:cs="仿宋_GB2312"/>
                <w:b w:val="0"/>
                <w:color w:val="auto"/>
                <w:sz w:val="32"/>
                <w:szCs w:val="32"/>
                <w:lang w:val="en-US" w:eastAsia="zh-CN"/>
              </w:rPr>
              <w:t>10</w:t>
            </w:r>
            <w:r>
              <w:rPr>
                <w:rFonts w:hint="eastAsia" w:ascii="仿宋_GB2312" w:hAnsi="仿宋_GB2312" w:eastAsia="仿宋_GB2312" w:cs="仿宋_GB2312"/>
                <w:b w:val="0"/>
                <w:color w:val="auto"/>
                <w:sz w:val="32"/>
                <w:szCs w:val="32"/>
              </w:rPr>
              <w:t>个</w:t>
            </w:r>
            <w:r>
              <w:rPr>
                <w:rFonts w:hint="eastAsia" w:ascii="仿宋_GB2312" w:hAnsi="仿宋_GB2312" w:eastAsia="仿宋_GB2312" w:cs="仿宋_GB2312"/>
                <w:b w:val="0"/>
                <w:color w:val="auto"/>
                <w:sz w:val="32"/>
                <w:szCs w:val="32"/>
                <w:lang w:eastAsia="zh-CN"/>
              </w:rPr>
              <w:t>工作日。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611" w:type="pct"/>
          </w:tcPr>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7</w:t>
            </w:r>
          </w:p>
        </w:tc>
        <w:tc>
          <w:tcPr>
            <w:tcW w:w="1706" w:type="pct"/>
          </w:tcPr>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替代方案</w:t>
            </w:r>
          </w:p>
        </w:tc>
        <w:tc>
          <w:tcPr>
            <w:tcW w:w="2682" w:type="pct"/>
          </w:tcPr>
          <w:p>
            <w:pPr>
              <w:pStyle w:val="26"/>
              <w:spacing w:before="40" w:after="40" w:line="440" w:lineRule="exact"/>
              <w:jc w:val="left"/>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val="0"/>
                <w:color w:val="auto"/>
                <w:sz w:val="32"/>
                <w:szCs w:val="32"/>
              </w:rPr>
              <w:t>不接受替代方案</w:t>
            </w:r>
            <w:r>
              <w:rPr>
                <w:rFonts w:hint="eastAsia" w:ascii="仿宋_GB2312" w:hAnsi="仿宋_GB2312" w:eastAsia="仿宋_GB2312" w:cs="仿宋_GB2312"/>
                <w:b w:val="0"/>
                <w:color w:val="auto"/>
                <w:sz w:val="32"/>
                <w:szCs w:val="32"/>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1" w:type="pct"/>
          </w:tcPr>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8</w:t>
            </w:r>
          </w:p>
        </w:tc>
        <w:tc>
          <w:tcPr>
            <w:tcW w:w="1706" w:type="pct"/>
          </w:tcPr>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投标文件大小</w:t>
            </w:r>
          </w:p>
        </w:tc>
        <w:tc>
          <w:tcPr>
            <w:tcW w:w="2682" w:type="pct"/>
          </w:tcPr>
          <w:p>
            <w:pPr>
              <w:pStyle w:val="26"/>
              <w:spacing w:before="40" w:after="40" w:line="440" w:lineRule="exact"/>
              <w:jc w:val="left"/>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val="0"/>
                <w:color w:val="auto"/>
                <w:sz w:val="32"/>
                <w:szCs w:val="32"/>
              </w:rPr>
              <w:t>正本1份，副本</w:t>
            </w:r>
            <w:r>
              <w:rPr>
                <w:rFonts w:hint="eastAsia" w:ascii="仿宋_GB2312" w:hAnsi="仿宋_GB2312" w:eastAsia="仿宋_GB2312" w:cs="仿宋_GB2312"/>
                <w:b w:val="0"/>
                <w:color w:val="auto"/>
                <w:sz w:val="32"/>
                <w:szCs w:val="32"/>
                <w:lang w:val="en-US" w:eastAsia="zh-CN"/>
              </w:rPr>
              <w:t>1</w:t>
            </w:r>
            <w:r>
              <w:rPr>
                <w:rFonts w:hint="eastAsia" w:ascii="仿宋_GB2312" w:hAnsi="仿宋_GB2312" w:eastAsia="仿宋_GB2312" w:cs="仿宋_GB2312"/>
                <w:b w:val="0"/>
                <w:color w:val="auto"/>
                <w:sz w:val="32"/>
                <w:szCs w:val="32"/>
              </w:rPr>
              <w:t>份，电子版1份</w:t>
            </w:r>
            <w:r>
              <w:rPr>
                <w:rFonts w:hint="eastAsia" w:ascii="仿宋_GB2312" w:hAnsi="仿宋_GB2312" w:eastAsia="仿宋_GB2312" w:cs="仿宋_GB2312"/>
                <w:b w:val="0"/>
                <w:color w:val="auto"/>
                <w:sz w:val="32"/>
                <w:szCs w:val="32"/>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1" w:type="pct"/>
          </w:tcPr>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9</w:t>
            </w:r>
          </w:p>
        </w:tc>
        <w:tc>
          <w:tcPr>
            <w:tcW w:w="1706" w:type="pct"/>
          </w:tcPr>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样品/演示/方案讲解</w:t>
            </w:r>
          </w:p>
        </w:tc>
        <w:tc>
          <w:tcPr>
            <w:tcW w:w="2682" w:type="pct"/>
          </w:tcPr>
          <w:p>
            <w:pPr>
              <w:pStyle w:val="26"/>
              <w:spacing w:before="40" w:after="40" w:line="440" w:lineRule="exact"/>
              <w:jc w:val="left"/>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以投标文件为准。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1" w:type="pct"/>
          </w:tcPr>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10</w:t>
            </w:r>
          </w:p>
        </w:tc>
        <w:tc>
          <w:tcPr>
            <w:tcW w:w="1706" w:type="pct"/>
          </w:tcPr>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评审方法</w:t>
            </w:r>
          </w:p>
        </w:tc>
        <w:tc>
          <w:tcPr>
            <w:tcW w:w="2682" w:type="pct"/>
          </w:tcPr>
          <w:p>
            <w:pPr>
              <w:pStyle w:val="26"/>
              <w:spacing w:before="40" w:after="40" w:line="440" w:lineRule="exact"/>
              <w:jc w:val="left"/>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val="0"/>
                <w:color w:val="auto"/>
                <w:sz w:val="32"/>
                <w:szCs w:val="32"/>
              </w:rPr>
              <w:t>综合评分法</w:t>
            </w:r>
            <w:r>
              <w:rPr>
                <w:rFonts w:hint="eastAsia" w:ascii="仿宋_GB2312" w:hAnsi="仿宋_GB2312" w:eastAsia="仿宋_GB2312" w:cs="仿宋_GB2312"/>
                <w:b w:val="0"/>
                <w:color w:val="auto"/>
                <w:sz w:val="32"/>
                <w:szCs w:val="32"/>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611" w:type="pct"/>
          </w:tcPr>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11</w:t>
            </w:r>
          </w:p>
        </w:tc>
        <w:tc>
          <w:tcPr>
            <w:tcW w:w="1706" w:type="pct"/>
          </w:tcPr>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定标方法</w:t>
            </w:r>
          </w:p>
        </w:tc>
        <w:tc>
          <w:tcPr>
            <w:tcW w:w="2682" w:type="pct"/>
          </w:tcPr>
          <w:p>
            <w:pPr>
              <w:pStyle w:val="26"/>
              <w:spacing w:before="40" w:after="40" w:line="440" w:lineRule="exact"/>
              <w:jc w:val="left"/>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val="0"/>
                <w:color w:val="auto"/>
                <w:sz w:val="32"/>
                <w:szCs w:val="32"/>
              </w:rPr>
              <w:t>采购人根据评标委员会推荐的中标候选人名单，按排序确定中标人</w:t>
            </w:r>
            <w:r>
              <w:rPr>
                <w:rFonts w:hint="eastAsia" w:ascii="仿宋_GB2312" w:hAnsi="仿宋_GB2312" w:eastAsia="仿宋_GB2312" w:cs="仿宋_GB2312"/>
                <w:b w:val="0"/>
                <w:color w:val="auto"/>
                <w:sz w:val="32"/>
                <w:szCs w:val="32"/>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1" w:type="pct"/>
          </w:tcPr>
          <w:p>
            <w:pPr>
              <w:pStyle w:val="26"/>
              <w:spacing w:before="40" w:after="40" w:line="440" w:lineRule="exact"/>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color w:val="auto"/>
                <w:sz w:val="32"/>
                <w:szCs w:val="32"/>
              </w:rPr>
              <w:t>1</w:t>
            </w:r>
            <w:r>
              <w:rPr>
                <w:rFonts w:hint="eastAsia" w:ascii="仿宋_GB2312" w:hAnsi="仿宋_GB2312" w:eastAsia="仿宋_GB2312" w:cs="仿宋_GB2312"/>
                <w:b w:val="0"/>
                <w:color w:val="auto"/>
                <w:sz w:val="32"/>
                <w:szCs w:val="32"/>
                <w:lang w:val="en-US" w:eastAsia="zh-CN"/>
              </w:rPr>
              <w:t>2</w:t>
            </w:r>
          </w:p>
        </w:tc>
        <w:tc>
          <w:tcPr>
            <w:tcW w:w="1706" w:type="pct"/>
          </w:tcPr>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项目类型及参照法规</w:t>
            </w:r>
          </w:p>
        </w:tc>
        <w:tc>
          <w:tcPr>
            <w:tcW w:w="2682" w:type="pct"/>
          </w:tcPr>
          <w:p>
            <w:pPr>
              <w:pStyle w:val="26"/>
              <w:spacing w:before="40" w:after="40" w:line="440" w:lineRule="exact"/>
              <w:jc w:val="left"/>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val="0"/>
                <w:color w:val="auto"/>
                <w:sz w:val="32"/>
                <w:szCs w:val="32"/>
              </w:rPr>
              <w:t>服务类；参照《深圳经济特区政府采购条例》及其实施细则</w:t>
            </w:r>
            <w:r>
              <w:rPr>
                <w:rFonts w:hint="eastAsia" w:ascii="仿宋_GB2312" w:hAnsi="仿宋_GB2312" w:eastAsia="仿宋_GB2312" w:cs="仿宋_GB2312"/>
                <w:b w:val="0"/>
                <w:color w:val="auto"/>
                <w:sz w:val="32"/>
                <w:szCs w:val="32"/>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1" w:type="pct"/>
          </w:tcPr>
          <w:p>
            <w:pPr>
              <w:pStyle w:val="26"/>
              <w:spacing w:before="40" w:after="40" w:line="440" w:lineRule="exact"/>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color w:val="auto"/>
                <w:sz w:val="32"/>
                <w:szCs w:val="32"/>
              </w:rPr>
              <w:t>1</w:t>
            </w:r>
            <w:r>
              <w:rPr>
                <w:rFonts w:hint="eastAsia" w:ascii="仿宋_GB2312" w:hAnsi="仿宋_GB2312" w:eastAsia="仿宋_GB2312" w:cs="仿宋_GB2312"/>
                <w:b w:val="0"/>
                <w:color w:val="auto"/>
                <w:sz w:val="32"/>
                <w:szCs w:val="32"/>
                <w:lang w:val="en-US" w:eastAsia="zh-CN"/>
              </w:rPr>
              <w:t>3</w:t>
            </w:r>
          </w:p>
        </w:tc>
        <w:tc>
          <w:tcPr>
            <w:tcW w:w="1706" w:type="pct"/>
          </w:tcPr>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建设投资额底价</w:t>
            </w:r>
          </w:p>
        </w:tc>
        <w:tc>
          <w:tcPr>
            <w:tcW w:w="2682" w:type="pct"/>
          </w:tcPr>
          <w:p>
            <w:pPr>
              <w:pStyle w:val="26"/>
              <w:spacing w:before="40" w:after="40" w:line="440" w:lineRule="exact"/>
              <w:jc w:val="left"/>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val="0"/>
                <w:color w:val="auto"/>
                <w:sz w:val="32"/>
                <w:szCs w:val="32"/>
              </w:rPr>
              <w:t>不适用</w:t>
            </w:r>
            <w:r>
              <w:rPr>
                <w:rFonts w:hint="eastAsia" w:ascii="仿宋_GB2312" w:hAnsi="仿宋_GB2312" w:eastAsia="仿宋_GB2312" w:cs="仿宋_GB2312"/>
                <w:b w:val="0"/>
                <w:color w:val="auto"/>
                <w:sz w:val="32"/>
                <w:szCs w:val="32"/>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1" w:type="pct"/>
          </w:tcPr>
          <w:p>
            <w:pPr>
              <w:pStyle w:val="26"/>
              <w:spacing w:before="40" w:after="40" w:line="440" w:lineRule="exact"/>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color w:val="auto"/>
                <w:sz w:val="32"/>
                <w:szCs w:val="32"/>
              </w:rPr>
              <w:t>1</w:t>
            </w:r>
            <w:r>
              <w:rPr>
                <w:rFonts w:hint="eastAsia" w:ascii="仿宋_GB2312" w:hAnsi="仿宋_GB2312" w:eastAsia="仿宋_GB2312" w:cs="仿宋_GB2312"/>
                <w:b w:val="0"/>
                <w:color w:val="auto"/>
                <w:sz w:val="32"/>
                <w:szCs w:val="32"/>
                <w:lang w:val="en-US" w:eastAsia="zh-CN"/>
              </w:rPr>
              <w:t>4</w:t>
            </w:r>
          </w:p>
        </w:tc>
        <w:tc>
          <w:tcPr>
            <w:tcW w:w="1706" w:type="pct"/>
          </w:tcPr>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委托运营关系</w:t>
            </w:r>
          </w:p>
        </w:tc>
        <w:tc>
          <w:tcPr>
            <w:tcW w:w="2682" w:type="pct"/>
          </w:tcPr>
          <w:p>
            <w:pPr>
              <w:pStyle w:val="26"/>
              <w:spacing w:before="40" w:after="40" w:line="440" w:lineRule="exact"/>
              <w:jc w:val="left"/>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val="0"/>
                <w:color w:val="auto"/>
                <w:sz w:val="32"/>
                <w:szCs w:val="32"/>
              </w:rPr>
              <w:t>采购人保留对场馆的最终</w:t>
            </w:r>
            <w:r>
              <w:rPr>
                <w:rFonts w:hint="eastAsia" w:ascii="仿宋_GB2312" w:hAnsi="仿宋_GB2312" w:eastAsia="仿宋_GB2312" w:cs="仿宋_GB2312"/>
                <w:b w:val="0"/>
                <w:color w:val="auto"/>
                <w:sz w:val="32"/>
                <w:szCs w:val="32"/>
                <w:lang w:eastAsia="zh-CN"/>
              </w:rPr>
              <w:t>使用</w:t>
            </w:r>
            <w:r>
              <w:rPr>
                <w:rFonts w:hint="eastAsia" w:ascii="仿宋_GB2312" w:hAnsi="仿宋_GB2312" w:eastAsia="仿宋_GB2312" w:cs="仿宋_GB2312"/>
                <w:b w:val="0"/>
                <w:color w:val="auto"/>
                <w:sz w:val="32"/>
                <w:szCs w:val="32"/>
              </w:rPr>
              <w:t>权及重大事项决策权，中标方享有合同约定范围内的运营管理权及收益权</w:t>
            </w:r>
            <w:r>
              <w:rPr>
                <w:rFonts w:hint="eastAsia" w:ascii="仿宋_GB2312" w:hAnsi="仿宋_GB2312" w:eastAsia="仿宋_GB2312" w:cs="仿宋_GB2312"/>
                <w:b w:val="0"/>
                <w:color w:val="auto"/>
                <w:sz w:val="32"/>
                <w:szCs w:val="32"/>
                <w:lang w:eastAsia="zh-CN"/>
              </w:rPr>
              <w:t>。</w:t>
            </w:r>
          </w:p>
        </w:tc>
      </w:tr>
      <w:bookmarkEnd w:id="10"/>
    </w:tbl>
    <w:p>
      <w:pPr>
        <w:pStyle w:val="6"/>
        <w:keepNext/>
        <w:keepLines/>
        <w:pageBreakBefore w:val="0"/>
        <w:widowControl/>
        <w:kinsoku/>
        <w:wordWrap/>
        <w:overflowPunct/>
        <w:topLinePunct w:val="0"/>
        <w:autoSpaceDE/>
        <w:autoSpaceDN/>
        <w:bidi w:val="0"/>
        <w:adjustRightInd/>
        <w:snapToGrid w:val="0"/>
        <w:spacing w:before="0" w:after="0" w:line="560" w:lineRule="atLeast"/>
        <w:ind w:firstLine="642" w:firstLineChars="200"/>
        <w:jc w:val="left"/>
        <w:textAlignment w:val="auto"/>
        <w:rPr>
          <w:rFonts w:hint="eastAsia" w:ascii="楷体_GB2312" w:hAnsi="楷体_GB2312" w:eastAsia="楷体_GB2312" w:cs="楷体_GB2312"/>
          <w:b/>
          <w:i w:val="0"/>
          <w:iCs w:val="0"/>
          <w:color w:val="auto"/>
          <w:sz w:val="32"/>
          <w:szCs w:val="32"/>
          <w:lang w:eastAsia="zh-CN"/>
        </w:rPr>
      </w:pPr>
      <w:bookmarkStart w:id="11" w:name="二其他关键信息"/>
      <w:r>
        <w:rPr>
          <w:rFonts w:hint="eastAsia" w:ascii="楷体_GB2312" w:hAnsi="楷体_GB2312" w:eastAsia="楷体_GB2312" w:cs="楷体_GB2312"/>
          <w:b/>
          <w:i w:val="0"/>
          <w:iCs w:val="0"/>
          <w:color w:val="auto"/>
          <w:sz w:val="32"/>
          <w:szCs w:val="32"/>
          <w:lang w:eastAsia="zh-CN"/>
        </w:rPr>
        <w:t>（二）其他关键信息</w:t>
      </w:r>
    </w:p>
    <w:p>
      <w:pPr>
        <w:pStyle w:val="26"/>
        <w:keepNext w:val="0"/>
        <w:keepLines w:val="0"/>
        <w:pageBreakBefore w:val="0"/>
        <w:widowControl/>
        <w:numPr>
          <w:numId w:val="0"/>
        </w:numPr>
        <w:kinsoku/>
        <w:wordWrap/>
        <w:overflowPunct/>
        <w:topLinePunct w:val="0"/>
        <w:autoSpaceDE/>
        <w:autoSpaceDN/>
        <w:bidi w:val="0"/>
        <w:adjustRightInd/>
        <w:snapToGrid/>
        <w:spacing w:before="0" w:after="0" w:line="560" w:lineRule="exact"/>
        <w:ind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rPr>
        <w:t>评标定标信息</w:t>
      </w:r>
      <w:r>
        <w:rPr>
          <w:rFonts w:hint="eastAsia" w:ascii="仿宋_GB2312" w:hAnsi="仿宋_GB2312" w:eastAsia="仿宋_GB2312" w:cs="仿宋_GB2312"/>
          <w:b w:val="0"/>
          <w:color w:val="auto"/>
          <w:sz w:val="32"/>
          <w:szCs w:val="32"/>
        </w:rPr>
        <w:t>：评标委员会由</w:t>
      </w:r>
      <w:r>
        <w:rPr>
          <w:rFonts w:hint="eastAsia" w:ascii="仿宋_GB2312" w:hAnsi="仿宋_GB2312" w:eastAsia="仿宋_GB2312" w:cs="仿宋_GB2312"/>
          <w:b w:val="0"/>
          <w:color w:val="auto"/>
          <w:sz w:val="32"/>
          <w:szCs w:val="32"/>
          <w:lang w:val="en-US" w:eastAsia="zh-CN"/>
        </w:rPr>
        <w:t>3</w:t>
      </w:r>
      <w:r>
        <w:rPr>
          <w:rFonts w:hint="eastAsia" w:ascii="仿宋_GB2312" w:hAnsi="仿宋_GB2312" w:eastAsia="仿宋_GB2312" w:cs="仿宋_GB2312"/>
          <w:b w:val="0"/>
          <w:color w:val="auto"/>
          <w:sz w:val="32"/>
          <w:szCs w:val="32"/>
        </w:rPr>
        <w:t>人组成</w:t>
      </w:r>
      <w:r>
        <w:rPr>
          <w:rFonts w:hint="eastAsia" w:ascii="仿宋_GB2312" w:hAnsi="仿宋_GB2312" w:eastAsia="仿宋_GB2312" w:cs="仿宋_GB2312"/>
          <w:b w:val="0"/>
          <w:color w:val="auto"/>
          <w:sz w:val="32"/>
          <w:szCs w:val="32"/>
          <w:lang w:eastAsia="zh-CN"/>
        </w:rPr>
        <w:t>，</w:t>
      </w:r>
      <w:r>
        <w:rPr>
          <w:rFonts w:hint="eastAsia" w:ascii="仿宋_GB2312" w:hAnsi="仿宋_GB2312" w:eastAsia="仿宋_GB2312" w:cs="仿宋_GB2312"/>
          <w:b w:val="0"/>
          <w:color w:val="auto"/>
          <w:sz w:val="32"/>
          <w:szCs w:val="32"/>
        </w:rPr>
        <w:t>定标结果将在指定政府采购网站公示，公示期不少于3个工作日。</w:t>
      </w:r>
    </w:p>
    <w:p>
      <w:pPr>
        <w:pStyle w:val="26"/>
        <w:keepNext w:val="0"/>
        <w:keepLines w:val="0"/>
        <w:pageBreakBefore w:val="0"/>
        <w:widowControl/>
        <w:numPr>
          <w:numId w:val="0"/>
        </w:numPr>
        <w:kinsoku/>
        <w:wordWrap/>
        <w:overflowPunct/>
        <w:topLinePunct w:val="0"/>
        <w:autoSpaceDE/>
        <w:autoSpaceDN/>
        <w:bidi w:val="0"/>
        <w:adjustRightInd/>
        <w:snapToGrid/>
        <w:spacing w:before="0" w:after="0" w:line="560" w:lineRule="exact"/>
        <w:ind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rPr>
        <w:t>代理服务费</w:t>
      </w:r>
      <w:r>
        <w:rPr>
          <w:rFonts w:hint="eastAsia" w:ascii="仿宋_GB2312" w:hAnsi="仿宋_GB2312" w:eastAsia="仿宋_GB2312" w:cs="仿宋_GB2312"/>
          <w:b w:val="0"/>
          <w:color w:val="auto"/>
          <w:sz w:val="32"/>
          <w:szCs w:val="32"/>
        </w:rPr>
        <w:t>：本项目如委托采购代理机构，代理服务费由中标人支付，收费标准参照国家相关规定执行。</w:t>
      </w:r>
    </w:p>
    <w:p>
      <w:pPr>
        <w:pStyle w:val="26"/>
        <w:keepNext w:val="0"/>
        <w:keepLines w:val="0"/>
        <w:pageBreakBefore w:val="0"/>
        <w:widowControl/>
        <w:numPr>
          <w:numId w:val="0"/>
        </w:numPr>
        <w:kinsoku/>
        <w:wordWrap/>
        <w:overflowPunct/>
        <w:topLinePunct w:val="0"/>
        <w:autoSpaceDE/>
        <w:autoSpaceDN/>
        <w:bidi w:val="0"/>
        <w:adjustRightInd/>
        <w:snapToGrid/>
        <w:spacing w:before="0" w:after="0" w:line="560" w:lineRule="exact"/>
        <w:ind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3.</w:t>
      </w:r>
      <w:r>
        <w:rPr>
          <w:rFonts w:hint="eastAsia" w:ascii="仿宋_GB2312" w:hAnsi="仿宋_GB2312" w:eastAsia="仿宋_GB2312" w:cs="仿宋_GB2312"/>
          <w:b/>
          <w:bCs/>
          <w:color w:val="auto"/>
          <w:sz w:val="32"/>
          <w:szCs w:val="32"/>
        </w:rPr>
        <w:t>资产权属</w:t>
      </w:r>
      <w:r>
        <w:rPr>
          <w:rFonts w:hint="eastAsia" w:ascii="仿宋_GB2312" w:hAnsi="仿宋_GB2312" w:eastAsia="仿宋_GB2312" w:cs="仿宋_GB2312"/>
          <w:b w:val="0"/>
          <w:color w:val="auto"/>
          <w:sz w:val="32"/>
          <w:szCs w:val="32"/>
        </w:rPr>
        <w:t>：场地内原有的固定装修、大型设备及家具归采购人所有。中标方在运营期间新增的可移动设备、文创产品库存等归中标方所有，合同终止时按约定处置。</w:t>
      </w:r>
    </w:p>
    <w:p>
      <w:pPr>
        <w:pStyle w:val="26"/>
        <w:keepNext w:val="0"/>
        <w:keepLines w:val="0"/>
        <w:pageBreakBefore w:val="0"/>
        <w:widowControl/>
        <w:numPr>
          <w:numId w:val="0"/>
        </w:numPr>
        <w:kinsoku/>
        <w:wordWrap/>
        <w:overflowPunct/>
        <w:topLinePunct w:val="0"/>
        <w:autoSpaceDE/>
        <w:autoSpaceDN/>
        <w:bidi w:val="0"/>
        <w:adjustRightInd/>
        <w:snapToGrid/>
        <w:spacing w:before="0" w:after="0" w:line="560" w:lineRule="exact"/>
        <w:ind w:firstLine="642" w:firstLineChars="200"/>
        <w:textAlignment w:val="auto"/>
        <w:rPr>
          <w:rFonts w:hint="eastAsia" w:ascii="仿宋_GB2312" w:hAnsi="仿宋_GB2312" w:eastAsia="仿宋_GB2312" w:cs="仿宋_GB2312"/>
          <w:b w:val="0"/>
          <w:color w:val="auto"/>
          <w:sz w:val="32"/>
          <w:szCs w:val="32"/>
        </w:rPr>
      </w:pPr>
      <w:r>
        <w:rPr>
          <w:rFonts w:hint="eastAsia" w:ascii="仿宋_GB2312" w:hAnsi="仿宋_GB2312" w:eastAsia="仿宋_GB2312" w:cs="仿宋_GB2312"/>
          <w:b/>
          <w:bCs/>
          <w:color w:val="auto"/>
          <w:sz w:val="32"/>
          <w:szCs w:val="32"/>
          <w:lang w:val="en-US" w:eastAsia="zh-CN"/>
        </w:rPr>
        <w:t>4.</w:t>
      </w:r>
      <w:r>
        <w:rPr>
          <w:rFonts w:hint="eastAsia" w:ascii="仿宋_GB2312" w:hAnsi="仿宋_GB2312" w:eastAsia="仿宋_GB2312" w:cs="仿宋_GB2312"/>
          <w:b/>
          <w:bCs/>
          <w:color w:val="auto"/>
          <w:sz w:val="32"/>
          <w:szCs w:val="32"/>
        </w:rPr>
        <w:t>人员要求</w:t>
      </w:r>
      <w:r>
        <w:rPr>
          <w:rFonts w:hint="eastAsia" w:ascii="仿宋_GB2312" w:hAnsi="仿宋_GB2312" w:eastAsia="仿宋_GB2312" w:cs="仿宋_GB2312"/>
          <w:b w:val="0"/>
          <w:color w:val="auto"/>
          <w:sz w:val="32"/>
          <w:szCs w:val="32"/>
        </w:rPr>
        <w:t>：中标方拟派的项目负责人须具备</w:t>
      </w:r>
      <w:r>
        <w:rPr>
          <w:rFonts w:hint="eastAsia" w:ascii="仿宋_GB2312" w:hAnsi="仿宋_GB2312" w:eastAsia="仿宋_GB2312" w:cs="仿宋_GB2312"/>
          <w:b w:val="0"/>
          <w:color w:val="auto"/>
          <w:sz w:val="32"/>
          <w:szCs w:val="32"/>
          <w:lang w:eastAsia="zh-CN"/>
        </w:rPr>
        <w:t>相应</w:t>
      </w:r>
      <w:r>
        <w:rPr>
          <w:rFonts w:hint="eastAsia" w:ascii="仿宋_GB2312" w:hAnsi="仿宋_GB2312" w:eastAsia="仿宋_GB2312" w:cs="仿宋_GB2312"/>
          <w:b w:val="0"/>
          <w:color w:val="auto"/>
          <w:sz w:val="32"/>
          <w:szCs w:val="32"/>
        </w:rPr>
        <w:t>公共文化场馆管理经验，且承诺在项目服务期内全职在岗，不得随意更换。如需更换，须提前30日向采购人提出书面申请并经同意。</w:t>
      </w:r>
    </w:p>
    <w:bookmarkEnd w:id="9"/>
    <w:bookmarkEnd w:id="11"/>
    <w:p>
      <w:pPr>
        <w:pStyle w:val="6"/>
        <w:keepNext/>
        <w:keepLines/>
        <w:pageBreakBefore w:val="0"/>
        <w:widowControl/>
        <w:kinsoku/>
        <w:wordWrap/>
        <w:overflowPunct/>
        <w:topLinePunct w:val="0"/>
        <w:autoSpaceDE/>
        <w:autoSpaceDN/>
        <w:bidi w:val="0"/>
        <w:adjustRightInd/>
        <w:snapToGrid w:val="0"/>
        <w:spacing w:before="0" w:after="0" w:line="560" w:lineRule="exact"/>
        <w:ind w:left="0" w:firstLine="642" w:firstLineChars="200"/>
        <w:jc w:val="left"/>
        <w:textAlignment w:val="auto"/>
        <w:rPr>
          <w:rFonts w:hint="eastAsia" w:ascii="Times New Roman" w:hAnsi="Times New Roman" w:eastAsia="黑体"/>
          <w:b/>
          <w:i w:val="0"/>
          <w:iCs w:val="0"/>
          <w:color w:val="auto"/>
          <w:sz w:val="32"/>
          <w:szCs w:val="32"/>
        </w:rPr>
      </w:pPr>
      <w:bookmarkStart w:id="12" w:name="第三章-用户需求书"/>
      <w:r>
        <w:rPr>
          <w:rFonts w:hint="eastAsia" w:ascii="Times New Roman" w:hAnsi="Times New Roman" w:eastAsia="黑体"/>
          <w:b/>
          <w:i w:val="0"/>
          <w:iCs w:val="0"/>
          <w:color w:val="auto"/>
          <w:sz w:val="32"/>
          <w:szCs w:val="32"/>
          <w:lang w:eastAsia="zh-CN"/>
        </w:rPr>
        <w:t>三、项目</w:t>
      </w:r>
      <w:r>
        <w:rPr>
          <w:rFonts w:hint="eastAsia" w:ascii="Times New Roman" w:hAnsi="Times New Roman" w:eastAsia="黑体"/>
          <w:b/>
          <w:i w:val="0"/>
          <w:iCs w:val="0"/>
          <w:color w:val="auto"/>
          <w:sz w:val="32"/>
          <w:szCs w:val="32"/>
        </w:rPr>
        <w:t>需求</w:t>
      </w:r>
    </w:p>
    <w:p>
      <w:pPr>
        <w:pStyle w:val="6"/>
        <w:keepNext/>
        <w:keepLines/>
        <w:pageBreakBefore w:val="0"/>
        <w:widowControl/>
        <w:kinsoku/>
        <w:wordWrap/>
        <w:overflowPunct/>
        <w:topLinePunct w:val="0"/>
        <w:autoSpaceDE/>
        <w:autoSpaceDN/>
        <w:bidi w:val="0"/>
        <w:adjustRightInd/>
        <w:snapToGrid w:val="0"/>
        <w:spacing w:before="0" w:after="0" w:line="560" w:lineRule="exact"/>
        <w:ind w:left="0" w:firstLine="642" w:firstLineChars="200"/>
        <w:jc w:val="left"/>
        <w:textAlignment w:val="auto"/>
        <w:rPr>
          <w:rFonts w:hint="eastAsia" w:ascii="楷体_GB2312" w:hAnsi="楷体_GB2312" w:eastAsia="楷体_GB2312" w:cs="楷体_GB2312"/>
          <w:b/>
          <w:i w:val="0"/>
          <w:iCs w:val="0"/>
          <w:color w:val="auto"/>
          <w:sz w:val="32"/>
          <w:szCs w:val="32"/>
        </w:rPr>
      </w:pPr>
      <w:bookmarkStart w:id="13" w:name="一项目基本信息"/>
      <w:r>
        <w:rPr>
          <w:rFonts w:hint="eastAsia" w:ascii="楷体_GB2312" w:hAnsi="楷体_GB2312" w:eastAsia="楷体_GB2312" w:cs="楷体_GB2312"/>
          <w:b/>
          <w:i w:val="0"/>
          <w:iCs w:val="0"/>
          <w:color w:val="auto"/>
          <w:sz w:val="32"/>
          <w:szCs w:val="32"/>
          <w:lang w:eastAsia="zh-CN"/>
        </w:rPr>
        <w:t>（一）</w:t>
      </w:r>
      <w:r>
        <w:rPr>
          <w:rFonts w:hint="eastAsia" w:ascii="楷体_GB2312" w:hAnsi="楷体_GB2312" w:eastAsia="楷体_GB2312" w:cs="楷体_GB2312"/>
          <w:b/>
          <w:i w:val="0"/>
          <w:iCs w:val="0"/>
          <w:color w:val="auto"/>
          <w:sz w:val="32"/>
          <w:szCs w:val="32"/>
        </w:rPr>
        <w:t>项目基本信息</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31"/>
        <w:gridCol w:w="453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p>
            <w:pPr>
              <w:pStyle w:val="26"/>
              <w:spacing w:before="40" w:after="40" w:line="440" w:lineRule="exact"/>
              <w:jc w:val="center"/>
              <w:rPr>
                <w:color w:val="auto"/>
                <w:sz w:val="32"/>
                <w:szCs w:val="32"/>
              </w:rPr>
            </w:pPr>
            <w:r>
              <w:rPr>
                <w:rFonts w:hint="eastAsia" w:ascii="Times New Roman" w:hAnsi="Times New Roman" w:eastAsia="黑体"/>
                <w:b/>
                <w:color w:val="auto"/>
                <w:sz w:val="32"/>
                <w:szCs w:val="32"/>
              </w:rPr>
              <w:t>项目</w:t>
            </w:r>
          </w:p>
        </w:tc>
        <w:tc>
          <w:p>
            <w:pPr>
              <w:pStyle w:val="26"/>
              <w:spacing w:before="40" w:after="40" w:line="440" w:lineRule="exact"/>
              <w:jc w:val="center"/>
              <w:rPr>
                <w:color w:val="auto"/>
                <w:sz w:val="32"/>
                <w:szCs w:val="32"/>
              </w:rPr>
            </w:pPr>
            <w:r>
              <w:rPr>
                <w:rFonts w:hint="eastAsia" w:ascii="Times New Roman" w:hAnsi="Times New Roman" w:eastAsia="黑体"/>
                <w:b/>
                <w:color w:val="auto"/>
                <w:sz w:val="32"/>
                <w:szCs w:val="32"/>
              </w:rPr>
              <w:t>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vAlign w:val="center"/>
          </w:tcPr>
          <w:p>
            <w:pPr>
              <w:pStyle w:val="26"/>
              <w:spacing w:before="40" w:after="40" w:line="440" w:lineRule="exact"/>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项目名称</w:t>
            </w:r>
          </w:p>
        </w:tc>
        <w:tc>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盐田区壹海城二区401场地公共文化建设公益项目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vAlign w:val="center"/>
          </w:tcPr>
          <w:p>
            <w:pPr>
              <w:pStyle w:val="26"/>
              <w:spacing w:before="40" w:after="40" w:line="440" w:lineRule="exact"/>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采购人</w:t>
            </w:r>
          </w:p>
        </w:tc>
        <w:tc>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中共深圳市盐田区委宣传部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vAlign w:val="center"/>
          </w:tcPr>
          <w:p>
            <w:pPr>
              <w:pStyle w:val="26"/>
              <w:spacing w:before="40" w:after="40" w:line="440" w:lineRule="exact"/>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场地位置</w:t>
            </w:r>
          </w:p>
        </w:tc>
        <w:tc>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盐田区壹海城二区401场地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vAlign w:val="center"/>
          </w:tcPr>
          <w:p>
            <w:pPr>
              <w:pStyle w:val="26"/>
              <w:spacing w:before="40" w:after="40" w:line="440" w:lineRule="exact"/>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场地面积</w:t>
            </w:r>
          </w:p>
        </w:tc>
        <w:tc>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约1525平方米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vAlign w:val="center"/>
          </w:tcPr>
          <w:p>
            <w:pPr>
              <w:pStyle w:val="26"/>
              <w:spacing w:before="40" w:after="40" w:line="440" w:lineRule="exact"/>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场地性质</w:t>
            </w:r>
          </w:p>
        </w:tc>
        <w:tc>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公共文化服务场所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vAlign w:val="center"/>
          </w:tcPr>
          <w:p>
            <w:pPr>
              <w:pStyle w:val="26"/>
              <w:spacing w:before="40" w:after="40" w:line="440" w:lineRule="exact"/>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主要用途</w:t>
            </w:r>
          </w:p>
        </w:tc>
        <w:tc>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群众性文化活动、艺术展览、文艺培训、阅读推广、文创开发、文艺交流等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vAlign w:val="center"/>
          </w:tcPr>
          <w:p>
            <w:pPr>
              <w:pStyle w:val="26"/>
              <w:spacing w:before="40" w:after="40" w:line="440" w:lineRule="exact"/>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联系人</w:t>
            </w:r>
          </w:p>
        </w:tc>
        <w:tc>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张先生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vAlign w:val="center"/>
          </w:tcPr>
          <w:p>
            <w:pPr>
              <w:pStyle w:val="26"/>
              <w:spacing w:before="40" w:after="40" w:line="440" w:lineRule="exact"/>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联系电话</w:t>
            </w:r>
          </w:p>
        </w:tc>
        <w:tc>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0755-88170627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vAlign w:val="center"/>
          </w:tcPr>
          <w:p>
            <w:pPr>
              <w:pStyle w:val="26"/>
              <w:spacing w:before="40" w:after="40" w:line="440" w:lineRule="exact"/>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联系地址</w:t>
            </w:r>
          </w:p>
        </w:tc>
        <w:tc>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深圳市盐田区深盐路2088号738办公室</w:t>
            </w:r>
          </w:p>
        </w:tc>
      </w:tr>
      <w:bookmarkEnd w:id="13"/>
    </w:tbl>
    <w:p>
      <w:pPr>
        <w:pStyle w:val="6"/>
        <w:keepNext/>
        <w:keepLines/>
        <w:pageBreakBefore w:val="0"/>
        <w:widowControl/>
        <w:kinsoku/>
        <w:wordWrap/>
        <w:overflowPunct/>
        <w:topLinePunct w:val="0"/>
        <w:autoSpaceDE/>
        <w:autoSpaceDN/>
        <w:bidi w:val="0"/>
        <w:adjustRightInd/>
        <w:snapToGrid w:val="0"/>
        <w:spacing w:before="0" w:after="0" w:line="560" w:lineRule="exact"/>
        <w:ind w:left="0" w:firstLine="642" w:firstLineChars="200"/>
        <w:jc w:val="left"/>
        <w:textAlignment w:val="auto"/>
        <w:rPr>
          <w:rFonts w:hint="eastAsia" w:ascii="楷体_GB2312" w:hAnsi="楷体_GB2312" w:eastAsia="楷体_GB2312" w:cs="楷体_GB2312"/>
          <w:b/>
          <w:i w:val="0"/>
          <w:iCs w:val="0"/>
          <w:color w:val="auto"/>
          <w:sz w:val="32"/>
          <w:szCs w:val="32"/>
        </w:rPr>
      </w:pPr>
      <w:bookmarkStart w:id="14" w:name="二项目背景与意义"/>
      <w:r>
        <w:rPr>
          <w:rFonts w:hint="eastAsia" w:ascii="楷体_GB2312" w:hAnsi="楷体_GB2312" w:eastAsia="楷体_GB2312" w:cs="楷体_GB2312"/>
          <w:b/>
          <w:i w:val="0"/>
          <w:iCs w:val="0"/>
          <w:color w:val="auto"/>
          <w:sz w:val="32"/>
          <w:szCs w:val="32"/>
          <w:lang w:eastAsia="zh-CN"/>
        </w:rPr>
        <w:t>（二）</w:t>
      </w:r>
      <w:r>
        <w:rPr>
          <w:rFonts w:hint="eastAsia" w:ascii="楷体_GB2312" w:hAnsi="楷体_GB2312" w:eastAsia="楷体_GB2312" w:cs="楷体_GB2312"/>
          <w:b/>
          <w:i w:val="0"/>
          <w:iCs w:val="0"/>
          <w:color w:val="auto"/>
          <w:sz w:val="32"/>
          <w:szCs w:val="32"/>
        </w:rPr>
        <w:t>项目背景与意义</w:t>
      </w:r>
    </w:p>
    <w:p>
      <w:pPr>
        <w:pStyle w:val="25"/>
        <w:spacing w:before="60" w:after="60" w:line="560" w:lineRule="exact"/>
        <w:ind w:firstLine="480"/>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盐田区作为深圳东部滨海城区，正致力于构建高品质公共文化服务体系。壹海城二区401场地位于核心商圈与居住区交汇处，地理位置优越，人流量大，是打造新型公共文化空间的理想载体。本项目旨在通过“政府主导、社会参与、公益优先、适度市场”的模式，解决公共文化服务“最后一公里”问题，将高端艺术资源引入社区，满足人民群众对美好生活的向往，同时探索公共文化场馆可持续发展的“盐田样本”。</w:t>
      </w:r>
    </w:p>
    <w:bookmarkEnd w:id="14"/>
    <w:p>
      <w:pPr>
        <w:pStyle w:val="6"/>
        <w:keepNext/>
        <w:keepLines/>
        <w:pageBreakBefore w:val="0"/>
        <w:widowControl/>
        <w:kinsoku/>
        <w:wordWrap/>
        <w:overflowPunct/>
        <w:topLinePunct w:val="0"/>
        <w:autoSpaceDE/>
        <w:autoSpaceDN/>
        <w:bidi w:val="0"/>
        <w:adjustRightInd/>
        <w:snapToGrid w:val="0"/>
        <w:spacing w:before="0" w:after="0" w:line="560" w:lineRule="exact"/>
        <w:ind w:left="0" w:firstLine="642" w:firstLineChars="200"/>
        <w:jc w:val="left"/>
        <w:textAlignment w:val="auto"/>
        <w:rPr>
          <w:rFonts w:hint="eastAsia" w:ascii="楷体_GB2312" w:hAnsi="楷体_GB2312" w:eastAsia="楷体_GB2312" w:cs="楷体_GB2312"/>
          <w:b/>
          <w:i w:val="0"/>
          <w:iCs w:val="0"/>
          <w:color w:val="auto"/>
          <w:sz w:val="32"/>
          <w:szCs w:val="32"/>
        </w:rPr>
      </w:pPr>
      <w:bookmarkStart w:id="15" w:name="三服务对象"/>
      <w:r>
        <w:rPr>
          <w:rFonts w:hint="eastAsia" w:ascii="楷体_GB2312" w:hAnsi="楷体_GB2312" w:eastAsia="楷体_GB2312" w:cs="楷体_GB2312"/>
          <w:b/>
          <w:i w:val="0"/>
          <w:iCs w:val="0"/>
          <w:color w:val="auto"/>
          <w:sz w:val="32"/>
          <w:szCs w:val="32"/>
          <w:lang w:eastAsia="zh-CN"/>
        </w:rPr>
        <w:t>（</w:t>
      </w:r>
      <w:r>
        <w:rPr>
          <w:rFonts w:hint="eastAsia" w:ascii="楷体_GB2312" w:hAnsi="楷体_GB2312" w:eastAsia="楷体_GB2312" w:cs="楷体_GB2312"/>
          <w:b/>
          <w:i w:val="0"/>
          <w:iCs w:val="0"/>
          <w:color w:val="auto"/>
          <w:sz w:val="32"/>
          <w:szCs w:val="32"/>
          <w:lang w:eastAsia="zh-CN"/>
        </w:rPr>
        <w:t>三）</w:t>
      </w:r>
      <w:r>
        <w:rPr>
          <w:rFonts w:hint="eastAsia" w:ascii="楷体_GB2312" w:hAnsi="楷体_GB2312" w:eastAsia="楷体_GB2312" w:cs="楷体_GB2312"/>
          <w:b/>
          <w:i w:val="0"/>
          <w:iCs w:val="0"/>
          <w:color w:val="auto"/>
          <w:sz w:val="32"/>
          <w:szCs w:val="32"/>
        </w:rPr>
        <w:t>服务对象</w:t>
      </w:r>
    </w:p>
    <w:p>
      <w:pPr>
        <w:pStyle w:val="26"/>
        <w:keepNext w:val="0"/>
        <w:keepLines w:val="0"/>
        <w:pageBreakBefore w:val="0"/>
        <w:widowControl/>
        <w:numPr>
          <w:numId w:val="0"/>
        </w:numPr>
        <w:kinsoku/>
        <w:wordWrap/>
        <w:overflowPunct/>
        <w:topLinePunct w:val="0"/>
        <w:autoSpaceDE/>
        <w:autoSpaceDN/>
        <w:bidi w:val="0"/>
        <w:adjustRightInd/>
        <w:snapToGrid/>
        <w:spacing w:before="0" w:after="0" w:line="560" w:lineRule="exact"/>
        <w:ind w:left="0" w:leftChars="0"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rPr>
        <w:t>核心受众</w:t>
      </w:r>
      <w:r>
        <w:rPr>
          <w:rFonts w:hint="eastAsia" w:ascii="仿宋_GB2312" w:hAnsi="仿宋_GB2312" w:eastAsia="仿宋_GB2312" w:cs="仿宋_GB2312"/>
          <w:b w:val="0"/>
          <w:color w:val="auto"/>
          <w:sz w:val="32"/>
          <w:szCs w:val="32"/>
        </w:rPr>
        <w:t>：盐田区常住居民、辖区企事业单位职工、中小学生及老年群体。</w:t>
      </w:r>
    </w:p>
    <w:p>
      <w:pPr>
        <w:pStyle w:val="26"/>
        <w:keepNext w:val="0"/>
        <w:keepLines w:val="0"/>
        <w:pageBreakBefore w:val="0"/>
        <w:widowControl/>
        <w:numPr>
          <w:numId w:val="0"/>
        </w:numPr>
        <w:kinsoku/>
        <w:wordWrap/>
        <w:overflowPunct/>
        <w:topLinePunct w:val="0"/>
        <w:autoSpaceDE/>
        <w:autoSpaceDN/>
        <w:bidi w:val="0"/>
        <w:adjustRightInd/>
        <w:snapToGrid/>
        <w:spacing w:before="0" w:after="0" w:line="560" w:lineRule="exact"/>
        <w:ind w:left="0" w:leftChars="0"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rPr>
        <w:t>拓展受众</w:t>
      </w:r>
      <w:r>
        <w:rPr>
          <w:rFonts w:hint="eastAsia" w:ascii="仿宋_GB2312" w:hAnsi="仿宋_GB2312" w:eastAsia="仿宋_GB2312" w:cs="仿宋_GB2312"/>
          <w:b w:val="0"/>
          <w:color w:val="auto"/>
          <w:sz w:val="32"/>
          <w:szCs w:val="32"/>
        </w:rPr>
        <w:t>：来盐游客、艺术爱好者、文化创意从业者及社会各界人士。</w:t>
      </w:r>
    </w:p>
    <w:bookmarkEnd w:id="15"/>
    <w:p>
      <w:pPr>
        <w:pStyle w:val="6"/>
        <w:keepNext/>
        <w:keepLines/>
        <w:pageBreakBefore w:val="0"/>
        <w:widowControl/>
        <w:kinsoku/>
        <w:wordWrap/>
        <w:overflowPunct/>
        <w:topLinePunct w:val="0"/>
        <w:autoSpaceDE/>
        <w:autoSpaceDN/>
        <w:bidi w:val="0"/>
        <w:adjustRightInd/>
        <w:snapToGrid w:val="0"/>
        <w:spacing w:before="0" w:after="0" w:line="560" w:lineRule="exact"/>
        <w:ind w:left="0" w:firstLine="642" w:firstLineChars="200"/>
        <w:jc w:val="left"/>
        <w:textAlignment w:val="auto"/>
        <w:rPr>
          <w:rFonts w:hint="eastAsia" w:ascii="楷体_GB2312" w:hAnsi="楷体_GB2312" w:eastAsia="楷体_GB2312" w:cs="楷体_GB2312"/>
          <w:b/>
          <w:i w:val="0"/>
          <w:iCs w:val="0"/>
          <w:color w:val="auto"/>
          <w:sz w:val="32"/>
          <w:szCs w:val="32"/>
          <w:lang w:eastAsia="zh-CN"/>
        </w:rPr>
      </w:pPr>
      <w:bookmarkStart w:id="16" w:name="四详细服务内容"/>
      <w:r>
        <w:rPr>
          <w:rFonts w:hint="eastAsia" w:ascii="楷体_GB2312" w:hAnsi="楷体_GB2312" w:eastAsia="楷体_GB2312" w:cs="楷体_GB2312"/>
          <w:b/>
          <w:i w:val="0"/>
          <w:iCs w:val="0"/>
          <w:color w:val="auto"/>
          <w:sz w:val="32"/>
          <w:szCs w:val="32"/>
          <w:lang w:eastAsia="zh-CN"/>
        </w:rPr>
        <w:t>（四）</w:t>
      </w:r>
      <w:r>
        <w:rPr>
          <w:rFonts w:hint="eastAsia" w:ascii="楷体_GB2312" w:hAnsi="楷体_GB2312" w:eastAsia="楷体_GB2312" w:cs="楷体_GB2312"/>
          <w:b/>
          <w:i w:val="0"/>
          <w:iCs w:val="0"/>
          <w:color w:val="auto"/>
          <w:sz w:val="32"/>
          <w:szCs w:val="32"/>
        </w:rPr>
        <w:t>详细服务内容</w:t>
      </w:r>
    </w:p>
    <w:p>
      <w:pPr>
        <w:pStyle w:val="2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642"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rPr>
        <w:t>场地运营管理服务：</w:t>
      </w:r>
    </w:p>
    <w:p>
      <w:pPr>
        <w:pStyle w:val="2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制定并公示场馆开放时间，</w:t>
      </w:r>
      <w:r>
        <w:rPr>
          <w:rFonts w:hint="eastAsia" w:ascii="仿宋_GB2312" w:hAnsi="仿宋_GB2312" w:eastAsia="仿宋_GB2312" w:cs="仿宋_GB2312"/>
          <w:b w:val="0"/>
          <w:bCs w:val="0"/>
          <w:color w:val="auto"/>
          <w:sz w:val="32"/>
          <w:szCs w:val="32"/>
          <w:lang w:eastAsia="zh-CN"/>
        </w:rPr>
        <w:t>平均</w:t>
      </w:r>
      <w:r>
        <w:rPr>
          <w:rFonts w:hint="eastAsia" w:ascii="仿宋_GB2312" w:hAnsi="仿宋_GB2312" w:eastAsia="仿宋_GB2312" w:cs="仿宋_GB2312"/>
          <w:b w:val="0"/>
          <w:bCs w:val="0"/>
          <w:color w:val="auto"/>
          <w:sz w:val="32"/>
          <w:szCs w:val="32"/>
        </w:rPr>
        <w:t>每周开放时间</w:t>
      </w:r>
      <w:r>
        <w:rPr>
          <w:rFonts w:hint="eastAsia" w:ascii="仿宋_GB2312" w:hAnsi="仿宋_GB2312" w:eastAsia="仿宋_GB2312" w:cs="仿宋_GB2312"/>
          <w:b w:val="0"/>
          <w:bCs w:val="0"/>
          <w:color w:val="auto"/>
          <w:sz w:val="32"/>
          <w:szCs w:val="32"/>
          <w:lang w:eastAsia="zh-CN"/>
        </w:rPr>
        <w:t>不少于</w:t>
      </w:r>
      <w:r>
        <w:rPr>
          <w:rFonts w:hint="eastAsia" w:ascii="仿宋_GB2312" w:hAnsi="仿宋_GB2312" w:eastAsia="仿宋_GB2312" w:cs="仿宋_GB2312"/>
          <w:b w:val="0"/>
          <w:bCs w:val="0"/>
          <w:color w:val="auto"/>
          <w:sz w:val="32"/>
          <w:szCs w:val="32"/>
          <w:lang w:val="en-US" w:eastAsia="zh-CN"/>
        </w:rPr>
        <w:t>3日</w:t>
      </w:r>
      <w:r>
        <w:rPr>
          <w:rFonts w:hint="eastAsia" w:ascii="仿宋_GB2312" w:hAnsi="仿宋_GB2312" w:eastAsia="仿宋_GB2312" w:cs="仿宋_GB2312"/>
          <w:b w:val="0"/>
          <w:bCs w:val="0"/>
          <w:color w:val="auto"/>
          <w:sz w:val="32"/>
          <w:szCs w:val="32"/>
        </w:rPr>
        <w:t>。</w:t>
      </w:r>
    </w:p>
    <w:p>
      <w:pPr>
        <w:pStyle w:val="2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建立标准化服务流程，提供咨询、寄存、无障碍服务等便民措施。</w:t>
      </w:r>
    </w:p>
    <w:p>
      <w:pPr>
        <w:pStyle w:val="2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负责场馆内的保洁、绿化养护及设施设备的日常维护。</w:t>
      </w:r>
    </w:p>
    <w:p>
      <w:pPr>
        <w:pStyle w:val="2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642"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rPr>
        <w:t>文化活动策划与执行服务：</w:t>
      </w:r>
    </w:p>
    <w:p>
      <w:pPr>
        <w:pStyle w:val="2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艺术展览：每年举办不少于</w:t>
      </w: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rPr>
        <w:t>场原创或引进的艺术展览，涵盖书画、摄影、非遗、当代艺术等。</w:t>
      </w:r>
    </w:p>
    <w:p>
      <w:pPr>
        <w:pStyle w:val="2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文艺培训：</w:t>
      </w:r>
      <w:r>
        <w:rPr>
          <w:rFonts w:hint="eastAsia" w:ascii="仿宋_GB2312" w:hAnsi="仿宋_GB2312" w:eastAsia="仿宋_GB2312" w:cs="仿宋_GB2312"/>
          <w:b w:val="0"/>
          <w:bCs w:val="0"/>
          <w:color w:val="auto"/>
          <w:sz w:val="32"/>
          <w:szCs w:val="32"/>
          <w:lang w:eastAsia="zh-CN"/>
        </w:rPr>
        <w:t>适当</w:t>
      </w:r>
      <w:r>
        <w:rPr>
          <w:rFonts w:hint="eastAsia" w:ascii="仿宋_GB2312" w:hAnsi="仿宋_GB2312" w:eastAsia="仿宋_GB2312" w:cs="仿宋_GB2312"/>
          <w:b w:val="0"/>
          <w:bCs w:val="0"/>
          <w:color w:val="auto"/>
          <w:sz w:val="32"/>
          <w:szCs w:val="32"/>
        </w:rPr>
        <w:t>开设公益性艺术普及课程，如书法、绘画、音乐鉴赏等。</w:t>
      </w:r>
    </w:p>
    <w:p>
      <w:pPr>
        <w:pStyle w:val="2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阅读推广：结合场地功能，开展读书会、作者见面会、亲子阅读等活动。</w:t>
      </w:r>
    </w:p>
    <w:p>
      <w:pPr>
        <w:pStyle w:val="2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642"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lang w:val="en-US" w:eastAsia="zh-CN"/>
        </w:rPr>
        <w:t>3.</w:t>
      </w:r>
      <w:r>
        <w:rPr>
          <w:rFonts w:hint="eastAsia" w:ascii="仿宋_GB2312" w:hAnsi="仿宋_GB2312" w:eastAsia="仿宋_GB2312" w:cs="仿宋_GB2312"/>
          <w:b/>
          <w:bCs/>
          <w:color w:val="auto"/>
          <w:sz w:val="32"/>
          <w:szCs w:val="32"/>
        </w:rPr>
        <w:t>安全管理及维护服务：</w:t>
      </w:r>
    </w:p>
    <w:p>
      <w:pPr>
        <w:pStyle w:val="2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配备专职或兼职安全员，每日进行安全巡查并记录。</w:t>
      </w:r>
    </w:p>
    <w:p>
      <w:pPr>
        <w:pStyle w:val="2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制定突发事件应急预案，每半年至少组织1次全员消防及疏散演练。</w:t>
      </w:r>
    </w:p>
    <w:p>
      <w:pPr>
        <w:pStyle w:val="2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642"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lang w:val="en-US" w:eastAsia="zh-CN"/>
        </w:rPr>
        <w:t>4.</w:t>
      </w:r>
      <w:r>
        <w:rPr>
          <w:rFonts w:hint="eastAsia" w:ascii="仿宋_GB2312" w:hAnsi="仿宋_GB2312" w:eastAsia="仿宋_GB2312" w:cs="仿宋_GB2312"/>
          <w:b/>
          <w:bCs/>
          <w:color w:val="auto"/>
          <w:sz w:val="32"/>
          <w:szCs w:val="32"/>
        </w:rPr>
        <w:t>公共文化服务+适度市场化运营：</w:t>
      </w:r>
    </w:p>
    <w:p>
      <w:pPr>
        <w:pStyle w:val="2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开发具有盐田特色或场馆IP的文创产品，设立文创展示售卖区。</w:t>
      </w:r>
    </w:p>
    <w:p>
      <w:pPr>
        <w:pStyle w:val="2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在非公益时段或特定区域，开展收费艺术体验课、场地租赁等服务。</w:t>
      </w:r>
    </w:p>
    <w:p>
      <w:pPr>
        <w:pStyle w:val="2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市场化运营须严格遵守财务规范，建立独立账目，定期向采购人审计报备。</w:t>
      </w:r>
    </w:p>
    <w:bookmarkEnd w:id="16"/>
    <w:p>
      <w:pPr>
        <w:pStyle w:val="6"/>
        <w:keepNext/>
        <w:keepLines/>
        <w:pageBreakBefore w:val="0"/>
        <w:widowControl/>
        <w:kinsoku/>
        <w:wordWrap/>
        <w:overflowPunct/>
        <w:topLinePunct w:val="0"/>
        <w:autoSpaceDE/>
        <w:autoSpaceDN/>
        <w:bidi w:val="0"/>
        <w:adjustRightInd/>
        <w:snapToGrid w:val="0"/>
        <w:spacing w:before="0" w:after="0" w:line="560" w:lineRule="exact"/>
        <w:ind w:left="0" w:firstLine="642" w:firstLineChars="200"/>
        <w:jc w:val="left"/>
        <w:textAlignment w:val="auto"/>
        <w:rPr>
          <w:rFonts w:hint="eastAsia" w:ascii="楷体_GB2312" w:hAnsi="楷体_GB2312" w:eastAsia="楷体_GB2312" w:cs="楷体_GB2312"/>
          <w:b/>
          <w:i w:val="0"/>
          <w:iCs w:val="0"/>
          <w:color w:val="auto"/>
          <w:sz w:val="32"/>
          <w:szCs w:val="32"/>
        </w:rPr>
      </w:pPr>
      <w:bookmarkStart w:id="17" w:name="五人员配置要求"/>
      <w:r>
        <w:rPr>
          <w:rFonts w:hint="eastAsia" w:ascii="楷体_GB2312" w:hAnsi="楷体_GB2312" w:eastAsia="楷体_GB2312" w:cs="楷体_GB2312"/>
          <w:b/>
          <w:i w:val="0"/>
          <w:iCs w:val="0"/>
          <w:color w:val="auto"/>
          <w:sz w:val="32"/>
          <w:szCs w:val="32"/>
          <w:lang w:eastAsia="zh-CN"/>
        </w:rPr>
        <w:t>（五）</w:t>
      </w:r>
      <w:r>
        <w:rPr>
          <w:rFonts w:hint="eastAsia" w:ascii="楷体_GB2312" w:hAnsi="楷体_GB2312" w:eastAsia="楷体_GB2312" w:cs="楷体_GB2312"/>
          <w:b/>
          <w:i w:val="0"/>
          <w:iCs w:val="0"/>
          <w:color w:val="auto"/>
          <w:sz w:val="32"/>
          <w:szCs w:val="32"/>
        </w:rPr>
        <w:t>人员配置要求</w:t>
      </w:r>
    </w:p>
    <w:p>
      <w:pPr>
        <w:pStyle w:val="26"/>
        <w:pageBreakBefore w:val="0"/>
        <w:widowControl/>
        <w:numPr>
          <w:numId w:val="0"/>
        </w:numPr>
        <w:kinsoku/>
        <w:wordWrap/>
        <w:overflowPunct/>
        <w:topLinePunct w:val="0"/>
        <w:autoSpaceDE/>
        <w:autoSpaceDN/>
        <w:bidi w:val="0"/>
        <w:adjustRightInd/>
        <w:snapToGrid/>
        <w:spacing w:before="0" w:after="0" w:line="560" w:lineRule="exact"/>
        <w:ind w:left="0" w:leftChars="0" w:firstLine="642"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rPr>
        <w:t>项目负责人</w:t>
      </w:r>
      <w:r>
        <w:rPr>
          <w:rFonts w:hint="eastAsia" w:ascii="仿宋_GB2312" w:hAnsi="仿宋_GB2312" w:eastAsia="仿宋_GB2312" w:cs="仿宋_GB2312"/>
          <w:b w:val="0"/>
          <w:color w:val="auto"/>
          <w:sz w:val="32"/>
          <w:szCs w:val="32"/>
        </w:rPr>
        <w:t>：</w:t>
      </w:r>
      <w:r>
        <w:rPr>
          <w:rFonts w:hint="eastAsia" w:ascii="仿宋_GB2312" w:hAnsi="仿宋_GB2312" w:eastAsia="仿宋_GB2312" w:cs="仿宋_GB2312"/>
          <w:b w:val="0"/>
          <w:bCs w:val="0"/>
          <w:color w:val="auto"/>
          <w:sz w:val="32"/>
          <w:szCs w:val="32"/>
        </w:rPr>
        <w:t>1名，全职，</w:t>
      </w:r>
      <w:r>
        <w:rPr>
          <w:rFonts w:hint="eastAsia" w:ascii="仿宋_GB2312" w:hAnsi="仿宋_GB2312" w:eastAsia="仿宋_GB2312" w:cs="仿宋_GB2312"/>
          <w:b w:val="0"/>
          <w:bCs w:val="0"/>
          <w:color w:val="auto"/>
          <w:sz w:val="32"/>
          <w:szCs w:val="32"/>
          <w:lang w:eastAsia="zh-CN"/>
        </w:rPr>
        <w:t>文化艺术类中级职称及以上或文化艺术类</w:t>
      </w:r>
      <w:r>
        <w:rPr>
          <w:rFonts w:hint="eastAsia" w:ascii="仿宋_GB2312" w:hAnsi="仿宋_GB2312" w:eastAsia="仿宋_GB2312" w:cs="仿宋_GB2312"/>
          <w:b w:val="0"/>
          <w:bCs w:val="0"/>
          <w:color w:val="auto"/>
          <w:sz w:val="32"/>
          <w:szCs w:val="32"/>
        </w:rPr>
        <w:t>本科及以上</w:t>
      </w:r>
      <w:r>
        <w:rPr>
          <w:rFonts w:hint="eastAsia" w:ascii="仿宋_GB2312" w:hAnsi="仿宋_GB2312" w:eastAsia="仿宋_GB2312" w:cs="仿宋_GB2312"/>
          <w:b w:val="0"/>
          <w:bCs w:val="0"/>
          <w:color w:val="auto"/>
          <w:sz w:val="32"/>
          <w:szCs w:val="32"/>
          <w:lang w:eastAsia="zh-CN"/>
        </w:rPr>
        <w:t>且具有</w:t>
      </w:r>
      <w:r>
        <w:rPr>
          <w:rFonts w:hint="eastAsia" w:ascii="仿宋_GB2312" w:hAnsi="仿宋_GB2312" w:eastAsia="仿宋_GB2312" w:cs="仿宋_GB2312"/>
          <w:b w:val="0"/>
          <w:bCs w:val="0"/>
          <w:color w:val="auto"/>
          <w:sz w:val="32"/>
          <w:szCs w:val="32"/>
          <w:lang w:val="en-US" w:eastAsia="zh-CN"/>
        </w:rPr>
        <w:t>5</w:t>
      </w:r>
      <w:r>
        <w:rPr>
          <w:rFonts w:hint="eastAsia" w:ascii="仿宋_GB2312" w:hAnsi="仿宋_GB2312" w:eastAsia="仿宋_GB2312" w:cs="仿宋_GB2312"/>
          <w:b w:val="0"/>
          <w:bCs w:val="0"/>
          <w:color w:val="auto"/>
          <w:sz w:val="32"/>
          <w:szCs w:val="32"/>
        </w:rPr>
        <w:t>年以上相关经验。</w:t>
      </w:r>
    </w:p>
    <w:p>
      <w:pPr>
        <w:pStyle w:val="26"/>
        <w:pageBreakBefore w:val="0"/>
        <w:widowControl/>
        <w:numPr>
          <w:numId w:val="0"/>
        </w:numPr>
        <w:kinsoku/>
        <w:wordWrap/>
        <w:overflowPunct/>
        <w:topLinePunct w:val="0"/>
        <w:autoSpaceDE/>
        <w:autoSpaceDN/>
        <w:bidi w:val="0"/>
        <w:adjustRightInd/>
        <w:snapToGrid/>
        <w:spacing w:before="0" w:after="0" w:line="560" w:lineRule="exact"/>
        <w:ind w:left="0" w:leftChars="0"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rPr>
        <w:t>策展/学术专员</w:t>
      </w:r>
      <w:r>
        <w:rPr>
          <w:rFonts w:hint="eastAsia" w:ascii="仿宋_GB2312" w:hAnsi="仿宋_GB2312" w:eastAsia="仿宋_GB2312" w:cs="仿宋_GB2312"/>
          <w:b w:val="0"/>
          <w:color w:val="auto"/>
          <w:sz w:val="32"/>
          <w:szCs w:val="32"/>
        </w:rPr>
        <w:t>：至少1名，负责展览策划、学术研究及公教课程设计。</w:t>
      </w:r>
    </w:p>
    <w:p>
      <w:pPr>
        <w:pStyle w:val="26"/>
        <w:pageBreakBefore w:val="0"/>
        <w:widowControl/>
        <w:numPr>
          <w:numId w:val="0"/>
        </w:numPr>
        <w:kinsoku/>
        <w:wordWrap/>
        <w:overflowPunct/>
        <w:topLinePunct w:val="0"/>
        <w:autoSpaceDE/>
        <w:autoSpaceDN/>
        <w:bidi w:val="0"/>
        <w:adjustRightInd/>
        <w:snapToGrid/>
        <w:spacing w:before="0" w:after="0" w:line="560" w:lineRule="exact"/>
        <w:ind w:left="0" w:leftChars="0"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3.</w:t>
      </w:r>
      <w:r>
        <w:rPr>
          <w:rFonts w:hint="eastAsia" w:ascii="仿宋_GB2312" w:hAnsi="仿宋_GB2312" w:eastAsia="仿宋_GB2312" w:cs="仿宋_GB2312"/>
          <w:b/>
          <w:bCs/>
          <w:color w:val="auto"/>
          <w:sz w:val="32"/>
          <w:szCs w:val="32"/>
        </w:rPr>
        <w:t>运营/行政专员</w:t>
      </w:r>
      <w:r>
        <w:rPr>
          <w:rFonts w:hint="eastAsia" w:ascii="仿宋_GB2312" w:hAnsi="仿宋_GB2312" w:eastAsia="仿宋_GB2312" w:cs="仿宋_GB2312"/>
          <w:b w:val="0"/>
          <w:color w:val="auto"/>
          <w:sz w:val="32"/>
          <w:szCs w:val="32"/>
        </w:rPr>
        <w:t>：至少1名，负责场馆日常运营、宣传推广、安全巡查及行政事务。</w:t>
      </w:r>
    </w:p>
    <w:p>
      <w:pPr>
        <w:pStyle w:val="26"/>
        <w:pageBreakBefore w:val="0"/>
        <w:widowControl/>
        <w:numPr>
          <w:numId w:val="0"/>
        </w:numPr>
        <w:kinsoku/>
        <w:wordWrap/>
        <w:overflowPunct/>
        <w:topLinePunct w:val="0"/>
        <w:autoSpaceDE/>
        <w:autoSpaceDN/>
        <w:bidi w:val="0"/>
        <w:adjustRightInd/>
        <w:snapToGrid/>
        <w:spacing w:before="0" w:after="0" w:line="560" w:lineRule="exact"/>
        <w:ind w:left="0" w:leftChars="0"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4.</w:t>
      </w:r>
      <w:r>
        <w:rPr>
          <w:rFonts w:hint="eastAsia" w:ascii="仿宋_GB2312" w:hAnsi="仿宋_GB2312" w:eastAsia="仿宋_GB2312" w:cs="仿宋_GB2312"/>
          <w:b/>
          <w:bCs/>
          <w:color w:val="auto"/>
          <w:sz w:val="32"/>
          <w:szCs w:val="32"/>
        </w:rPr>
        <w:t>其他人员</w:t>
      </w:r>
      <w:r>
        <w:rPr>
          <w:rFonts w:hint="eastAsia" w:ascii="仿宋_GB2312" w:hAnsi="仿宋_GB2312" w:eastAsia="仿宋_GB2312" w:cs="仿宋_GB2312"/>
          <w:b w:val="0"/>
          <w:color w:val="auto"/>
          <w:sz w:val="32"/>
          <w:szCs w:val="32"/>
        </w:rPr>
        <w:t>：根据运营需要，可聘用兼职讲解员、保洁、安保等，但须符合相关用工规范。</w:t>
      </w:r>
    </w:p>
    <w:bookmarkEnd w:id="17"/>
    <w:p>
      <w:pPr>
        <w:pStyle w:val="6"/>
        <w:keepNext/>
        <w:keepLines/>
        <w:pageBreakBefore w:val="0"/>
        <w:widowControl/>
        <w:kinsoku/>
        <w:wordWrap/>
        <w:overflowPunct/>
        <w:topLinePunct w:val="0"/>
        <w:autoSpaceDE/>
        <w:autoSpaceDN/>
        <w:bidi w:val="0"/>
        <w:adjustRightInd/>
        <w:snapToGrid w:val="0"/>
        <w:spacing w:before="0" w:after="0" w:line="560" w:lineRule="exact"/>
        <w:ind w:left="0" w:firstLine="642" w:firstLineChars="200"/>
        <w:jc w:val="left"/>
        <w:textAlignment w:val="auto"/>
        <w:rPr>
          <w:rFonts w:hint="eastAsia" w:ascii="楷体_GB2312" w:hAnsi="楷体_GB2312" w:eastAsia="楷体_GB2312" w:cs="楷体_GB2312"/>
          <w:b/>
          <w:i w:val="0"/>
          <w:iCs w:val="0"/>
          <w:color w:val="auto"/>
          <w:sz w:val="32"/>
          <w:szCs w:val="32"/>
        </w:rPr>
      </w:pPr>
      <w:bookmarkStart w:id="18" w:name="六信息公开与报备要求"/>
      <w:r>
        <w:rPr>
          <w:rFonts w:hint="eastAsia" w:ascii="楷体_GB2312" w:hAnsi="楷体_GB2312" w:eastAsia="楷体_GB2312" w:cs="楷体_GB2312"/>
          <w:b/>
          <w:i w:val="0"/>
          <w:iCs w:val="0"/>
          <w:color w:val="auto"/>
          <w:sz w:val="32"/>
          <w:szCs w:val="32"/>
          <w:lang w:eastAsia="zh-CN"/>
        </w:rPr>
        <w:t>（六）</w:t>
      </w:r>
      <w:r>
        <w:rPr>
          <w:rFonts w:hint="eastAsia" w:ascii="楷体_GB2312" w:hAnsi="楷体_GB2312" w:eastAsia="楷体_GB2312" w:cs="楷体_GB2312"/>
          <w:b/>
          <w:i w:val="0"/>
          <w:iCs w:val="0"/>
          <w:color w:val="auto"/>
          <w:sz w:val="32"/>
          <w:szCs w:val="32"/>
        </w:rPr>
        <w:t>信息公开与报备要求</w:t>
      </w:r>
    </w:p>
    <w:p>
      <w:pPr>
        <w:pStyle w:val="26"/>
        <w:pageBreakBefore w:val="0"/>
        <w:widowControl/>
        <w:numPr>
          <w:numId w:val="0"/>
        </w:numPr>
        <w:kinsoku/>
        <w:wordWrap/>
        <w:overflowPunct/>
        <w:topLinePunct w:val="0"/>
        <w:autoSpaceDE/>
        <w:autoSpaceDN/>
        <w:bidi w:val="0"/>
        <w:adjustRightInd/>
        <w:snapToGrid/>
        <w:spacing w:before="0" w:after="0"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lang w:val="en-US" w:eastAsia="zh-CN"/>
        </w:rPr>
        <w:t>1.</w:t>
      </w:r>
      <w:r>
        <w:rPr>
          <w:rFonts w:hint="eastAsia" w:ascii="仿宋_GB2312" w:hAnsi="仿宋_GB2312" w:eastAsia="仿宋_GB2312" w:cs="仿宋_GB2312"/>
          <w:b w:val="0"/>
          <w:color w:val="auto"/>
          <w:sz w:val="32"/>
          <w:szCs w:val="32"/>
        </w:rPr>
        <w:t>中标方须在场馆显著位置及官方新媒体平台公示开放时间、活动预告、收费标准（如有）、投诉电话等信息。</w:t>
      </w:r>
    </w:p>
    <w:p>
      <w:pPr>
        <w:pStyle w:val="26"/>
        <w:pageBreakBefore w:val="0"/>
        <w:widowControl/>
        <w:numPr>
          <w:numId w:val="0"/>
        </w:numPr>
        <w:kinsoku/>
        <w:wordWrap/>
        <w:overflowPunct/>
        <w:topLinePunct w:val="0"/>
        <w:autoSpaceDE/>
        <w:autoSpaceDN/>
        <w:bidi w:val="0"/>
        <w:adjustRightInd/>
        <w:snapToGrid/>
        <w:spacing w:before="0" w:after="0"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lang w:val="en-US" w:eastAsia="zh-CN"/>
        </w:rPr>
        <w:t>2.</w:t>
      </w:r>
      <w:r>
        <w:rPr>
          <w:rFonts w:hint="eastAsia" w:ascii="仿宋_GB2312" w:hAnsi="仿宋_GB2312" w:eastAsia="仿宋_GB2312" w:cs="仿宋_GB2312"/>
          <w:b w:val="0"/>
          <w:color w:val="auto"/>
          <w:sz w:val="32"/>
          <w:szCs w:val="32"/>
        </w:rPr>
        <w:t>重大活动、涉外展览等事项，须提前</w:t>
      </w:r>
      <w:r>
        <w:rPr>
          <w:rFonts w:hint="eastAsia" w:ascii="仿宋_GB2312" w:hAnsi="仿宋_GB2312" w:eastAsia="仿宋_GB2312" w:cs="仿宋_GB2312"/>
          <w:b w:val="0"/>
          <w:color w:val="auto"/>
          <w:sz w:val="32"/>
          <w:szCs w:val="32"/>
          <w:lang w:val="en-US" w:eastAsia="zh-CN"/>
        </w:rPr>
        <w:t>3</w:t>
      </w:r>
      <w:r>
        <w:rPr>
          <w:rFonts w:hint="eastAsia" w:ascii="仿宋_GB2312" w:hAnsi="仿宋_GB2312" w:eastAsia="仿宋_GB2312" w:cs="仿宋_GB2312"/>
          <w:b w:val="0"/>
          <w:color w:val="auto"/>
          <w:sz w:val="32"/>
          <w:szCs w:val="32"/>
        </w:rPr>
        <w:t>日向采购人书面报备。</w:t>
      </w:r>
    </w:p>
    <w:p>
      <w:pPr>
        <w:pStyle w:val="26"/>
        <w:pageBreakBefore w:val="0"/>
        <w:widowControl/>
        <w:numPr>
          <w:numId w:val="0"/>
        </w:numPr>
        <w:kinsoku/>
        <w:wordWrap/>
        <w:overflowPunct/>
        <w:topLinePunct w:val="0"/>
        <w:autoSpaceDE/>
        <w:autoSpaceDN/>
        <w:bidi w:val="0"/>
        <w:adjustRightInd/>
        <w:snapToGrid/>
        <w:spacing w:before="0" w:after="0"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lang w:val="en-US" w:eastAsia="zh-CN"/>
        </w:rPr>
        <w:t>3.</w:t>
      </w:r>
      <w:r>
        <w:rPr>
          <w:rFonts w:hint="eastAsia" w:ascii="仿宋_GB2312" w:hAnsi="仿宋_GB2312" w:eastAsia="仿宋_GB2312" w:cs="仿宋_GB2312"/>
          <w:b w:val="0"/>
          <w:color w:val="auto"/>
          <w:sz w:val="32"/>
          <w:szCs w:val="32"/>
        </w:rPr>
        <w:t>每</w:t>
      </w:r>
      <w:r>
        <w:rPr>
          <w:rFonts w:hint="eastAsia" w:ascii="仿宋_GB2312" w:hAnsi="仿宋_GB2312" w:eastAsia="仿宋_GB2312" w:cs="仿宋_GB2312"/>
          <w:b w:val="0"/>
          <w:color w:val="auto"/>
          <w:sz w:val="32"/>
          <w:szCs w:val="32"/>
          <w:lang w:eastAsia="zh-CN"/>
        </w:rPr>
        <w:t>半年</w:t>
      </w:r>
      <w:r>
        <w:rPr>
          <w:rFonts w:hint="eastAsia" w:ascii="仿宋_GB2312" w:hAnsi="仿宋_GB2312" w:eastAsia="仿宋_GB2312" w:cs="仿宋_GB2312"/>
          <w:b w:val="0"/>
          <w:color w:val="auto"/>
          <w:sz w:val="32"/>
          <w:szCs w:val="32"/>
        </w:rPr>
        <w:t>提交运营数据报告，包括人流统计、活动场次、财务收支、媒体报道清单等。</w:t>
      </w:r>
    </w:p>
    <w:bookmarkEnd w:id="18"/>
    <w:p>
      <w:pPr>
        <w:pStyle w:val="6"/>
        <w:keepNext/>
        <w:keepLines/>
        <w:pageBreakBefore w:val="0"/>
        <w:widowControl/>
        <w:kinsoku/>
        <w:wordWrap/>
        <w:overflowPunct/>
        <w:topLinePunct w:val="0"/>
        <w:autoSpaceDE/>
        <w:autoSpaceDN/>
        <w:bidi w:val="0"/>
        <w:adjustRightInd/>
        <w:snapToGrid w:val="0"/>
        <w:spacing w:before="0" w:after="0" w:line="560" w:lineRule="exact"/>
        <w:ind w:left="0" w:firstLine="642" w:firstLineChars="200"/>
        <w:jc w:val="left"/>
        <w:textAlignment w:val="auto"/>
        <w:rPr>
          <w:rFonts w:hint="eastAsia" w:ascii="楷体_GB2312" w:hAnsi="楷体_GB2312" w:eastAsia="楷体_GB2312" w:cs="楷体_GB2312"/>
          <w:b/>
          <w:i w:val="0"/>
          <w:iCs w:val="0"/>
          <w:color w:val="auto"/>
          <w:sz w:val="32"/>
          <w:szCs w:val="32"/>
        </w:rPr>
      </w:pPr>
      <w:bookmarkStart w:id="19" w:name="七违约与接管机制"/>
      <w:r>
        <w:rPr>
          <w:rFonts w:hint="eastAsia" w:ascii="楷体_GB2312" w:hAnsi="楷体_GB2312" w:eastAsia="楷体_GB2312" w:cs="楷体_GB2312"/>
          <w:b/>
          <w:i w:val="0"/>
          <w:iCs w:val="0"/>
          <w:color w:val="auto"/>
          <w:sz w:val="32"/>
          <w:szCs w:val="32"/>
          <w:lang w:eastAsia="zh-CN"/>
        </w:rPr>
        <w:t>（七）</w:t>
      </w:r>
      <w:r>
        <w:rPr>
          <w:rFonts w:hint="eastAsia" w:ascii="楷体_GB2312" w:hAnsi="楷体_GB2312" w:eastAsia="楷体_GB2312" w:cs="楷体_GB2312"/>
          <w:b/>
          <w:i w:val="0"/>
          <w:iCs w:val="0"/>
          <w:color w:val="auto"/>
          <w:sz w:val="32"/>
          <w:szCs w:val="32"/>
        </w:rPr>
        <w:t>违约与接管机制</w:t>
      </w:r>
    </w:p>
    <w:p>
      <w:pPr>
        <w:pStyle w:val="26"/>
        <w:keepNext w:val="0"/>
        <w:keepLines w:val="0"/>
        <w:pageBreakBefore w:val="0"/>
        <w:widowControl/>
        <w:numPr>
          <w:numId w:val="0"/>
        </w:numPr>
        <w:kinsoku/>
        <w:wordWrap/>
        <w:overflowPunct/>
        <w:topLinePunct w:val="0"/>
        <w:autoSpaceDE/>
        <w:autoSpaceDN/>
        <w:bidi w:val="0"/>
        <w:adjustRightInd/>
        <w:snapToGrid/>
        <w:spacing w:before="0" w:after="0" w:line="560" w:lineRule="exact"/>
        <w:ind w:left="0" w:leftChars="0"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rPr>
        <w:t>一般违约</w:t>
      </w:r>
      <w:r>
        <w:rPr>
          <w:rFonts w:hint="eastAsia" w:ascii="仿宋_GB2312" w:hAnsi="仿宋_GB2312" w:eastAsia="仿宋_GB2312" w:cs="仿宋_GB2312"/>
          <w:b w:val="0"/>
          <w:color w:val="auto"/>
          <w:sz w:val="32"/>
          <w:szCs w:val="32"/>
        </w:rPr>
        <w:t>：如考核不合格、未按规定开放、擅自改变场地用途等，采购人有权责令限期整改，并扣除相应履约保证金或运营补贴。</w:t>
      </w:r>
    </w:p>
    <w:p>
      <w:pPr>
        <w:pStyle w:val="26"/>
        <w:keepNext w:val="0"/>
        <w:keepLines w:val="0"/>
        <w:pageBreakBefore w:val="0"/>
        <w:widowControl/>
        <w:numPr>
          <w:numId w:val="0"/>
        </w:numPr>
        <w:kinsoku/>
        <w:wordWrap/>
        <w:overflowPunct/>
        <w:topLinePunct w:val="0"/>
        <w:autoSpaceDE/>
        <w:autoSpaceDN/>
        <w:bidi w:val="0"/>
        <w:adjustRightInd/>
        <w:snapToGrid/>
        <w:spacing w:before="0" w:after="0" w:line="560" w:lineRule="exact"/>
        <w:ind w:left="0" w:leftChars="0"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rPr>
        <w:t>严重违约</w:t>
      </w:r>
      <w:r>
        <w:rPr>
          <w:rFonts w:hint="eastAsia" w:ascii="仿宋_GB2312" w:hAnsi="仿宋_GB2312" w:eastAsia="仿宋_GB2312" w:cs="仿宋_GB2312"/>
          <w:b w:val="0"/>
          <w:color w:val="auto"/>
          <w:sz w:val="32"/>
          <w:szCs w:val="32"/>
        </w:rPr>
        <w:t>：如发生重大安全责任事故、连续两次年度考核不合格、擅自转租分租、严重损害公共利益等，采购人有权单方解除合同，没收全部履约保证金，并要求赔偿损失。</w:t>
      </w:r>
    </w:p>
    <w:p>
      <w:pPr>
        <w:pStyle w:val="26"/>
        <w:keepNext w:val="0"/>
        <w:keepLines w:val="0"/>
        <w:pageBreakBefore w:val="0"/>
        <w:widowControl/>
        <w:numPr>
          <w:numId w:val="0"/>
        </w:numPr>
        <w:kinsoku/>
        <w:wordWrap/>
        <w:overflowPunct/>
        <w:topLinePunct w:val="0"/>
        <w:autoSpaceDE/>
        <w:autoSpaceDN/>
        <w:bidi w:val="0"/>
        <w:adjustRightInd/>
        <w:snapToGrid/>
        <w:spacing w:before="0" w:after="0" w:line="560" w:lineRule="exact"/>
        <w:ind w:left="0" w:leftChars="0" w:firstLine="642" w:firstLineChars="200"/>
        <w:textAlignment w:val="auto"/>
        <w:rPr>
          <w:rFonts w:hint="eastAsia" w:ascii="Times New Roman" w:hAnsi="Times New Roman" w:eastAsia="仿宋"/>
          <w:b w:val="0"/>
          <w:color w:val="auto"/>
          <w:sz w:val="32"/>
          <w:szCs w:val="32"/>
        </w:rPr>
      </w:pPr>
      <w:r>
        <w:rPr>
          <w:rFonts w:hint="eastAsia" w:ascii="仿宋_GB2312" w:hAnsi="仿宋_GB2312" w:eastAsia="仿宋_GB2312" w:cs="仿宋_GB2312"/>
          <w:b/>
          <w:bCs/>
          <w:color w:val="auto"/>
          <w:sz w:val="32"/>
          <w:szCs w:val="32"/>
          <w:lang w:val="en-US" w:eastAsia="zh-CN"/>
        </w:rPr>
        <w:t>3.</w:t>
      </w:r>
      <w:r>
        <w:rPr>
          <w:rFonts w:hint="eastAsia" w:ascii="仿宋_GB2312" w:hAnsi="仿宋_GB2312" w:eastAsia="仿宋_GB2312" w:cs="仿宋_GB2312"/>
          <w:b/>
          <w:bCs/>
          <w:color w:val="auto"/>
          <w:sz w:val="32"/>
          <w:szCs w:val="32"/>
        </w:rPr>
        <w:t>接管机制</w:t>
      </w:r>
      <w:r>
        <w:rPr>
          <w:rFonts w:hint="eastAsia" w:ascii="仿宋_GB2312" w:hAnsi="仿宋_GB2312" w:eastAsia="仿宋_GB2312" w:cs="仿宋_GB2312"/>
          <w:b w:val="0"/>
          <w:color w:val="auto"/>
          <w:sz w:val="32"/>
          <w:szCs w:val="32"/>
        </w:rPr>
        <w:t>：合同终止或解除后，中标方须在</w:t>
      </w:r>
      <w:r>
        <w:rPr>
          <w:rFonts w:hint="eastAsia" w:ascii="仿宋_GB2312" w:hAnsi="仿宋_GB2312" w:eastAsia="仿宋_GB2312" w:cs="仿宋_GB2312"/>
          <w:b w:val="0"/>
          <w:color w:val="auto"/>
          <w:sz w:val="32"/>
          <w:szCs w:val="32"/>
          <w:lang w:eastAsia="zh-CN"/>
        </w:rPr>
        <w:t>约定日期内</w:t>
      </w:r>
      <w:bookmarkStart w:id="26" w:name="_GoBack"/>
      <w:bookmarkEnd w:id="26"/>
      <w:r>
        <w:rPr>
          <w:rFonts w:hint="eastAsia" w:ascii="仿宋_GB2312" w:hAnsi="仿宋_GB2312" w:eastAsia="仿宋_GB2312" w:cs="仿宋_GB2312"/>
          <w:b w:val="0"/>
          <w:color w:val="auto"/>
          <w:sz w:val="32"/>
          <w:szCs w:val="32"/>
        </w:rPr>
        <w:t>配合完成资产移交、人员安置及资料交接。采购人有权指定临时接管单位，确保公共文化服务不中</w:t>
      </w:r>
      <w:r>
        <w:rPr>
          <w:rFonts w:hint="eastAsia" w:ascii="Times New Roman" w:hAnsi="Times New Roman" w:eastAsia="仿宋"/>
          <w:b w:val="0"/>
          <w:color w:val="auto"/>
          <w:sz w:val="32"/>
          <w:szCs w:val="32"/>
        </w:rPr>
        <w:t>断。</w:t>
      </w:r>
    </w:p>
    <w:bookmarkEnd w:id="12"/>
    <w:bookmarkEnd w:id="19"/>
    <w:p>
      <w:pPr>
        <w:pStyle w:val="26"/>
        <w:keepNext w:val="0"/>
        <w:keepLines w:val="0"/>
        <w:pageBreakBefore w:val="0"/>
        <w:widowControl/>
        <w:numPr>
          <w:numId w:val="0"/>
        </w:numPr>
        <w:kinsoku/>
        <w:wordWrap/>
        <w:overflowPunct/>
        <w:topLinePunct w:val="0"/>
        <w:autoSpaceDE/>
        <w:autoSpaceDN/>
        <w:bidi w:val="0"/>
        <w:adjustRightInd/>
        <w:snapToGrid/>
        <w:spacing w:before="0" w:after="0" w:line="560" w:lineRule="exact"/>
        <w:ind w:left="0" w:leftChars="0" w:firstLine="642" w:firstLineChars="200"/>
        <w:textAlignment w:val="auto"/>
        <w:rPr>
          <w:color w:val="auto"/>
          <w:sz w:val="32"/>
          <w:szCs w:val="32"/>
        </w:rPr>
      </w:pPr>
      <w:bookmarkStart w:id="20" w:name="第四章-评标办法"/>
      <w:r>
        <w:rPr>
          <w:rFonts w:hint="eastAsia" w:ascii="Times New Roman" w:hAnsi="Times New Roman" w:eastAsia="黑体"/>
          <w:b/>
          <w:color w:val="auto"/>
          <w:sz w:val="32"/>
          <w:szCs w:val="32"/>
          <w:lang w:eastAsia="zh-CN"/>
        </w:rPr>
        <w:t>四、</w:t>
      </w:r>
      <w:r>
        <w:rPr>
          <w:rFonts w:hint="eastAsia" w:ascii="Times New Roman" w:hAnsi="Times New Roman" w:eastAsia="黑体"/>
          <w:b/>
          <w:color w:val="auto"/>
          <w:sz w:val="32"/>
          <w:szCs w:val="32"/>
        </w:rPr>
        <w:t>评标办法</w:t>
      </w:r>
    </w:p>
    <w:p>
      <w:pPr>
        <w:pStyle w:val="25"/>
        <w:spacing w:before="60" w:after="60" w:line="560" w:lineRule="exact"/>
        <w:ind w:firstLine="480"/>
        <w:rPr>
          <w:color w:val="auto"/>
          <w:sz w:val="32"/>
          <w:szCs w:val="32"/>
        </w:rPr>
      </w:pPr>
      <w:r>
        <w:rPr>
          <w:rFonts w:hint="eastAsia" w:ascii="Times New Roman" w:hAnsi="Times New Roman" w:eastAsia="仿宋"/>
          <w:b w:val="0"/>
          <w:color w:val="auto"/>
          <w:sz w:val="32"/>
          <w:szCs w:val="32"/>
        </w:rPr>
        <w:t>本项目采用综合评分法，总分100分。具体评分标准如下：</w:t>
      </w:r>
    </w:p>
    <w:tbl>
      <w:tblPr>
        <w:tblStyle w:val="43"/>
        <w:tblW w:w="510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337"/>
        <w:gridCol w:w="1065"/>
        <w:gridCol w:w="584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1263" w:type="pct"/>
          </w:tcPr>
          <w:p>
            <w:pPr>
              <w:pStyle w:val="26"/>
              <w:spacing w:before="40" w:after="40" w:line="440" w:lineRule="exact"/>
              <w:jc w:val="center"/>
              <w:rPr>
                <w:color w:val="auto"/>
                <w:sz w:val="32"/>
                <w:szCs w:val="32"/>
              </w:rPr>
            </w:pPr>
            <w:r>
              <w:rPr>
                <w:rFonts w:hint="eastAsia" w:ascii="Times New Roman" w:hAnsi="Times New Roman" w:eastAsia="黑体"/>
                <w:b/>
                <w:color w:val="auto"/>
                <w:sz w:val="32"/>
                <w:szCs w:val="32"/>
              </w:rPr>
              <w:t>评分项</w:t>
            </w:r>
          </w:p>
        </w:tc>
        <w:tc>
          <w:tcPr>
            <w:tcW w:w="575" w:type="pct"/>
          </w:tcPr>
          <w:p>
            <w:pPr>
              <w:pStyle w:val="26"/>
              <w:spacing w:before="40" w:after="40" w:line="440" w:lineRule="exact"/>
              <w:jc w:val="center"/>
              <w:rPr>
                <w:color w:val="auto"/>
                <w:sz w:val="32"/>
                <w:szCs w:val="32"/>
              </w:rPr>
            </w:pPr>
            <w:r>
              <w:rPr>
                <w:rFonts w:hint="eastAsia" w:ascii="Times New Roman" w:hAnsi="Times New Roman" w:eastAsia="黑体"/>
                <w:b/>
                <w:color w:val="auto"/>
                <w:sz w:val="32"/>
                <w:szCs w:val="32"/>
              </w:rPr>
              <w:t>权重</w:t>
            </w:r>
          </w:p>
        </w:tc>
        <w:tc>
          <w:tcPr>
            <w:tcW w:w="3161" w:type="pct"/>
          </w:tcPr>
          <w:p>
            <w:pPr>
              <w:pStyle w:val="26"/>
              <w:spacing w:before="40" w:after="40" w:line="440" w:lineRule="exact"/>
              <w:jc w:val="center"/>
              <w:rPr>
                <w:color w:val="auto"/>
                <w:sz w:val="32"/>
                <w:szCs w:val="32"/>
              </w:rPr>
            </w:pPr>
            <w:r>
              <w:rPr>
                <w:rFonts w:hint="eastAsia" w:ascii="Times New Roman" w:hAnsi="Times New Roman" w:eastAsia="黑体"/>
                <w:b/>
                <w:color w:val="auto"/>
                <w:sz w:val="32"/>
                <w:szCs w:val="32"/>
              </w:rPr>
              <w:t>评分细则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3" w:type="pct"/>
          </w:tcPr>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一、基础服务</w:t>
            </w:r>
          </w:p>
        </w:tc>
        <w:tc>
          <w:tcPr>
            <w:tcW w:w="575" w:type="pct"/>
          </w:tcPr>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lang w:val="en-US" w:eastAsia="zh-CN"/>
              </w:rPr>
              <w:t>25</w:t>
            </w:r>
            <w:r>
              <w:rPr>
                <w:rFonts w:hint="eastAsia" w:ascii="仿宋_GB2312" w:hAnsi="仿宋_GB2312" w:eastAsia="仿宋_GB2312" w:cs="仿宋_GB2312"/>
                <w:b w:val="0"/>
                <w:color w:val="auto"/>
                <w:sz w:val="32"/>
                <w:szCs w:val="32"/>
              </w:rPr>
              <w:t>分</w:t>
            </w:r>
          </w:p>
        </w:tc>
        <w:tc>
          <w:tcPr>
            <w:tcW w:w="3161" w:type="pct"/>
          </w:tcPr>
          <w:p>
            <w:pPr>
              <w:pStyle w:val="26"/>
              <w:spacing w:before="40" w:after="40" w:line="440" w:lineRule="exact"/>
              <w:jc w:val="left"/>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val="0"/>
                <w:color w:val="auto"/>
                <w:sz w:val="32"/>
                <w:szCs w:val="32"/>
              </w:rPr>
              <w:t>主要</w:t>
            </w:r>
            <w:r>
              <w:rPr>
                <w:rFonts w:hint="eastAsia" w:ascii="仿宋_GB2312" w:hAnsi="仿宋_GB2312" w:eastAsia="仿宋_GB2312" w:cs="仿宋_GB2312"/>
                <w:b w:val="0"/>
                <w:color w:val="auto"/>
                <w:sz w:val="32"/>
                <w:szCs w:val="32"/>
                <w:lang w:eastAsia="zh-CN"/>
              </w:rPr>
              <w:t>考量</w:t>
            </w:r>
            <w:r>
              <w:rPr>
                <w:rFonts w:hint="eastAsia" w:ascii="仿宋_GB2312" w:hAnsi="仿宋_GB2312" w:eastAsia="仿宋_GB2312" w:cs="仿宋_GB2312"/>
                <w:b w:val="0"/>
                <w:color w:val="auto"/>
                <w:sz w:val="32"/>
                <w:szCs w:val="32"/>
              </w:rPr>
              <w:t>场馆开放时长</w:t>
            </w:r>
            <w:r>
              <w:rPr>
                <w:rFonts w:hint="eastAsia" w:ascii="仿宋_GB2312" w:hAnsi="仿宋_GB2312" w:eastAsia="仿宋_GB2312" w:cs="仿宋_GB2312"/>
                <w:b w:val="0"/>
                <w:color w:val="auto"/>
                <w:sz w:val="32"/>
                <w:szCs w:val="32"/>
                <w:lang w:eastAsia="zh-CN"/>
              </w:rPr>
              <w:t>以及方案提供的基础服务内容。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3" w:type="pct"/>
          </w:tcPr>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二、运营</w:t>
            </w:r>
            <w:r>
              <w:rPr>
                <w:rFonts w:hint="eastAsia" w:ascii="仿宋_GB2312" w:hAnsi="仿宋_GB2312" w:eastAsia="仿宋_GB2312" w:cs="仿宋_GB2312"/>
                <w:b w:val="0"/>
                <w:color w:val="auto"/>
                <w:sz w:val="32"/>
                <w:szCs w:val="32"/>
                <w:lang w:eastAsia="zh-CN"/>
              </w:rPr>
              <w:t>模式</w:t>
            </w:r>
          </w:p>
        </w:tc>
        <w:tc>
          <w:tcPr>
            <w:tcW w:w="575" w:type="pct"/>
          </w:tcPr>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2</w:t>
            </w:r>
            <w:r>
              <w:rPr>
                <w:rFonts w:hint="eastAsia" w:ascii="仿宋_GB2312" w:hAnsi="仿宋_GB2312" w:eastAsia="仿宋_GB2312" w:cs="仿宋_GB2312"/>
                <w:b w:val="0"/>
                <w:color w:val="auto"/>
                <w:sz w:val="32"/>
                <w:szCs w:val="32"/>
                <w:lang w:val="en-US" w:eastAsia="zh-CN"/>
              </w:rPr>
              <w:t>5</w:t>
            </w:r>
            <w:r>
              <w:rPr>
                <w:rFonts w:hint="eastAsia" w:ascii="仿宋_GB2312" w:hAnsi="仿宋_GB2312" w:eastAsia="仿宋_GB2312" w:cs="仿宋_GB2312"/>
                <w:b w:val="0"/>
                <w:color w:val="auto"/>
                <w:sz w:val="32"/>
                <w:szCs w:val="32"/>
              </w:rPr>
              <w:t>分</w:t>
            </w:r>
          </w:p>
        </w:tc>
        <w:tc>
          <w:tcPr>
            <w:tcW w:w="3161" w:type="pct"/>
          </w:tcPr>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lang w:eastAsia="zh-CN"/>
              </w:rPr>
              <w:t>主要考量</w:t>
            </w:r>
            <w:r>
              <w:rPr>
                <w:rFonts w:hint="eastAsia" w:ascii="仿宋_GB2312" w:hAnsi="仿宋_GB2312" w:eastAsia="仿宋_GB2312" w:cs="仿宋_GB2312"/>
                <w:b w:val="0"/>
                <w:color w:val="auto"/>
                <w:sz w:val="32"/>
                <w:szCs w:val="32"/>
              </w:rPr>
              <w:t>年度文化活动计划</w:t>
            </w:r>
            <w:r>
              <w:rPr>
                <w:rFonts w:hint="eastAsia" w:ascii="仿宋_GB2312" w:hAnsi="仿宋_GB2312" w:eastAsia="仿宋_GB2312" w:cs="仿宋_GB2312"/>
                <w:b w:val="0"/>
                <w:color w:val="auto"/>
                <w:sz w:val="32"/>
                <w:szCs w:val="32"/>
                <w:lang w:eastAsia="zh-CN"/>
              </w:rPr>
              <w:t>、人员团队配置、</w:t>
            </w:r>
            <w:r>
              <w:rPr>
                <w:rFonts w:hint="eastAsia" w:ascii="仿宋_GB2312" w:hAnsi="仿宋_GB2312" w:eastAsia="仿宋_GB2312" w:cs="仿宋_GB2312"/>
                <w:b w:val="0"/>
                <w:color w:val="auto"/>
                <w:sz w:val="32"/>
                <w:szCs w:val="32"/>
              </w:rPr>
              <w:t>市场化运营</w:t>
            </w:r>
            <w:r>
              <w:rPr>
                <w:rFonts w:hint="eastAsia" w:ascii="仿宋_GB2312" w:hAnsi="仿宋_GB2312" w:eastAsia="仿宋_GB2312" w:cs="仿宋_GB2312"/>
                <w:b w:val="0"/>
                <w:color w:val="auto"/>
                <w:sz w:val="32"/>
                <w:szCs w:val="32"/>
                <w:lang w:eastAsia="zh-CN"/>
              </w:rPr>
              <w:t>方案</w:t>
            </w:r>
            <w:r>
              <w:rPr>
                <w:rFonts w:hint="eastAsia" w:ascii="仿宋_GB2312" w:hAnsi="仿宋_GB2312" w:eastAsia="仿宋_GB2312" w:cs="仿宋_GB2312"/>
                <w:b w:val="0"/>
                <w:color w:val="auto"/>
                <w:sz w:val="32"/>
                <w:szCs w:val="32"/>
              </w:rPr>
              <w:t>的</w:t>
            </w:r>
            <w:r>
              <w:rPr>
                <w:rFonts w:hint="eastAsia" w:ascii="仿宋_GB2312" w:hAnsi="仿宋_GB2312" w:eastAsia="仿宋_GB2312" w:cs="仿宋_GB2312"/>
                <w:b w:val="0"/>
                <w:color w:val="auto"/>
                <w:sz w:val="32"/>
                <w:szCs w:val="32"/>
                <w:lang w:eastAsia="zh-CN"/>
              </w:rPr>
              <w:t>合理性</w:t>
            </w:r>
            <w:r>
              <w:rPr>
                <w:rFonts w:hint="eastAsia" w:ascii="仿宋_GB2312" w:hAnsi="仿宋_GB2312" w:eastAsia="仿宋_GB2312" w:cs="仿宋_GB2312"/>
                <w:b w:val="0"/>
                <w:color w:val="auto"/>
                <w:sz w:val="32"/>
                <w:szCs w:val="32"/>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0" w:hRule="atLeast"/>
        </w:trPr>
        <w:tc>
          <w:tcPr>
            <w:tcW w:w="1263" w:type="pct"/>
          </w:tcPr>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三、公益成效考核</w:t>
            </w:r>
          </w:p>
        </w:tc>
        <w:tc>
          <w:tcPr>
            <w:tcW w:w="575" w:type="pct"/>
          </w:tcPr>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lang w:val="en-US" w:eastAsia="zh-CN"/>
              </w:rPr>
              <w:t>30</w:t>
            </w:r>
            <w:r>
              <w:rPr>
                <w:rFonts w:hint="eastAsia" w:ascii="仿宋_GB2312" w:hAnsi="仿宋_GB2312" w:eastAsia="仿宋_GB2312" w:cs="仿宋_GB2312"/>
                <w:b w:val="0"/>
                <w:color w:val="auto"/>
                <w:sz w:val="32"/>
                <w:szCs w:val="32"/>
              </w:rPr>
              <w:t>分</w:t>
            </w:r>
          </w:p>
        </w:tc>
        <w:tc>
          <w:tcPr>
            <w:tcW w:w="3161" w:type="pct"/>
          </w:tcPr>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lang w:eastAsia="zh-CN"/>
              </w:rPr>
              <w:t>主要考量</w:t>
            </w:r>
            <w:r>
              <w:rPr>
                <w:rFonts w:hint="eastAsia" w:ascii="仿宋_GB2312" w:hAnsi="仿宋_GB2312" w:eastAsia="仿宋_GB2312" w:cs="仿宋_GB2312"/>
                <w:b w:val="0"/>
                <w:color w:val="auto"/>
                <w:sz w:val="32"/>
                <w:szCs w:val="32"/>
              </w:rPr>
              <w:t>免费或低收费活动的场次</w:t>
            </w:r>
            <w:r>
              <w:rPr>
                <w:rFonts w:hint="eastAsia" w:ascii="仿宋_GB2312" w:hAnsi="仿宋_GB2312" w:eastAsia="仿宋_GB2312" w:cs="仿宋_GB2312"/>
                <w:b w:val="0"/>
                <w:color w:val="auto"/>
                <w:sz w:val="32"/>
                <w:szCs w:val="32"/>
                <w:lang w:eastAsia="zh-CN"/>
              </w:rPr>
              <w:t>设置（</w:t>
            </w:r>
            <w:r>
              <w:rPr>
                <w:rFonts w:hint="eastAsia" w:ascii="仿宋_GB2312" w:hAnsi="仿宋_GB2312" w:eastAsia="仿宋_GB2312" w:cs="仿宋_GB2312"/>
                <w:b w:val="0"/>
                <w:color w:val="auto"/>
                <w:sz w:val="32"/>
                <w:szCs w:val="32"/>
                <w:lang w:val="en-US" w:eastAsia="zh-CN"/>
              </w:rPr>
              <w:t>20分</w:t>
            </w:r>
            <w:r>
              <w:rPr>
                <w:rFonts w:hint="eastAsia" w:ascii="仿宋_GB2312" w:hAnsi="仿宋_GB2312" w:eastAsia="仿宋_GB2312" w:cs="仿宋_GB2312"/>
                <w:b w:val="0"/>
                <w:color w:val="auto"/>
                <w:sz w:val="32"/>
                <w:szCs w:val="32"/>
                <w:lang w:eastAsia="zh-CN"/>
              </w:rPr>
              <w:t>），以及投标人或投标人核心人员以往公益服务与社会成效（</w:t>
            </w:r>
            <w:r>
              <w:rPr>
                <w:rFonts w:hint="eastAsia" w:ascii="仿宋_GB2312" w:hAnsi="仿宋_GB2312" w:eastAsia="仿宋_GB2312" w:cs="仿宋_GB2312"/>
                <w:b w:val="0"/>
                <w:color w:val="auto"/>
                <w:sz w:val="32"/>
                <w:szCs w:val="32"/>
                <w:lang w:val="en-US" w:eastAsia="zh-CN"/>
              </w:rPr>
              <w:t>10分</w:t>
            </w:r>
            <w:r>
              <w:rPr>
                <w:rFonts w:hint="eastAsia" w:ascii="仿宋_GB2312" w:hAnsi="仿宋_GB2312" w:eastAsia="仿宋_GB2312" w:cs="仿宋_GB2312"/>
                <w:b w:val="0"/>
                <w:color w:val="auto"/>
                <w:sz w:val="32"/>
                <w:szCs w:val="32"/>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3" w:type="pct"/>
          </w:tcPr>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四、学术策展与活动策划能力</w:t>
            </w:r>
          </w:p>
        </w:tc>
        <w:tc>
          <w:tcPr>
            <w:tcW w:w="575" w:type="pct"/>
          </w:tcPr>
          <w:p>
            <w:pPr>
              <w:pStyle w:val="26"/>
              <w:spacing w:before="40" w:after="40" w:line="44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lang w:val="en-US" w:eastAsia="zh-CN"/>
              </w:rPr>
              <w:t>20</w:t>
            </w:r>
            <w:r>
              <w:rPr>
                <w:rFonts w:hint="eastAsia" w:ascii="仿宋_GB2312" w:hAnsi="仿宋_GB2312" w:eastAsia="仿宋_GB2312" w:cs="仿宋_GB2312"/>
                <w:b w:val="0"/>
                <w:color w:val="auto"/>
                <w:sz w:val="32"/>
                <w:szCs w:val="32"/>
              </w:rPr>
              <w:t>分</w:t>
            </w:r>
          </w:p>
        </w:tc>
        <w:tc>
          <w:tcPr>
            <w:tcW w:w="3161" w:type="pct"/>
          </w:tcPr>
          <w:p>
            <w:pPr>
              <w:pStyle w:val="26"/>
              <w:spacing w:before="40" w:after="40" w:line="440" w:lineRule="exact"/>
              <w:jc w:val="left"/>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val="0"/>
                <w:color w:val="auto"/>
                <w:sz w:val="32"/>
                <w:szCs w:val="32"/>
                <w:lang w:eastAsia="zh-CN"/>
              </w:rPr>
              <w:t>一是</w:t>
            </w:r>
            <w:r>
              <w:rPr>
                <w:rFonts w:hint="eastAsia" w:ascii="仿宋_GB2312" w:hAnsi="仿宋_GB2312" w:eastAsia="仿宋_GB2312" w:cs="仿宋_GB2312"/>
                <w:b w:val="0"/>
                <w:color w:val="auto"/>
                <w:sz w:val="32"/>
                <w:szCs w:val="32"/>
              </w:rPr>
              <w:t>针对本项目的策展思路新颖，资源整合能力强</w:t>
            </w:r>
            <w:r>
              <w:rPr>
                <w:rFonts w:hint="eastAsia" w:ascii="仿宋_GB2312" w:hAnsi="仿宋_GB2312" w:eastAsia="仿宋_GB2312" w:cs="仿宋_GB2312"/>
                <w:b w:val="0"/>
                <w:color w:val="auto"/>
                <w:sz w:val="32"/>
                <w:szCs w:val="32"/>
                <w:lang w:eastAsia="zh-CN"/>
              </w:rPr>
              <w:t>（</w:t>
            </w:r>
            <w:r>
              <w:rPr>
                <w:rFonts w:hint="eastAsia" w:ascii="仿宋_GB2312" w:hAnsi="仿宋_GB2312" w:eastAsia="仿宋_GB2312" w:cs="仿宋_GB2312"/>
                <w:b w:val="0"/>
                <w:color w:val="auto"/>
                <w:sz w:val="32"/>
                <w:szCs w:val="32"/>
                <w:lang w:val="en-US" w:eastAsia="zh-CN"/>
              </w:rPr>
              <w:t>10分</w:t>
            </w:r>
            <w:r>
              <w:rPr>
                <w:rFonts w:hint="eastAsia" w:ascii="仿宋_GB2312" w:hAnsi="仿宋_GB2312" w:eastAsia="仿宋_GB2312" w:cs="仿宋_GB2312"/>
                <w:b w:val="0"/>
                <w:color w:val="auto"/>
                <w:sz w:val="32"/>
                <w:szCs w:val="32"/>
                <w:lang w:eastAsia="zh-CN"/>
              </w:rPr>
              <w:t>），</w:t>
            </w:r>
            <w:r>
              <w:rPr>
                <w:rFonts w:hint="eastAsia" w:ascii="仿宋_GB2312" w:hAnsi="仿宋_GB2312" w:eastAsia="仿宋_GB2312" w:cs="仿宋_GB2312"/>
                <w:b w:val="0"/>
                <w:color w:val="auto"/>
                <w:sz w:val="32"/>
                <w:szCs w:val="32"/>
                <w:lang w:val="en-US" w:eastAsia="zh-CN"/>
              </w:rPr>
              <w:t>二是</w:t>
            </w:r>
            <w:r>
              <w:rPr>
                <w:rFonts w:hint="eastAsia" w:ascii="仿宋_GB2312" w:hAnsi="仿宋_GB2312" w:eastAsia="仿宋_GB2312" w:cs="仿宋_GB2312"/>
                <w:b w:val="0"/>
                <w:color w:val="auto"/>
                <w:sz w:val="32"/>
                <w:szCs w:val="32"/>
              </w:rPr>
              <w:t>学术顾问团队或合作机构实力雄厚（</w:t>
            </w:r>
            <w:r>
              <w:rPr>
                <w:rFonts w:hint="eastAsia" w:ascii="仿宋_GB2312" w:hAnsi="仿宋_GB2312" w:eastAsia="仿宋_GB2312" w:cs="仿宋_GB2312"/>
                <w:b w:val="0"/>
                <w:color w:val="auto"/>
                <w:sz w:val="32"/>
                <w:szCs w:val="32"/>
                <w:lang w:val="en-US" w:eastAsia="zh-CN"/>
              </w:rPr>
              <w:t>10分</w:t>
            </w:r>
            <w:r>
              <w:rPr>
                <w:rFonts w:hint="eastAsia" w:ascii="仿宋_GB2312" w:hAnsi="仿宋_GB2312" w:eastAsia="仿宋_GB2312" w:cs="仿宋_GB2312"/>
                <w:b w:val="0"/>
                <w:color w:val="auto"/>
                <w:sz w:val="32"/>
                <w:szCs w:val="32"/>
              </w:rPr>
              <w:t>）</w:t>
            </w:r>
            <w:r>
              <w:rPr>
                <w:rFonts w:hint="eastAsia" w:ascii="仿宋_GB2312" w:hAnsi="仿宋_GB2312" w:eastAsia="仿宋_GB2312" w:cs="仿宋_GB2312"/>
                <w:b w:val="0"/>
                <w:color w:val="auto"/>
                <w:sz w:val="32"/>
                <w:szCs w:val="32"/>
                <w:lang w:eastAsia="zh-CN"/>
              </w:rPr>
              <w:t>。</w:t>
            </w:r>
          </w:p>
        </w:tc>
      </w:tr>
      <w:bookmarkEnd w:id="20"/>
    </w:tbl>
    <w:p>
      <w:pPr>
        <w:pStyle w:val="2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642" w:firstLineChars="200"/>
        <w:textAlignment w:val="auto"/>
        <w:rPr>
          <w:rFonts w:hint="eastAsia" w:ascii="Times New Roman" w:hAnsi="Times New Roman" w:eastAsia="黑体"/>
          <w:b/>
          <w:color w:val="auto"/>
          <w:sz w:val="32"/>
          <w:szCs w:val="32"/>
        </w:rPr>
      </w:pPr>
      <w:bookmarkStart w:id="21" w:name="第五章-投标文件组成及格式"/>
      <w:r>
        <w:rPr>
          <w:rFonts w:hint="eastAsia" w:ascii="Times New Roman" w:hAnsi="Times New Roman" w:eastAsia="黑体"/>
          <w:b/>
          <w:color w:val="auto"/>
          <w:sz w:val="32"/>
          <w:szCs w:val="32"/>
          <w:lang w:eastAsia="zh-CN"/>
        </w:rPr>
        <w:t>五、</w:t>
      </w:r>
      <w:r>
        <w:rPr>
          <w:rFonts w:hint="eastAsia" w:ascii="Times New Roman" w:hAnsi="Times New Roman" w:eastAsia="黑体"/>
          <w:b/>
          <w:color w:val="auto"/>
          <w:sz w:val="32"/>
          <w:szCs w:val="32"/>
        </w:rPr>
        <w:t>投标文件组成及格式</w:t>
      </w:r>
    </w:p>
    <w:p>
      <w:pPr>
        <w:pStyle w:val="2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642" w:firstLineChars="200"/>
        <w:textAlignment w:val="auto"/>
        <w:rPr>
          <w:rFonts w:hint="eastAsia" w:ascii="楷体_GB2312" w:hAnsi="楷体_GB2312" w:eastAsia="楷体_GB2312" w:cs="楷体_GB2312"/>
          <w:b/>
          <w:color w:val="auto"/>
          <w:sz w:val="32"/>
          <w:szCs w:val="32"/>
        </w:rPr>
      </w:pPr>
      <w:bookmarkStart w:id="22" w:name="一投标文件公开部分"/>
      <w:r>
        <w:rPr>
          <w:rFonts w:hint="eastAsia" w:ascii="楷体_GB2312" w:hAnsi="楷体_GB2312" w:eastAsia="楷体_GB2312" w:cs="楷体_GB2312"/>
          <w:b/>
          <w:color w:val="auto"/>
          <w:sz w:val="32"/>
          <w:szCs w:val="32"/>
          <w:lang w:eastAsia="zh-CN"/>
        </w:rPr>
        <w:t>（一）</w:t>
      </w:r>
      <w:r>
        <w:rPr>
          <w:rFonts w:hint="eastAsia" w:ascii="楷体_GB2312" w:hAnsi="楷体_GB2312" w:eastAsia="楷体_GB2312" w:cs="楷体_GB2312"/>
          <w:b/>
          <w:color w:val="auto"/>
          <w:sz w:val="32"/>
          <w:szCs w:val="32"/>
        </w:rPr>
        <w:t>投标文件公开部分</w:t>
      </w:r>
    </w:p>
    <w:p>
      <w:pPr>
        <w:pStyle w:val="26"/>
        <w:keepNext w:val="0"/>
        <w:keepLines w:val="0"/>
        <w:pageBreakBefore w:val="0"/>
        <w:widowControl/>
        <w:numPr>
          <w:numId w:val="0"/>
        </w:numPr>
        <w:kinsoku/>
        <w:wordWrap/>
        <w:overflowPunct/>
        <w:topLinePunct w:val="0"/>
        <w:autoSpaceDE/>
        <w:autoSpaceDN/>
        <w:bidi w:val="0"/>
        <w:adjustRightInd/>
        <w:snapToGrid/>
        <w:spacing w:before="0" w:after="0" w:line="560" w:lineRule="exact"/>
        <w:ind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lang w:val="en-US" w:eastAsia="zh-CN"/>
        </w:rPr>
        <w:t>1.</w:t>
      </w:r>
      <w:r>
        <w:rPr>
          <w:rFonts w:hint="eastAsia" w:ascii="仿宋_GB2312" w:hAnsi="仿宋_GB2312" w:eastAsia="仿宋_GB2312" w:cs="仿宋_GB2312"/>
          <w:b w:val="0"/>
          <w:color w:val="auto"/>
          <w:sz w:val="32"/>
          <w:szCs w:val="32"/>
        </w:rPr>
        <w:t>投标函及投标报价表</w:t>
      </w:r>
    </w:p>
    <w:p>
      <w:pPr>
        <w:pStyle w:val="26"/>
        <w:keepNext w:val="0"/>
        <w:keepLines w:val="0"/>
        <w:pageBreakBefore w:val="0"/>
        <w:widowControl/>
        <w:numPr>
          <w:numId w:val="0"/>
        </w:numPr>
        <w:kinsoku/>
        <w:wordWrap/>
        <w:overflowPunct/>
        <w:topLinePunct w:val="0"/>
        <w:autoSpaceDE/>
        <w:autoSpaceDN/>
        <w:bidi w:val="0"/>
        <w:adjustRightInd/>
        <w:snapToGrid/>
        <w:spacing w:before="0" w:after="0" w:line="560" w:lineRule="exact"/>
        <w:ind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lang w:val="en-US" w:eastAsia="zh-CN"/>
        </w:rPr>
        <w:t>2.</w:t>
      </w:r>
      <w:r>
        <w:rPr>
          <w:rFonts w:hint="eastAsia" w:ascii="仿宋_GB2312" w:hAnsi="仿宋_GB2312" w:eastAsia="仿宋_GB2312" w:cs="仿宋_GB2312"/>
          <w:b w:val="0"/>
          <w:color w:val="auto"/>
          <w:sz w:val="32"/>
          <w:szCs w:val="32"/>
        </w:rPr>
        <w:t>法定代表人身份证明及授权委托书</w:t>
      </w:r>
    </w:p>
    <w:p>
      <w:pPr>
        <w:pStyle w:val="26"/>
        <w:keepNext w:val="0"/>
        <w:keepLines w:val="0"/>
        <w:pageBreakBefore w:val="0"/>
        <w:widowControl/>
        <w:numPr>
          <w:numId w:val="0"/>
        </w:numPr>
        <w:kinsoku/>
        <w:wordWrap/>
        <w:overflowPunct/>
        <w:topLinePunct w:val="0"/>
        <w:autoSpaceDE/>
        <w:autoSpaceDN/>
        <w:bidi w:val="0"/>
        <w:adjustRightInd/>
        <w:snapToGrid/>
        <w:spacing w:before="0" w:after="0" w:line="560" w:lineRule="exact"/>
        <w:ind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lang w:val="en-US" w:eastAsia="zh-CN"/>
        </w:rPr>
        <w:t>3.</w:t>
      </w:r>
      <w:r>
        <w:rPr>
          <w:rFonts w:hint="eastAsia" w:ascii="仿宋_GB2312" w:hAnsi="仿宋_GB2312" w:eastAsia="仿宋_GB2312" w:cs="仿宋_GB2312"/>
          <w:b w:val="0"/>
          <w:color w:val="auto"/>
          <w:sz w:val="32"/>
          <w:szCs w:val="32"/>
        </w:rPr>
        <w:t>营业执照或民办非企业单位登记证书复印件</w:t>
      </w:r>
    </w:p>
    <w:p>
      <w:pPr>
        <w:pStyle w:val="26"/>
        <w:keepNext w:val="0"/>
        <w:keepLines w:val="0"/>
        <w:pageBreakBefore w:val="0"/>
        <w:widowControl/>
        <w:numPr>
          <w:numId w:val="0"/>
        </w:numPr>
        <w:kinsoku/>
        <w:wordWrap/>
        <w:overflowPunct/>
        <w:topLinePunct w:val="0"/>
        <w:autoSpaceDE/>
        <w:autoSpaceDN/>
        <w:bidi w:val="0"/>
        <w:adjustRightInd/>
        <w:snapToGrid/>
        <w:spacing w:before="0" w:after="0" w:line="560" w:lineRule="exact"/>
        <w:ind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lang w:val="en-US" w:eastAsia="zh-CN"/>
        </w:rPr>
        <w:t>4.</w:t>
      </w:r>
      <w:r>
        <w:rPr>
          <w:rFonts w:hint="eastAsia" w:ascii="仿宋_GB2312" w:hAnsi="仿宋_GB2312" w:eastAsia="仿宋_GB2312" w:cs="仿宋_GB2312"/>
          <w:b w:val="0"/>
          <w:color w:val="auto"/>
          <w:sz w:val="32"/>
          <w:szCs w:val="32"/>
        </w:rPr>
        <w:t>投标人资格要求证明材料（运营经验、团队资质、信誉证明等）</w:t>
      </w:r>
    </w:p>
    <w:p>
      <w:pPr>
        <w:pStyle w:val="26"/>
        <w:keepNext w:val="0"/>
        <w:keepLines w:val="0"/>
        <w:pageBreakBefore w:val="0"/>
        <w:widowControl/>
        <w:numPr>
          <w:numId w:val="0"/>
        </w:numPr>
        <w:kinsoku/>
        <w:wordWrap/>
        <w:overflowPunct/>
        <w:topLinePunct w:val="0"/>
        <w:autoSpaceDE/>
        <w:autoSpaceDN/>
        <w:bidi w:val="0"/>
        <w:adjustRightInd/>
        <w:snapToGrid/>
        <w:spacing w:before="0" w:after="0" w:line="560" w:lineRule="exact"/>
        <w:ind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lang w:val="en-US" w:eastAsia="zh-CN"/>
        </w:rPr>
        <w:t>5.</w:t>
      </w:r>
      <w:r>
        <w:rPr>
          <w:rFonts w:hint="eastAsia" w:ascii="仿宋_GB2312" w:hAnsi="仿宋_GB2312" w:eastAsia="仿宋_GB2312" w:cs="仿宋_GB2312"/>
          <w:b w:val="0"/>
          <w:color w:val="auto"/>
          <w:sz w:val="32"/>
          <w:szCs w:val="32"/>
        </w:rPr>
        <w:t>项目整体运营方案</w:t>
      </w:r>
    </w:p>
    <w:p>
      <w:pPr>
        <w:pStyle w:val="26"/>
        <w:keepNext w:val="0"/>
        <w:keepLines w:val="0"/>
        <w:pageBreakBefore w:val="0"/>
        <w:widowControl/>
        <w:numPr>
          <w:numId w:val="0"/>
        </w:numPr>
        <w:kinsoku/>
        <w:wordWrap/>
        <w:overflowPunct/>
        <w:topLinePunct w:val="0"/>
        <w:autoSpaceDE/>
        <w:autoSpaceDN/>
        <w:bidi w:val="0"/>
        <w:adjustRightInd/>
        <w:snapToGrid/>
        <w:spacing w:before="0" w:after="0" w:line="560" w:lineRule="exact"/>
        <w:ind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lang w:val="en-US" w:eastAsia="zh-CN"/>
        </w:rPr>
        <w:t>6.</w:t>
      </w:r>
      <w:r>
        <w:rPr>
          <w:rFonts w:hint="eastAsia" w:ascii="仿宋_GB2312" w:hAnsi="仿宋_GB2312" w:eastAsia="仿宋_GB2312" w:cs="仿宋_GB2312"/>
          <w:b w:val="0"/>
          <w:color w:val="auto"/>
          <w:sz w:val="32"/>
          <w:szCs w:val="32"/>
        </w:rPr>
        <w:t>公共文化服务运营方案</w:t>
      </w:r>
    </w:p>
    <w:p>
      <w:pPr>
        <w:pStyle w:val="26"/>
        <w:keepNext w:val="0"/>
        <w:keepLines w:val="0"/>
        <w:pageBreakBefore w:val="0"/>
        <w:widowControl/>
        <w:numPr>
          <w:numId w:val="0"/>
        </w:numPr>
        <w:kinsoku/>
        <w:wordWrap/>
        <w:overflowPunct/>
        <w:topLinePunct w:val="0"/>
        <w:autoSpaceDE/>
        <w:autoSpaceDN/>
        <w:bidi w:val="0"/>
        <w:adjustRightInd/>
        <w:snapToGrid/>
        <w:spacing w:before="0" w:after="0" w:line="560" w:lineRule="exact"/>
        <w:ind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lang w:val="en-US" w:eastAsia="zh-CN"/>
        </w:rPr>
        <w:t>7.</w:t>
      </w:r>
      <w:r>
        <w:rPr>
          <w:rFonts w:hint="eastAsia" w:ascii="仿宋_GB2312" w:hAnsi="仿宋_GB2312" w:eastAsia="仿宋_GB2312" w:cs="仿宋_GB2312"/>
          <w:b w:val="0"/>
          <w:color w:val="auto"/>
          <w:sz w:val="32"/>
          <w:szCs w:val="32"/>
        </w:rPr>
        <w:t>团队配置及人员资质证明</w:t>
      </w:r>
    </w:p>
    <w:p>
      <w:pPr>
        <w:pStyle w:val="26"/>
        <w:keepNext w:val="0"/>
        <w:keepLines w:val="0"/>
        <w:pageBreakBefore w:val="0"/>
        <w:widowControl/>
        <w:numPr>
          <w:numId w:val="0"/>
        </w:numPr>
        <w:kinsoku/>
        <w:wordWrap/>
        <w:overflowPunct/>
        <w:topLinePunct w:val="0"/>
        <w:autoSpaceDE/>
        <w:autoSpaceDN/>
        <w:bidi w:val="0"/>
        <w:adjustRightInd/>
        <w:snapToGrid/>
        <w:spacing w:before="0" w:after="0" w:line="560" w:lineRule="exact"/>
        <w:ind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lang w:val="en-US" w:eastAsia="zh-CN"/>
        </w:rPr>
        <w:t>8.</w:t>
      </w:r>
      <w:r>
        <w:rPr>
          <w:rFonts w:hint="eastAsia" w:ascii="仿宋_GB2312" w:hAnsi="仿宋_GB2312" w:eastAsia="仿宋_GB2312" w:cs="仿宋_GB2312"/>
          <w:b w:val="0"/>
          <w:color w:val="auto"/>
          <w:sz w:val="32"/>
          <w:szCs w:val="32"/>
        </w:rPr>
        <w:t>同类项目业绩证明材料</w:t>
      </w:r>
    </w:p>
    <w:p>
      <w:pPr>
        <w:pStyle w:val="26"/>
        <w:keepNext w:val="0"/>
        <w:keepLines w:val="0"/>
        <w:pageBreakBefore w:val="0"/>
        <w:widowControl/>
        <w:numPr>
          <w:numId w:val="0"/>
        </w:numPr>
        <w:kinsoku/>
        <w:wordWrap/>
        <w:overflowPunct/>
        <w:topLinePunct w:val="0"/>
        <w:autoSpaceDE/>
        <w:autoSpaceDN/>
        <w:bidi w:val="0"/>
        <w:adjustRightInd/>
        <w:snapToGrid/>
        <w:spacing w:before="0" w:after="0" w:line="560" w:lineRule="exact"/>
        <w:ind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lang w:val="en-US" w:eastAsia="zh-CN"/>
        </w:rPr>
        <w:t>9.</w:t>
      </w:r>
      <w:r>
        <w:rPr>
          <w:rFonts w:hint="eastAsia" w:ascii="仿宋_GB2312" w:hAnsi="仿宋_GB2312" w:eastAsia="仿宋_GB2312" w:cs="仿宋_GB2312"/>
          <w:b w:val="0"/>
          <w:color w:val="auto"/>
          <w:sz w:val="32"/>
          <w:szCs w:val="32"/>
        </w:rPr>
        <w:t>服务承诺函及应急保障方案</w:t>
      </w:r>
    </w:p>
    <w:p>
      <w:pPr>
        <w:pStyle w:val="2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lang w:val="en-US" w:eastAsia="zh-CN"/>
        </w:rPr>
        <w:t>10.</w:t>
      </w:r>
      <w:r>
        <w:rPr>
          <w:rFonts w:hint="eastAsia" w:ascii="仿宋_GB2312" w:hAnsi="仿宋_GB2312" w:eastAsia="仿宋_GB2312" w:cs="仿宋_GB2312"/>
          <w:b w:val="0"/>
          <w:color w:val="auto"/>
          <w:sz w:val="32"/>
          <w:szCs w:val="32"/>
        </w:rPr>
        <w:t>项目运营收支预算表</w:t>
      </w:r>
    </w:p>
    <w:bookmarkEnd w:id="22"/>
    <w:p>
      <w:pPr>
        <w:pStyle w:val="2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642" w:firstLineChars="200"/>
        <w:textAlignment w:val="auto"/>
        <w:rPr>
          <w:rFonts w:hint="eastAsia" w:ascii="楷体_GB2312" w:hAnsi="楷体_GB2312" w:eastAsia="楷体_GB2312" w:cs="楷体_GB2312"/>
          <w:b/>
          <w:color w:val="auto"/>
          <w:sz w:val="32"/>
          <w:szCs w:val="32"/>
          <w:lang w:eastAsia="zh-CN"/>
        </w:rPr>
      </w:pPr>
      <w:bookmarkStart w:id="23" w:name="二投标文件非公开附件部分"/>
      <w:r>
        <w:rPr>
          <w:rFonts w:hint="eastAsia" w:ascii="楷体_GB2312" w:hAnsi="楷体_GB2312" w:eastAsia="楷体_GB2312" w:cs="楷体_GB2312"/>
          <w:b/>
          <w:color w:val="auto"/>
          <w:sz w:val="32"/>
          <w:szCs w:val="32"/>
          <w:lang w:eastAsia="zh-CN"/>
        </w:rPr>
        <w:t>（二）投标文件非公开附件部分</w:t>
      </w:r>
    </w:p>
    <w:p>
      <w:pPr>
        <w:pStyle w:val="2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Chars="0" w:firstLine="640" w:firstLineChars="200"/>
        <w:textAlignment w:val="auto"/>
        <w:rPr>
          <w:rFonts w:hint="eastAsia" w:ascii="仿宋_GB2312" w:hAnsi="仿宋_GB2312" w:eastAsia="仿宋_GB2312" w:cs="仿宋_GB2312"/>
          <w:b w:val="0"/>
          <w:color w:val="auto"/>
          <w:sz w:val="32"/>
          <w:szCs w:val="32"/>
          <w:lang w:val="en-US" w:eastAsia="zh-CN"/>
        </w:rPr>
      </w:pPr>
      <w:r>
        <w:rPr>
          <w:rFonts w:hint="eastAsia" w:ascii="仿宋_GB2312" w:hAnsi="仿宋_GB2312" w:eastAsia="仿宋_GB2312" w:cs="仿宋_GB2312"/>
          <w:b w:val="0"/>
          <w:color w:val="auto"/>
          <w:sz w:val="32"/>
          <w:szCs w:val="32"/>
          <w:lang w:val="en-US" w:eastAsia="zh-CN"/>
        </w:rPr>
        <w:t>1.财务状况报告（经审计的财务报表或银行资信证明）</w:t>
      </w:r>
    </w:p>
    <w:p>
      <w:pPr>
        <w:pStyle w:val="2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Chars="0" w:firstLine="640" w:firstLineChars="200"/>
        <w:textAlignment w:val="auto"/>
        <w:rPr>
          <w:rFonts w:hint="eastAsia" w:ascii="仿宋_GB2312" w:hAnsi="仿宋_GB2312" w:eastAsia="仿宋_GB2312" w:cs="仿宋_GB2312"/>
          <w:b w:val="0"/>
          <w:color w:val="auto"/>
          <w:sz w:val="32"/>
          <w:szCs w:val="32"/>
          <w:lang w:val="en-US" w:eastAsia="zh-CN"/>
        </w:rPr>
      </w:pPr>
      <w:r>
        <w:rPr>
          <w:rFonts w:hint="eastAsia" w:ascii="仿宋_GB2312" w:hAnsi="仿宋_GB2312" w:eastAsia="仿宋_GB2312" w:cs="仿宋_GB2312"/>
          <w:b w:val="0"/>
          <w:color w:val="auto"/>
          <w:sz w:val="32"/>
          <w:szCs w:val="32"/>
          <w:lang w:val="en-US" w:eastAsia="zh-CN"/>
        </w:rPr>
        <w:t>2.依法缴纳税收和社会保障资金的相关材料</w:t>
      </w:r>
    </w:p>
    <w:p>
      <w:pPr>
        <w:pStyle w:val="2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Chars="0" w:firstLine="640" w:firstLineChars="200"/>
        <w:textAlignment w:val="auto"/>
        <w:rPr>
          <w:rFonts w:hint="eastAsia" w:ascii="仿宋_GB2312" w:hAnsi="仿宋_GB2312" w:eastAsia="仿宋_GB2312" w:cs="仿宋_GB2312"/>
          <w:b w:val="0"/>
          <w:color w:val="auto"/>
          <w:sz w:val="32"/>
          <w:szCs w:val="32"/>
          <w:lang w:val="en-US" w:eastAsia="zh-CN"/>
        </w:rPr>
      </w:pPr>
      <w:r>
        <w:rPr>
          <w:rFonts w:hint="eastAsia" w:ascii="仿宋_GB2312" w:hAnsi="仿宋_GB2312" w:eastAsia="仿宋_GB2312" w:cs="仿宋_GB2312"/>
          <w:b w:val="0"/>
          <w:color w:val="auto"/>
          <w:sz w:val="32"/>
          <w:szCs w:val="32"/>
          <w:lang w:val="en-US" w:eastAsia="zh-CN"/>
        </w:rPr>
        <w:t>3.无重大违法违规记录声明函</w:t>
      </w:r>
    </w:p>
    <w:p>
      <w:pPr>
        <w:pStyle w:val="2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Chars="0" w:firstLine="640" w:firstLineChars="200"/>
        <w:textAlignment w:val="auto"/>
        <w:rPr>
          <w:rFonts w:hint="eastAsia" w:ascii="仿宋_GB2312" w:hAnsi="仿宋_GB2312" w:eastAsia="仿宋_GB2312" w:cs="仿宋_GB2312"/>
          <w:b w:val="0"/>
          <w:color w:val="auto"/>
          <w:sz w:val="32"/>
          <w:szCs w:val="32"/>
          <w:lang w:val="en-US" w:eastAsia="zh-CN"/>
        </w:rPr>
      </w:pPr>
      <w:r>
        <w:rPr>
          <w:rFonts w:hint="eastAsia" w:ascii="仿宋_GB2312" w:hAnsi="仿宋_GB2312" w:eastAsia="仿宋_GB2312" w:cs="仿宋_GB2312"/>
          <w:b w:val="0"/>
          <w:color w:val="auto"/>
          <w:sz w:val="32"/>
          <w:szCs w:val="32"/>
          <w:lang w:val="en-US" w:eastAsia="zh-CN"/>
        </w:rPr>
        <w:t>4.廉洁合作协议</w:t>
      </w:r>
    </w:p>
    <w:p>
      <w:pPr>
        <w:pStyle w:val="2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Chars="0" w:firstLine="640" w:firstLineChars="200"/>
        <w:textAlignment w:val="auto"/>
        <w:rPr>
          <w:rFonts w:hint="eastAsia" w:ascii="仿宋_GB2312" w:hAnsi="仿宋_GB2312" w:eastAsia="仿宋_GB2312" w:cs="仿宋_GB2312"/>
          <w:b w:val="0"/>
          <w:color w:val="auto"/>
          <w:sz w:val="32"/>
          <w:szCs w:val="32"/>
          <w:lang w:val="en-US" w:eastAsia="zh-CN"/>
        </w:rPr>
      </w:pPr>
      <w:r>
        <w:rPr>
          <w:rFonts w:hint="eastAsia" w:ascii="仿宋_GB2312" w:hAnsi="仿宋_GB2312" w:eastAsia="仿宋_GB2312" w:cs="仿宋_GB2312"/>
          <w:b w:val="0"/>
          <w:color w:val="auto"/>
          <w:sz w:val="32"/>
          <w:szCs w:val="32"/>
          <w:lang w:val="en-US" w:eastAsia="zh-CN"/>
        </w:rPr>
        <w:t>5.其他采购人要求提供的材料</w:t>
      </w:r>
    </w:p>
    <w:bookmarkEnd w:id="2"/>
    <w:bookmarkEnd w:id="21"/>
    <w:bookmarkEnd w:id="23"/>
    <w:p>
      <w:pPr>
        <w:pStyle w:val="2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642" w:firstLineChars="200"/>
        <w:textAlignment w:val="auto"/>
        <w:rPr>
          <w:rFonts w:hint="eastAsia" w:ascii="Times New Roman" w:hAnsi="Times New Roman" w:eastAsia="黑体"/>
          <w:b/>
          <w:color w:val="auto"/>
          <w:sz w:val="32"/>
          <w:szCs w:val="32"/>
        </w:rPr>
      </w:pPr>
      <w:bookmarkStart w:id="24" w:name="第二册-通用条款"/>
      <w:r>
        <w:rPr>
          <w:rFonts w:hint="eastAsia" w:ascii="Times New Roman" w:hAnsi="Times New Roman" w:eastAsia="黑体"/>
          <w:b/>
          <w:color w:val="auto"/>
          <w:sz w:val="32"/>
          <w:szCs w:val="32"/>
          <w:lang w:eastAsia="zh-CN"/>
        </w:rPr>
        <w:t>六、</w:t>
      </w:r>
      <w:r>
        <w:rPr>
          <w:rFonts w:hint="eastAsia" w:ascii="Times New Roman" w:hAnsi="Times New Roman" w:eastAsia="黑体"/>
          <w:b/>
          <w:color w:val="auto"/>
          <w:sz w:val="32"/>
          <w:szCs w:val="32"/>
        </w:rPr>
        <w:t>通用条款</w:t>
      </w:r>
    </w:p>
    <w:p>
      <w:pPr>
        <w:pStyle w:val="25"/>
        <w:keepNext w:val="0"/>
        <w:keepLines w:val="0"/>
        <w:pageBreakBefore w:val="0"/>
        <w:widowControl/>
        <w:kinsoku/>
        <w:wordWrap/>
        <w:overflowPunct/>
        <w:topLinePunct w:val="0"/>
        <w:autoSpaceDE/>
        <w:autoSpaceDN/>
        <w:bidi w:val="0"/>
        <w:adjustRightInd/>
        <w:snapToGrid/>
        <w:spacing w:before="0" w:after="0" w:line="560" w:lineRule="exact"/>
        <w:ind w:lef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本项目的通用条款严格参照《深圳经济特区政府采购条例》、《深圳经济特区政府采购条例实施细则》及深圳市财政局关于政府购买服务的相关规定执行。通用条款涵盖了合同签订、履行、变更、终止、验收、支付、违约责任、争议解决等全流程法律规范。</w:t>
      </w:r>
    </w:p>
    <w:p>
      <w:pPr>
        <w:pStyle w:val="3"/>
        <w:keepNext w:val="0"/>
        <w:keepLines w:val="0"/>
        <w:pageBreakBefore w:val="0"/>
        <w:widowControl/>
        <w:kinsoku/>
        <w:wordWrap/>
        <w:overflowPunct/>
        <w:topLinePunct w:val="0"/>
        <w:autoSpaceDE/>
        <w:autoSpaceDN/>
        <w:bidi w:val="0"/>
        <w:adjustRightInd/>
        <w:snapToGrid/>
        <w:spacing w:before="0" w:after="0" w:line="560" w:lineRule="exact"/>
        <w:ind w:left="0"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核心通用条款摘要：</w:t>
      </w:r>
    </w:p>
    <w:p>
      <w:pPr>
        <w:pStyle w:val="26"/>
        <w:keepNext w:val="0"/>
        <w:keepLines w:val="0"/>
        <w:pageBreakBefore w:val="0"/>
        <w:widowControl/>
        <w:numPr>
          <w:numId w:val="0"/>
        </w:numPr>
        <w:kinsoku/>
        <w:wordWrap/>
        <w:overflowPunct/>
        <w:topLinePunct w:val="0"/>
        <w:autoSpaceDE/>
        <w:autoSpaceDN/>
        <w:bidi w:val="0"/>
        <w:adjustRightInd/>
        <w:snapToGrid/>
        <w:spacing w:before="0" w:after="0" w:line="560" w:lineRule="exact"/>
        <w:ind w:left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rPr>
        <w:t>合同订立</w:t>
      </w:r>
      <w:r>
        <w:rPr>
          <w:rFonts w:hint="eastAsia" w:ascii="仿宋_GB2312" w:hAnsi="仿宋_GB2312" w:eastAsia="仿宋_GB2312" w:cs="仿宋_GB2312"/>
          <w:b w:val="0"/>
          <w:color w:val="auto"/>
          <w:sz w:val="32"/>
          <w:szCs w:val="32"/>
        </w:rPr>
        <w:t>：中标人应在收到中标通知书后30日内与采购人签订书面合同。合同内容不得背离招标文件和中标人投标文件的实质性内容。</w:t>
      </w:r>
    </w:p>
    <w:p>
      <w:pPr>
        <w:pStyle w:val="26"/>
        <w:keepNext w:val="0"/>
        <w:keepLines w:val="0"/>
        <w:pageBreakBefore w:val="0"/>
        <w:widowControl/>
        <w:numPr>
          <w:numId w:val="0"/>
        </w:numPr>
        <w:kinsoku/>
        <w:wordWrap/>
        <w:overflowPunct/>
        <w:topLinePunct w:val="0"/>
        <w:autoSpaceDE/>
        <w:autoSpaceDN/>
        <w:bidi w:val="0"/>
        <w:adjustRightInd/>
        <w:snapToGrid/>
        <w:spacing w:before="0" w:after="0" w:line="560" w:lineRule="exact"/>
        <w:ind w:left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rPr>
        <w:t>合同履行</w:t>
      </w:r>
      <w:r>
        <w:rPr>
          <w:rFonts w:hint="eastAsia" w:ascii="仿宋_GB2312" w:hAnsi="仿宋_GB2312" w:eastAsia="仿宋_GB2312" w:cs="仿宋_GB2312"/>
          <w:b w:val="0"/>
          <w:color w:val="auto"/>
          <w:sz w:val="32"/>
          <w:szCs w:val="32"/>
        </w:rPr>
        <w:t>：中标人应严格按照合同约定提供服务，不得擅自转包或分包。采购人有权对合同履行情况进行监督检查。</w:t>
      </w:r>
    </w:p>
    <w:p>
      <w:pPr>
        <w:pStyle w:val="26"/>
        <w:keepNext w:val="0"/>
        <w:keepLines w:val="0"/>
        <w:pageBreakBefore w:val="0"/>
        <w:widowControl/>
        <w:numPr>
          <w:numId w:val="0"/>
        </w:numPr>
        <w:kinsoku/>
        <w:wordWrap/>
        <w:overflowPunct/>
        <w:topLinePunct w:val="0"/>
        <w:autoSpaceDE/>
        <w:autoSpaceDN/>
        <w:bidi w:val="0"/>
        <w:adjustRightInd/>
        <w:snapToGrid/>
        <w:spacing w:before="0" w:after="0" w:line="560" w:lineRule="exact"/>
        <w:ind w:left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3.</w:t>
      </w:r>
      <w:r>
        <w:rPr>
          <w:rFonts w:hint="eastAsia" w:ascii="仿宋_GB2312" w:hAnsi="仿宋_GB2312" w:eastAsia="仿宋_GB2312" w:cs="仿宋_GB2312"/>
          <w:b/>
          <w:bCs/>
          <w:color w:val="auto"/>
          <w:sz w:val="32"/>
          <w:szCs w:val="32"/>
        </w:rPr>
        <w:t>变更与终止</w:t>
      </w:r>
      <w:r>
        <w:rPr>
          <w:rFonts w:hint="eastAsia" w:ascii="仿宋_GB2312" w:hAnsi="仿宋_GB2312" w:eastAsia="仿宋_GB2312" w:cs="仿宋_GB2312"/>
          <w:b w:val="0"/>
          <w:color w:val="auto"/>
          <w:sz w:val="32"/>
          <w:szCs w:val="32"/>
        </w:rPr>
        <w:t>：因不可抗力或政策调整导致合同无法履行的，双方可协商变更或终止合同。因中标人原因导致合同终止的，中标人应承担违约责任。</w:t>
      </w:r>
    </w:p>
    <w:p>
      <w:pPr>
        <w:pStyle w:val="26"/>
        <w:keepNext w:val="0"/>
        <w:keepLines w:val="0"/>
        <w:pageBreakBefore w:val="0"/>
        <w:widowControl/>
        <w:numPr>
          <w:numId w:val="0"/>
        </w:numPr>
        <w:kinsoku/>
        <w:wordWrap/>
        <w:overflowPunct/>
        <w:topLinePunct w:val="0"/>
        <w:autoSpaceDE/>
        <w:autoSpaceDN/>
        <w:bidi w:val="0"/>
        <w:adjustRightInd/>
        <w:snapToGrid/>
        <w:spacing w:before="0" w:after="0" w:line="560" w:lineRule="exact"/>
        <w:ind w:left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4.</w:t>
      </w:r>
      <w:r>
        <w:rPr>
          <w:rFonts w:hint="eastAsia" w:ascii="仿宋_GB2312" w:hAnsi="仿宋_GB2312" w:eastAsia="仿宋_GB2312" w:cs="仿宋_GB2312"/>
          <w:b/>
          <w:bCs/>
          <w:color w:val="auto"/>
          <w:sz w:val="32"/>
          <w:szCs w:val="32"/>
        </w:rPr>
        <w:t>验收与支付</w:t>
      </w:r>
      <w:r>
        <w:rPr>
          <w:rFonts w:hint="eastAsia" w:ascii="仿宋_GB2312" w:hAnsi="仿宋_GB2312" w:eastAsia="仿宋_GB2312" w:cs="仿宋_GB2312"/>
          <w:b w:val="0"/>
          <w:color w:val="auto"/>
          <w:sz w:val="32"/>
          <w:szCs w:val="32"/>
        </w:rPr>
        <w:t>：服务完成后，采购人应组织验收。验收合格后，按照合同约定的支付方式和节点支付款项。</w:t>
      </w:r>
    </w:p>
    <w:p>
      <w:pPr>
        <w:pStyle w:val="26"/>
        <w:keepNext w:val="0"/>
        <w:keepLines w:val="0"/>
        <w:pageBreakBefore w:val="0"/>
        <w:widowControl/>
        <w:numPr>
          <w:numId w:val="0"/>
        </w:numPr>
        <w:kinsoku/>
        <w:wordWrap/>
        <w:overflowPunct/>
        <w:topLinePunct w:val="0"/>
        <w:autoSpaceDE/>
        <w:autoSpaceDN/>
        <w:bidi w:val="0"/>
        <w:adjustRightInd/>
        <w:snapToGrid/>
        <w:spacing w:before="0" w:after="0" w:line="560" w:lineRule="exact"/>
        <w:ind w:left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5.</w:t>
      </w:r>
      <w:r>
        <w:rPr>
          <w:rFonts w:hint="eastAsia" w:ascii="仿宋_GB2312" w:hAnsi="仿宋_GB2312" w:eastAsia="仿宋_GB2312" w:cs="仿宋_GB2312"/>
          <w:b/>
          <w:bCs/>
          <w:color w:val="auto"/>
          <w:sz w:val="32"/>
          <w:szCs w:val="32"/>
        </w:rPr>
        <w:t>争议解决</w:t>
      </w:r>
      <w:r>
        <w:rPr>
          <w:rFonts w:hint="eastAsia" w:ascii="仿宋_GB2312" w:hAnsi="仿宋_GB2312" w:eastAsia="仿宋_GB2312" w:cs="仿宋_GB2312"/>
          <w:b w:val="0"/>
          <w:color w:val="auto"/>
          <w:sz w:val="32"/>
          <w:szCs w:val="32"/>
        </w:rPr>
        <w:t>：双方在履行合同过程中发生争议，应首先协商解决；协商不成的，可向采购人所在地人民法院提起诉讼。</w:t>
      </w:r>
    </w:p>
    <w:p>
      <w:pPr>
        <w:pStyle w:val="26"/>
        <w:keepNext w:val="0"/>
        <w:keepLines w:val="0"/>
        <w:pageBreakBefore w:val="0"/>
        <w:widowControl/>
        <w:numPr>
          <w:numId w:val="0"/>
        </w:numPr>
        <w:kinsoku/>
        <w:wordWrap/>
        <w:overflowPunct/>
        <w:topLinePunct w:val="0"/>
        <w:autoSpaceDE/>
        <w:autoSpaceDN/>
        <w:bidi w:val="0"/>
        <w:adjustRightInd/>
        <w:snapToGrid/>
        <w:spacing w:before="0" w:after="0" w:line="560" w:lineRule="exact"/>
        <w:ind w:left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6.</w:t>
      </w:r>
      <w:r>
        <w:rPr>
          <w:rFonts w:hint="eastAsia" w:ascii="仿宋_GB2312" w:hAnsi="仿宋_GB2312" w:eastAsia="仿宋_GB2312" w:cs="仿宋_GB2312"/>
          <w:b/>
          <w:bCs/>
          <w:color w:val="auto"/>
          <w:sz w:val="32"/>
          <w:szCs w:val="32"/>
        </w:rPr>
        <w:t>保密义务</w:t>
      </w:r>
      <w:r>
        <w:rPr>
          <w:rFonts w:hint="eastAsia" w:ascii="仿宋_GB2312" w:hAnsi="仿宋_GB2312" w:eastAsia="仿宋_GB2312" w:cs="仿宋_GB2312"/>
          <w:b w:val="0"/>
          <w:color w:val="auto"/>
          <w:sz w:val="32"/>
          <w:szCs w:val="32"/>
        </w:rPr>
        <w:t>：中标人对在合同履行过程中知悉的国家秘密、商业秘密及个人隐私负有保密义务。</w:t>
      </w:r>
    </w:p>
    <w:bookmarkEnd w:id="24"/>
    <w:p>
      <w:pPr>
        <w:pStyle w:val="2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642" w:firstLineChars="200"/>
        <w:textAlignment w:val="auto"/>
        <w:rPr>
          <w:rFonts w:hint="eastAsia" w:ascii="Times New Roman" w:hAnsi="Times New Roman" w:eastAsia="黑体"/>
          <w:b/>
          <w:color w:val="auto"/>
          <w:sz w:val="32"/>
          <w:szCs w:val="32"/>
        </w:rPr>
      </w:pPr>
      <w:bookmarkStart w:id="25" w:name="特别警示条款"/>
      <w:r>
        <w:rPr>
          <w:rFonts w:hint="eastAsia" w:ascii="Times New Roman" w:hAnsi="Times New Roman" w:eastAsia="黑体"/>
          <w:b/>
          <w:color w:val="auto"/>
          <w:sz w:val="32"/>
          <w:szCs w:val="32"/>
          <w:lang w:eastAsia="zh-CN"/>
        </w:rPr>
        <w:t>七、其他</w:t>
      </w:r>
      <w:r>
        <w:rPr>
          <w:rFonts w:hint="eastAsia" w:ascii="Times New Roman" w:hAnsi="Times New Roman" w:eastAsia="黑体"/>
          <w:b/>
          <w:color w:val="auto"/>
          <w:sz w:val="32"/>
          <w:szCs w:val="32"/>
        </w:rPr>
        <w:t>条款</w:t>
      </w:r>
    </w:p>
    <w:p>
      <w:pPr>
        <w:pStyle w:val="25"/>
        <w:spacing w:before="60" w:after="60" w:line="560" w:lineRule="exact"/>
        <w:ind w:firstLine="480"/>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rPr>
        <w:t>严禁转包与违法分包</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本项目具有极强的公益属性和社会敏感性。中标人必须自行完成项目的核心运营管理工作。严禁将本项目整体转包，严禁将场地运营管理、公益活动策划等核心业务进行分包。一经发现，采购人将</w:t>
      </w:r>
      <w:r>
        <w:rPr>
          <w:rFonts w:hint="eastAsia" w:ascii="仿宋_GB2312" w:hAnsi="仿宋_GB2312" w:eastAsia="仿宋_GB2312" w:cs="仿宋_GB2312"/>
          <w:b w:val="0"/>
          <w:bCs w:val="0"/>
          <w:color w:val="auto"/>
          <w:sz w:val="32"/>
          <w:szCs w:val="32"/>
          <w:lang w:eastAsia="zh-CN"/>
        </w:rPr>
        <w:t>处以警告整改，拒不整改的</w:t>
      </w:r>
      <w:r>
        <w:rPr>
          <w:rFonts w:hint="eastAsia" w:ascii="仿宋_GB2312" w:hAnsi="仿宋_GB2312" w:eastAsia="仿宋_GB2312" w:cs="仿宋_GB2312"/>
          <w:b w:val="0"/>
          <w:bCs w:val="0"/>
          <w:color w:val="auto"/>
          <w:sz w:val="32"/>
          <w:szCs w:val="32"/>
        </w:rPr>
        <w:t>立即解除合同，没收全部履约保证金，并将中标人列入政府采购严重违法失信行为记录名单，三年内禁止参与盐田区政府采购活动。</w:t>
      </w:r>
    </w:p>
    <w:p>
      <w:pPr>
        <w:pStyle w:val="3"/>
        <w:spacing w:before="60" w:after="60" w:line="560" w:lineRule="exact"/>
        <w:ind w:firstLine="480"/>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rPr>
        <w:t>坚守公益底线，严禁过度商业化</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中标人必须清醒认识到本项目的“公共文化服务”本质。市场化运营仅为辅助手段，绝不能以牺牲公益服务质量、压缩公益服务时长、提高公益服务门槛为代价追求经济利益。若考核发现公益服务严重缩水或商业化倾向过重，采购人有权责令整改、扣减费用直至解除合同。</w:t>
      </w:r>
    </w:p>
    <w:p>
      <w:pPr>
        <w:pStyle w:val="3"/>
        <w:spacing w:before="60" w:after="60" w:line="560" w:lineRule="exact"/>
        <w:ind w:firstLine="480"/>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val="en-US" w:eastAsia="zh-CN"/>
        </w:rPr>
        <w:t>3.</w:t>
      </w:r>
      <w:r>
        <w:rPr>
          <w:rFonts w:hint="eastAsia" w:ascii="仿宋_GB2312" w:hAnsi="仿宋_GB2312" w:eastAsia="仿宋_GB2312" w:cs="仿宋_GB2312"/>
          <w:b w:val="0"/>
          <w:bCs w:val="0"/>
          <w:color w:val="auto"/>
          <w:sz w:val="32"/>
          <w:szCs w:val="32"/>
        </w:rPr>
        <w:t>安全生产一票否决</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安全是公共文化服务的生命线。中标人必须严格落实安全生产主体责任。若因管理不善、违规操作等原因导致发生重大火灾、人员伤亡等安全责任事故，本项目考核直接判定为不合格，采购人将无条件解除合同，并依法追究中标人法律责任。</w:t>
      </w:r>
    </w:p>
    <w:p>
      <w:pPr>
        <w:pStyle w:val="3"/>
        <w:spacing w:before="60" w:after="60" w:line="560" w:lineRule="exact"/>
        <w:ind w:firstLine="480"/>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val="en-US" w:eastAsia="zh-CN"/>
        </w:rPr>
        <w:t>4.</w:t>
      </w:r>
      <w:r>
        <w:rPr>
          <w:rFonts w:hint="eastAsia" w:ascii="仿宋_GB2312" w:hAnsi="仿宋_GB2312" w:eastAsia="仿宋_GB2312" w:cs="仿宋_GB2312"/>
          <w:b w:val="0"/>
          <w:bCs w:val="0"/>
          <w:color w:val="auto"/>
          <w:sz w:val="32"/>
          <w:szCs w:val="32"/>
        </w:rPr>
        <w:t>意识形态安全责任制</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中标人举办的所有展览、讲座、培训及发布的各类宣传内容，必须严格遵守国家法律法规，符合社会主义核心价值观。严禁传播违法违规、低俗庸俗、封建迷信或损害国家利益的内容。若发生意识形态安全事故，将实行“一票否决”，立即终止合同并追究相关责任人责任。</w:t>
      </w:r>
    </w:p>
    <w:p>
      <w:pPr>
        <w:pStyle w:val="3"/>
        <w:spacing w:before="60" w:after="60" w:line="560" w:lineRule="exact"/>
        <w:ind w:firstLine="480"/>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val="en-US" w:eastAsia="zh-CN"/>
        </w:rPr>
        <w:t>5.</w:t>
      </w:r>
      <w:r>
        <w:rPr>
          <w:rFonts w:hint="eastAsia" w:ascii="仿宋_GB2312" w:hAnsi="仿宋_GB2312" w:eastAsia="仿宋_GB2312" w:cs="仿宋_GB2312"/>
          <w:b w:val="0"/>
          <w:bCs w:val="0"/>
          <w:color w:val="auto"/>
          <w:sz w:val="32"/>
          <w:szCs w:val="32"/>
        </w:rPr>
        <w:t>资产保护与廉洁从业</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中标人应爱护场馆内所有设施设备，严禁擅自拆改、破坏或挪作他用。在合同履行过程中，严禁向采购人工作人员行贿或提供不正当利益。双方应签订《廉洁合作协议》，共同维护风清气正的政商关系。</w:t>
      </w:r>
    </w:p>
    <w:p>
      <w:pPr>
        <w:pStyle w:val="3"/>
        <w:spacing w:before="60" w:after="60" w:line="560" w:lineRule="exact"/>
        <w:ind w:firstLine="480"/>
        <w:rPr>
          <w:sz w:val="32"/>
          <w:szCs w:val="32"/>
        </w:rPr>
      </w:pPr>
      <w:r>
        <w:rPr>
          <w:rFonts w:hint="eastAsia" w:ascii="仿宋_GB2312" w:hAnsi="仿宋_GB2312" w:eastAsia="仿宋_GB2312" w:cs="仿宋_GB2312"/>
          <w:b w:val="0"/>
          <w:bCs w:val="0"/>
          <w:color w:val="auto"/>
          <w:sz w:val="32"/>
          <w:szCs w:val="32"/>
          <w:lang w:val="en-US" w:eastAsia="zh-CN"/>
        </w:rPr>
        <w:t>6.</w:t>
      </w:r>
      <w:r>
        <w:rPr>
          <w:rFonts w:hint="eastAsia" w:ascii="仿宋_GB2312" w:hAnsi="仿宋_GB2312" w:eastAsia="仿宋_GB2312" w:cs="仿宋_GB2312"/>
          <w:b w:val="0"/>
          <w:bCs w:val="0"/>
          <w:color w:val="auto"/>
          <w:sz w:val="32"/>
          <w:szCs w:val="32"/>
        </w:rPr>
        <w:t>联系方式与质疑投诉</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投标人如对招标文件有疑问，请在投标截止时间前以书面形式联系采购人。联系人：张先生</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联系电话：0755-88170627</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联系地址：深圳市盐田区深盐路2088号738办公室</w:t>
      </w:r>
      <w:r>
        <w:rPr>
          <w:rFonts w:hint="eastAsia" w:ascii="仿宋_GB2312" w:hAnsi="仿宋_GB2312" w:eastAsia="仿宋_GB2312" w:cs="仿宋_GB2312"/>
          <w:b w:val="0"/>
          <w:bCs w:val="0"/>
          <w:color w:val="auto"/>
          <w:sz w:val="32"/>
          <w:szCs w:val="32"/>
          <w:lang w:eastAsia="zh-CN"/>
        </w:rPr>
        <w:t>。</w:t>
      </w:r>
    </w:p>
    <w:bookmarkEnd w:id="0"/>
    <w:bookmarkEnd w:id="25"/>
    <w:sectPr>
      <w:footerReference r:id="rId4" w:type="default"/>
      <w:footnotePr>
        <w:numRestart w:val="eachSect"/>
      </w:footnotePr>
      <w:pgSz w:w="11906" w:h="16838"/>
      <w:pgMar w:top="1984" w:right="1474" w:bottom="1531" w:left="1587"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altName w:val="宋体-PUA"/>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宋体-PUA"/>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Aptos">
    <w:altName w:val="FreeSans"/>
    <w:panose1 w:val="020B0004020202020204"/>
    <w:charset w:val="00"/>
    <w:family w:val="swiss"/>
    <w:pitch w:val="default"/>
    <w:sig w:usb0="00000000" w:usb1="00000000" w:usb2="00000000" w:usb3="00000000" w:csb0="0000019F" w:csb1="00000000"/>
  </w:font>
  <w:font w:name="FreeSans">
    <w:panose1 w:val="020B0504020202020204"/>
    <w:charset w:val="00"/>
    <w:family w:val="auto"/>
    <w:pitch w:val="default"/>
    <w:sig w:usb0="E4839EFF" w:usb1="4600FDFF" w:usb2="000030A0" w:usb3="00000584" w:csb0="600001BF" w:csb1="DFF70000"/>
  </w:font>
  <w:font w:name="等线">
    <w:altName w:val="宋体"/>
    <w:panose1 w:val="02010600030101010101"/>
    <w:charset w:val="86"/>
    <w:family w:val="auto"/>
    <w:pitch w:val="default"/>
    <w:sig w:usb0="00000000" w:usb1="00000000" w:usb2="00000016" w:usb3="00000000" w:csb0="0004000F" w:csb1="00000000"/>
  </w:font>
  <w:font w:name="等线">
    <w:altName w:val="仿宋"/>
    <w:panose1 w:val="00000000000000000000"/>
    <w:charset w:val="86"/>
    <w:family w:val="auto"/>
    <w:pitch w:val="default"/>
    <w:sig w:usb0="00000000" w:usb1="00000000" w:usb2="00000000" w:usb3="00000000" w:csb0="00000000" w:csb1="00000000"/>
  </w:font>
  <w:font w:name="Aptos Display">
    <w:altName w:val="FreeSans"/>
    <w:panose1 w:val="020B0004020202020204"/>
    <w:charset w:val="00"/>
    <w:family w:val="swiss"/>
    <w:pitch w:val="default"/>
    <w:sig w:usb0="00000000" w:usb1="00000000" w:usb2="00000000" w:usb3="00000000" w:csb0="0000019F" w:csb1="00000000"/>
  </w:font>
  <w:font w:name="等线 Light">
    <w:altName w:val="宋体"/>
    <w:panose1 w:val="02010600030101010101"/>
    <w:charset w:val="86"/>
    <w:family w:val="auto"/>
    <w:pitch w:val="default"/>
    <w:sig w:usb0="00000000" w:usb1="00000000" w:usb2="00000016" w:usb3="00000000" w:csb0="0004000F" w:csb1="00000000"/>
  </w:font>
  <w:font w:name="Consolas">
    <w:altName w:val="Liberation Sans Narrow"/>
    <w:panose1 w:val="020B0609020204030204"/>
    <w:charset w:val="00"/>
    <w:family w:val="auto"/>
    <w:pitch w:val="default"/>
    <w:sig w:usb0="00000000" w:usb1="00000000" w:usb2="00000001" w:usb3="00000000" w:csb0="6000019F" w:csb1="DFD70000"/>
  </w:font>
  <w:font w:name="Liberation Sans Narrow">
    <w:panose1 w:val="020B0606020202030204"/>
    <w:charset w:val="00"/>
    <w:family w:val="auto"/>
    <w:pitch w:val="default"/>
    <w:sig w:usb0="A00002AF" w:usb1="500078FB" w:usb2="00000000" w:usb3="00000000" w:csb0="6000009F" w:csb1="DFD7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等线">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宋体S-超大字符集">
    <w:panose1 w:val="02000000000000000000"/>
    <w:charset w:val="86"/>
    <w:family w:val="auto"/>
    <w:pitch w:val="default"/>
    <w:sig w:usb0="00000001" w:usb1="08000000" w:usb2="00000000" w:usb3="00000000" w:csb0="00040000" w:csb1="00000000"/>
  </w:font>
  <w:font w:name="宋体-PUA">
    <w:panose1 w:val="02010600030101010101"/>
    <w:charset w:val="86"/>
    <w:family w:val="auto"/>
    <w:pitch w:val="default"/>
    <w:sig w:usb0="00000000" w:usb1="10000000" w:usb2="00000000" w:usb3="00000000" w:csb0="00040000" w:csb1="00000000"/>
  </w:font>
  <w:font w:name="SimSun">
    <w:panose1 w:val="02010600030101010101"/>
    <w:charset w:val="86"/>
    <w:family w:val="auto"/>
    <w:pitch w:val="default"/>
    <w:sig w:usb0="00000203" w:usb1="288F0000" w:usb2="00000006" w:usb3="00000000" w:csb0="00040001" w:csb1="00000000"/>
  </w:font>
  <w:font w:name="等线 Light">
    <w:altName w:val="C059"/>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16"/>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 xml:space="preserve">第 </w:t>
                          </w:r>
                          <w:r>
                            <w:rPr>
                              <w:rFonts w:hint="eastAsia" w:ascii="仿宋_GB2312" w:hAnsi="仿宋_GB2312" w:eastAsia="仿宋_GB2312" w:cs="仿宋_GB2312"/>
                              <w:sz w:val="21"/>
                              <w:szCs w:val="21"/>
                            </w:rPr>
                            <w:fldChar w:fldCharType="begin"/>
                          </w:r>
                          <w:r>
                            <w:rPr>
                              <w:rFonts w:hint="eastAsia" w:ascii="仿宋_GB2312" w:hAnsi="仿宋_GB2312" w:eastAsia="仿宋_GB2312" w:cs="仿宋_GB2312"/>
                              <w:sz w:val="21"/>
                              <w:szCs w:val="21"/>
                            </w:rPr>
                            <w:instrText xml:space="preserve"> PAGE  \* MERGEFORMAT </w:instrText>
                          </w:r>
                          <w:r>
                            <w:rPr>
                              <w:rFonts w:hint="eastAsia" w:ascii="仿宋_GB2312" w:hAnsi="仿宋_GB2312" w:eastAsia="仿宋_GB2312" w:cs="仿宋_GB2312"/>
                              <w:sz w:val="21"/>
                              <w:szCs w:val="21"/>
                            </w:rPr>
                            <w:fldChar w:fldCharType="separate"/>
                          </w:r>
                          <w:r>
                            <w:rPr>
                              <w:rFonts w:hint="eastAsia" w:ascii="仿宋_GB2312" w:hAnsi="仿宋_GB2312" w:eastAsia="仿宋_GB2312" w:cs="仿宋_GB2312"/>
                              <w:sz w:val="21"/>
                              <w:szCs w:val="21"/>
                            </w:rPr>
                            <w:t>1</w:t>
                          </w:r>
                          <w:r>
                            <w:rPr>
                              <w:rFonts w:hint="eastAsia" w:ascii="仿宋_GB2312" w:hAnsi="仿宋_GB2312" w:eastAsia="仿宋_GB2312" w:cs="仿宋_GB2312"/>
                              <w:sz w:val="21"/>
                              <w:szCs w:val="21"/>
                            </w:rPr>
                            <w:fldChar w:fldCharType="end"/>
                          </w:r>
                          <w:r>
                            <w:rPr>
                              <w:rFonts w:hint="eastAsia" w:ascii="仿宋_GB2312" w:hAnsi="仿宋_GB2312" w:eastAsia="仿宋_GB2312" w:cs="仿宋_GB2312"/>
                              <w:sz w:val="21"/>
                              <w:szCs w:val="21"/>
                            </w:rPr>
                            <w:t xml:space="preserve"> 页 共 </w:t>
                          </w:r>
                          <w:r>
                            <w:rPr>
                              <w:rFonts w:hint="eastAsia" w:ascii="仿宋_GB2312" w:hAnsi="仿宋_GB2312" w:eastAsia="仿宋_GB2312" w:cs="仿宋_GB2312"/>
                              <w:sz w:val="21"/>
                              <w:szCs w:val="21"/>
                            </w:rPr>
                            <w:fldChar w:fldCharType="begin"/>
                          </w:r>
                          <w:r>
                            <w:rPr>
                              <w:rFonts w:hint="eastAsia" w:ascii="仿宋_GB2312" w:hAnsi="仿宋_GB2312" w:eastAsia="仿宋_GB2312" w:cs="仿宋_GB2312"/>
                              <w:sz w:val="21"/>
                              <w:szCs w:val="21"/>
                            </w:rPr>
                            <w:instrText xml:space="preserve"> NUMPAGES  \* MERGEFORMAT </w:instrText>
                          </w:r>
                          <w:r>
                            <w:rPr>
                              <w:rFonts w:hint="eastAsia" w:ascii="仿宋_GB2312" w:hAnsi="仿宋_GB2312" w:eastAsia="仿宋_GB2312" w:cs="仿宋_GB2312"/>
                              <w:sz w:val="21"/>
                              <w:szCs w:val="21"/>
                            </w:rPr>
                            <w:fldChar w:fldCharType="separate"/>
                          </w:r>
                          <w:r>
                            <w:rPr>
                              <w:rFonts w:hint="eastAsia" w:ascii="仿宋_GB2312" w:hAnsi="仿宋_GB2312" w:eastAsia="仿宋_GB2312" w:cs="仿宋_GB2312"/>
                              <w:sz w:val="21"/>
                              <w:szCs w:val="21"/>
                            </w:rPr>
                            <w:t>17</w:t>
                          </w:r>
                          <w:r>
                            <w:rPr>
                              <w:rFonts w:hint="eastAsia" w:ascii="仿宋_GB2312" w:hAnsi="仿宋_GB2312" w:eastAsia="仿宋_GB2312" w:cs="仿宋_GB2312"/>
                              <w:sz w:val="21"/>
                              <w:szCs w:val="21"/>
                            </w:rPr>
                            <w:fldChar w:fldCharType="end"/>
                          </w:r>
                          <w:r>
                            <w:rPr>
                              <w:rFonts w:hint="eastAsia" w:ascii="仿宋_GB2312" w:hAnsi="仿宋_GB2312" w:eastAsia="仿宋_GB2312" w:cs="仿宋_GB2312"/>
                              <w:sz w:val="21"/>
                              <w:szCs w:val="21"/>
                            </w:rPr>
                            <w:t xml:space="preserve"> 页</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WAAAAZHJzL1BLAQIUABQA&#10;AAAIAIdO4kDOqXm5zwAAAAUBAAAPAAAAAAAAAAEAIAAAADgAAABkcnMvZG93bnJldi54bWxQSwEC&#10;FAAUAAAACACHTuJAs4h+BecBAADHAwAADgAAAAAAAAABACAAAAA0AQAAZHJzL2Uyb0RvYy54bWxQ&#10;SwUGAAAAAAYABgBZAQAAjQUAAAAA&#10;">
              <v:fill on="f" focussize="0,0"/>
              <v:stroke on="f"/>
              <v:imagedata o:title=""/>
              <o:lock v:ext="edit" aspectratio="f"/>
              <v:textbox inset="0mm,0mm,0mm,0mm" style="mso-fit-shape-to-text:t;">
                <w:txbxContent>
                  <w:p>
                    <w:pPr>
                      <w:pStyle w:val="16"/>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 xml:space="preserve">第 </w:t>
                    </w:r>
                    <w:r>
                      <w:rPr>
                        <w:rFonts w:hint="eastAsia" w:ascii="仿宋_GB2312" w:hAnsi="仿宋_GB2312" w:eastAsia="仿宋_GB2312" w:cs="仿宋_GB2312"/>
                        <w:sz w:val="21"/>
                        <w:szCs w:val="21"/>
                      </w:rPr>
                      <w:fldChar w:fldCharType="begin"/>
                    </w:r>
                    <w:r>
                      <w:rPr>
                        <w:rFonts w:hint="eastAsia" w:ascii="仿宋_GB2312" w:hAnsi="仿宋_GB2312" w:eastAsia="仿宋_GB2312" w:cs="仿宋_GB2312"/>
                        <w:sz w:val="21"/>
                        <w:szCs w:val="21"/>
                      </w:rPr>
                      <w:instrText xml:space="preserve"> PAGE  \* MERGEFORMAT </w:instrText>
                    </w:r>
                    <w:r>
                      <w:rPr>
                        <w:rFonts w:hint="eastAsia" w:ascii="仿宋_GB2312" w:hAnsi="仿宋_GB2312" w:eastAsia="仿宋_GB2312" w:cs="仿宋_GB2312"/>
                        <w:sz w:val="21"/>
                        <w:szCs w:val="21"/>
                      </w:rPr>
                      <w:fldChar w:fldCharType="separate"/>
                    </w:r>
                    <w:r>
                      <w:rPr>
                        <w:rFonts w:hint="eastAsia" w:ascii="仿宋_GB2312" w:hAnsi="仿宋_GB2312" w:eastAsia="仿宋_GB2312" w:cs="仿宋_GB2312"/>
                        <w:sz w:val="21"/>
                        <w:szCs w:val="21"/>
                      </w:rPr>
                      <w:t>1</w:t>
                    </w:r>
                    <w:r>
                      <w:rPr>
                        <w:rFonts w:hint="eastAsia" w:ascii="仿宋_GB2312" w:hAnsi="仿宋_GB2312" w:eastAsia="仿宋_GB2312" w:cs="仿宋_GB2312"/>
                        <w:sz w:val="21"/>
                        <w:szCs w:val="21"/>
                      </w:rPr>
                      <w:fldChar w:fldCharType="end"/>
                    </w:r>
                    <w:r>
                      <w:rPr>
                        <w:rFonts w:hint="eastAsia" w:ascii="仿宋_GB2312" w:hAnsi="仿宋_GB2312" w:eastAsia="仿宋_GB2312" w:cs="仿宋_GB2312"/>
                        <w:sz w:val="21"/>
                        <w:szCs w:val="21"/>
                      </w:rPr>
                      <w:t xml:space="preserve"> 页 共 </w:t>
                    </w:r>
                    <w:r>
                      <w:rPr>
                        <w:rFonts w:hint="eastAsia" w:ascii="仿宋_GB2312" w:hAnsi="仿宋_GB2312" w:eastAsia="仿宋_GB2312" w:cs="仿宋_GB2312"/>
                        <w:sz w:val="21"/>
                        <w:szCs w:val="21"/>
                      </w:rPr>
                      <w:fldChar w:fldCharType="begin"/>
                    </w:r>
                    <w:r>
                      <w:rPr>
                        <w:rFonts w:hint="eastAsia" w:ascii="仿宋_GB2312" w:hAnsi="仿宋_GB2312" w:eastAsia="仿宋_GB2312" w:cs="仿宋_GB2312"/>
                        <w:sz w:val="21"/>
                        <w:szCs w:val="21"/>
                      </w:rPr>
                      <w:instrText xml:space="preserve"> NUMPAGES  \* MERGEFORMAT </w:instrText>
                    </w:r>
                    <w:r>
                      <w:rPr>
                        <w:rFonts w:hint="eastAsia" w:ascii="仿宋_GB2312" w:hAnsi="仿宋_GB2312" w:eastAsia="仿宋_GB2312" w:cs="仿宋_GB2312"/>
                        <w:sz w:val="21"/>
                        <w:szCs w:val="21"/>
                      </w:rPr>
                      <w:fldChar w:fldCharType="separate"/>
                    </w:r>
                    <w:r>
                      <w:rPr>
                        <w:rFonts w:hint="eastAsia" w:ascii="仿宋_GB2312" w:hAnsi="仿宋_GB2312" w:eastAsia="仿宋_GB2312" w:cs="仿宋_GB2312"/>
                        <w:sz w:val="21"/>
                        <w:szCs w:val="21"/>
                      </w:rPr>
                      <w:t>17</w:t>
                    </w:r>
                    <w:r>
                      <w:rPr>
                        <w:rFonts w:hint="eastAsia" w:ascii="仿宋_GB2312" w:hAnsi="仿宋_GB2312" w:eastAsia="仿宋_GB2312" w:cs="仿宋_GB2312"/>
                        <w:sz w:val="21"/>
                        <w:szCs w:val="21"/>
                      </w:rPr>
                      <w:fldChar w:fldCharType="end"/>
                    </w:r>
                    <w:r>
                      <w:rPr>
                        <w:rFonts w:hint="eastAsia" w:ascii="仿宋_GB2312" w:hAnsi="仿宋_GB2312" w:eastAsia="仿宋_GB2312" w:cs="仿宋_GB2312"/>
                        <w:sz w:val="21"/>
                        <w:szCs w:val="21"/>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NotTrackMoves/>
  <w:documentProtection w:enforcement="0"/>
  <w:defaultTabStop w:val="720"/>
  <w:drawingGridHorizontalSpacing w:val="360"/>
  <w:drawingGridVerticalSpacing w:val="360"/>
  <w:displayHorizontalDrawingGridEvery w:val="0"/>
  <w:displayVerticalDrawingGridEvery w:val="0"/>
  <w:characterSpacingControl w:val="doNotCompress"/>
  <w:hdrShapeDefaults>
    <o:shapelayout v:ext="edit">
      <o:idmap v:ext="edit" data="2"/>
    </o:shapelayout>
  </w:hdrShapeDefaults>
  <w:footnotePr>
    <w:numRestart w:val="eachSect"/>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E0E6E"/>
    <w:rsid w:val="01167762"/>
    <w:rsid w:val="03CE5F43"/>
    <w:rsid w:val="03DB41BC"/>
    <w:rsid w:val="0490144A"/>
    <w:rsid w:val="05600E1D"/>
    <w:rsid w:val="08A234FA"/>
    <w:rsid w:val="0F2C75EB"/>
    <w:rsid w:val="14BA1BCC"/>
    <w:rsid w:val="1AEE0821"/>
    <w:rsid w:val="1E7E1EBC"/>
    <w:rsid w:val="1EEE7042"/>
    <w:rsid w:val="1FCF29CF"/>
    <w:rsid w:val="1FFE438F"/>
    <w:rsid w:val="201B3E66"/>
    <w:rsid w:val="20EB1A8B"/>
    <w:rsid w:val="25822292"/>
    <w:rsid w:val="2E0F2B31"/>
    <w:rsid w:val="2E7E31A4"/>
    <w:rsid w:val="3529097C"/>
    <w:rsid w:val="3A543DA5"/>
    <w:rsid w:val="3E1026D9"/>
    <w:rsid w:val="42ED2FE9"/>
    <w:rsid w:val="46DC584E"/>
    <w:rsid w:val="50554D66"/>
    <w:rsid w:val="56FB398A"/>
    <w:rsid w:val="57DB6DEF"/>
    <w:rsid w:val="5B1C2265"/>
    <w:rsid w:val="60F670B5"/>
    <w:rsid w:val="639C03E7"/>
    <w:rsid w:val="66754F1F"/>
    <w:rsid w:val="6B1D240A"/>
    <w:rsid w:val="6C8D5649"/>
    <w:rsid w:val="6F3C3B53"/>
    <w:rsid w:val="747F7695"/>
    <w:rsid w:val="761107C1"/>
    <w:rsid w:val="77E31CE9"/>
    <w:rsid w:val="79FFA594"/>
    <w:rsid w:val="7CA67789"/>
    <w:rsid w:val="7EF88E9D"/>
    <w:rsid w:val="BFDE023E"/>
    <w:rsid w:val="EFDBDF1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heme="minorHAnsi" w:hAnsiTheme="minorHAnsi" w:eastAsiaTheme="minorEastAsia" w:cstheme="minorBidi"/>
      <w:sz w:val="24"/>
      <w:szCs w:val="24"/>
      <w:lang w:val="en-US" w:eastAsia="zh-CN" w:bidi="ar-SA"/>
    </w:rPr>
  </w:style>
  <w:style w:type="paragraph" w:styleId="2">
    <w:name w:val="heading 1"/>
    <w:basedOn w:val="1"/>
    <w:next w:val="3"/>
    <w:link w:val="33"/>
    <w:qFormat/>
    <w:uiPriority w:val="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4">
    <w:name w:val="heading 2"/>
    <w:basedOn w:val="1"/>
    <w:next w:val="3"/>
    <w:link w:val="34"/>
    <w:semiHidden/>
    <w:unhideWhenUsed/>
    <w:qFormat/>
    <w:uiPriority w:val="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5">
    <w:name w:val="heading 3"/>
    <w:basedOn w:val="1"/>
    <w:next w:val="3"/>
    <w:link w:val="35"/>
    <w:semiHidden/>
    <w:unhideWhenUsed/>
    <w:qFormat/>
    <w:uiPriority w:val="9"/>
    <w:pPr>
      <w:keepNext/>
      <w:keepLines/>
      <w:spacing w:before="160" w:after="80"/>
      <w:outlineLvl w:val="2"/>
    </w:pPr>
    <w:rPr>
      <w:rFonts w:eastAsiaTheme="majorEastAsia" w:cstheme="majorBidi"/>
      <w:color w:val="0F4761" w:themeColor="accent1" w:themeShade="BF"/>
      <w:sz w:val="28"/>
      <w:szCs w:val="28"/>
    </w:rPr>
  </w:style>
  <w:style w:type="paragraph" w:styleId="6">
    <w:name w:val="heading 4"/>
    <w:basedOn w:val="1"/>
    <w:next w:val="3"/>
    <w:link w:val="36"/>
    <w:semiHidden/>
    <w:unhideWhenUsed/>
    <w:qFormat/>
    <w:uiPriority w:val="9"/>
    <w:pPr>
      <w:keepNext/>
      <w:keepLines/>
      <w:spacing w:before="80" w:after="40"/>
      <w:outlineLvl w:val="3"/>
    </w:pPr>
    <w:rPr>
      <w:rFonts w:eastAsiaTheme="majorEastAsia" w:cstheme="majorBidi"/>
      <w:i/>
      <w:iCs/>
      <w:color w:val="0F4761" w:themeColor="accent1" w:themeShade="BF"/>
    </w:rPr>
  </w:style>
  <w:style w:type="paragraph" w:styleId="7">
    <w:name w:val="heading 5"/>
    <w:basedOn w:val="1"/>
    <w:next w:val="3"/>
    <w:link w:val="37"/>
    <w:semiHidden/>
    <w:unhideWhenUsed/>
    <w:qFormat/>
    <w:uiPriority w:val="9"/>
    <w:pPr>
      <w:keepNext/>
      <w:keepLines/>
      <w:spacing w:before="80" w:after="40"/>
      <w:outlineLvl w:val="4"/>
    </w:pPr>
    <w:rPr>
      <w:rFonts w:eastAsiaTheme="majorEastAsia" w:cstheme="majorBidi"/>
      <w:color w:val="0F4761" w:themeColor="accent1" w:themeShade="BF"/>
    </w:rPr>
  </w:style>
  <w:style w:type="paragraph" w:styleId="8">
    <w:name w:val="heading 6"/>
    <w:basedOn w:val="1"/>
    <w:next w:val="3"/>
    <w:link w:val="38"/>
    <w:semiHidden/>
    <w:unhideWhenUsed/>
    <w:qFormat/>
    <w:uiPriority w:val="9"/>
    <w:pPr>
      <w:keepNext/>
      <w:keepLines/>
      <w:spacing w:before="40" w:after="0"/>
      <w:outlineLvl w:val="5"/>
    </w:pPr>
    <w:rPr>
      <w:rFonts w:eastAsiaTheme="majorEastAsia" w:cstheme="majorBidi"/>
      <w:i/>
      <w:iCs/>
      <w:color w:val="585858" w:themeColor="text1" w:themeTint="A6"/>
    </w:rPr>
  </w:style>
  <w:style w:type="paragraph" w:styleId="9">
    <w:name w:val="heading 7"/>
    <w:basedOn w:val="1"/>
    <w:next w:val="3"/>
    <w:link w:val="39"/>
    <w:semiHidden/>
    <w:unhideWhenUsed/>
    <w:qFormat/>
    <w:uiPriority w:val="9"/>
    <w:pPr>
      <w:keepNext/>
      <w:keepLines/>
      <w:spacing w:before="40" w:after="0"/>
      <w:outlineLvl w:val="6"/>
    </w:pPr>
    <w:rPr>
      <w:rFonts w:eastAsiaTheme="majorEastAsia" w:cstheme="majorBidi"/>
      <w:color w:val="585858" w:themeColor="text1" w:themeTint="A6"/>
    </w:rPr>
  </w:style>
  <w:style w:type="paragraph" w:styleId="10">
    <w:name w:val="heading 8"/>
    <w:basedOn w:val="1"/>
    <w:next w:val="3"/>
    <w:link w:val="40"/>
    <w:semiHidden/>
    <w:unhideWhenUsed/>
    <w:qFormat/>
    <w:uiPriority w:val="9"/>
    <w:pPr>
      <w:keepNext/>
      <w:keepLines/>
      <w:spacing w:after="0"/>
      <w:outlineLvl w:val="7"/>
    </w:pPr>
    <w:rPr>
      <w:rFonts w:eastAsiaTheme="majorEastAsia" w:cstheme="majorBidi"/>
      <w:i/>
      <w:iCs/>
      <w:color w:val="262626" w:themeColor="text1" w:themeTint="D8"/>
    </w:rPr>
  </w:style>
  <w:style w:type="paragraph" w:styleId="11">
    <w:name w:val="heading 9"/>
    <w:basedOn w:val="1"/>
    <w:next w:val="3"/>
    <w:link w:val="41"/>
    <w:semiHidden/>
    <w:unhideWhenUsed/>
    <w:qFormat/>
    <w:uiPriority w:val="9"/>
    <w:pPr>
      <w:keepNext/>
      <w:keepLines/>
      <w:spacing w:after="0"/>
      <w:outlineLvl w:val="8"/>
    </w:pPr>
    <w:rPr>
      <w:rFonts w:eastAsiaTheme="majorEastAsia" w:cstheme="majorBidi"/>
      <w:color w:val="262626" w:themeColor="text1" w:themeTint="D8"/>
    </w:rPr>
  </w:style>
  <w:style w:type="character" w:default="1" w:styleId="21">
    <w:name w:val="Default Paragraph Font"/>
    <w:semiHidden/>
    <w:unhideWhenUsed/>
    <w:qFormat/>
    <w:uiPriority w:val="0"/>
  </w:style>
  <w:style w:type="table" w:default="1" w:styleId="20">
    <w:name w:val="Normal Table"/>
    <w:qFormat/>
    <w:uiPriority w:val="0"/>
    <w:tblPr>
      <w:tblCellMar>
        <w:top w:w="0" w:type="dxa"/>
        <w:left w:w="108" w:type="dxa"/>
        <w:bottom w:w="0" w:type="dxa"/>
        <w:right w:w="108" w:type="dxa"/>
      </w:tblCellMar>
    </w:tblPr>
  </w:style>
  <w:style w:type="paragraph" w:styleId="3">
    <w:name w:val="Body Text"/>
    <w:basedOn w:val="1"/>
    <w:link w:val="23"/>
    <w:qFormat/>
    <w:uiPriority w:val="0"/>
    <w:pPr>
      <w:spacing w:before="180" w:after="180"/>
    </w:pPr>
  </w:style>
  <w:style w:type="paragraph" w:styleId="12">
    <w:name w:val="caption"/>
    <w:basedOn w:val="1"/>
    <w:qFormat/>
    <w:uiPriority w:val="0"/>
    <w:pPr>
      <w:spacing w:before="0" w:after="120"/>
    </w:pPr>
    <w:rPr>
      <w:i/>
    </w:rPr>
  </w:style>
  <w:style w:type="paragraph" w:styleId="13">
    <w:name w:val="Block Text"/>
    <w:basedOn w:val="3"/>
    <w:next w:val="3"/>
    <w:unhideWhenUsed/>
    <w:qFormat/>
    <w:uiPriority w:val="9"/>
    <w:pPr>
      <w:spacing w:before="100" w:after="100"/>
      <w:ind w:left="480" w:right="480" w:firstLine="0"/>
    </w:pPr>
  </w:style>
  <w:style w:type="paragraph" w:styleId="14">
    <w:name w:val="Date"/>
    <w:basedOn w:val="15"/>
    <w:next w:val="3"/>
    <w:qFormat/>
    <w:uiPriority w:val="0"/>
    <w:pPr>
      <w:keepNext/>
      <w:keepLines/>
    </w:pPr>
    <w:rPr>
      <w:sz w:val="24"/>
      <w:szCs w:val="24"/>
    </w:rPr>
  </w:style>
  <w:style w:type="paragraph" w:styleId="15">
    <w:name w:val="Title"/>
    <w:basedOn w:val="1"/>
    <w:next w:val="3"/>
    <w:link w:val="27"/>
    <w:qFormat/>
    <w:uiPriority w:val="10"/>
    <w:pPr>
      <w:spacing w:after="80" w:line="240" w:lineRule="auto"/>
      <w:contextualSpacing/>
      <w:jc w:val="center"/>
    </w:pPr>
    <w:rPr>
      <w:rFonts w:asciiTheme="majorHAnsi" w:hAnsiTheme="majorHAnsi" w:eastAsiaTheme="majorEastAsia" w:cstheme="majorBidi"/>
      <w:sz w:val="56"/>
      <w:szCs w:val="56"/>
    </w:rPr>
  </w:style>
  <w:style w:type="paragraph" w:styleId="16">
    <w:name w:val="footer"/>
    <w:basedOn w:val="1"/>
    <w:uiPriority w:val="0"/>
    <w:pPr>
      <w:tabs>
        <w:tab w:val="center" w:pos="4153"/>
        <w:tab w:val="right" w:pos="8306"/>
      </w:tabs>
      <w:snapToGrid w:val="0"/>
      <w:jc w:val="left"/>
    </w:pPr>
    <w:rPr>
      <w:sz w:val="18"/>
    </w:rPr>
  </w:style>
  <w:style w:type="paragraph" w:styleId="1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8">
    <w:name w:val="Subtitle"/>
    <w:basedOn w:val="15"/>
    <w:next w:val="3"/>
    <w:link w:val="28"/>
    <w:qFormat/>
    <w:uiPriority w:val="11"/>
    <w:rPr>
      <w:rFonts w:eastAsiaTheme="majorEastAsia" w:cstheme="majorBidi"/>
      <w:spacing w:val="15"/>
      <w:sz w:val="28"/>
      <w:szCs w:val="28"/>
    </w:rPr>
  </w:style>
  <w:style w:type="paragraph" w:styleId="19">
    <w:name w:val="footnote text"/>
    <w:basedOn w:val="1"/>
    <w:unhideWhenUsed/>
    <w:qFormat/>
    <w:uiPriority w:val="9"/>
  </w:style>
  <w:style w:type="character" w:styleId="22">
    <w:name w:val="Hyperlink"/>
    <w:basedOn w:val="23"/>
    <w:qFormat/>
    <w:uiPriority w:val="0"/>
    <w:rPr>
      <w:color w:val="156082" w:themeColor="accent1"/>
    </w:rPr>
  </w:style>
  <w:style w:type="character" w:customStyle="1" w:styleId="23">
    <w:name w:val="Body Text Char"/>
    <w:basedOn w:val="21"/>
    <w:link w:val="3"/>
    <w:qFormat/>
    <w:uiPriority w:val="0"/>
  </w:style>
  <w:style w:type="character" w:styleId="24">
    <w:name w:val="footnote reference"/>
    <w:basedOn w:val="23"/>
    <w:qFormat/>
    <w:uiPriority w:val="0"/>
    <w:rPr>
      <w:vertAlign w:val="superscript"/>
    </w:rPr>
  </w:style>
  <w:style w:type="paragraph" w:customStyle="1" w:styleId="25">
    <w:name w:val="First Paragraph"/>
    <w:basedOn w:val="3"/>
    <w:next w:val="3"/>
    <w:qFormat/>
    <w:uiPriority w:val="0"/>
  </w:style>
  <w:style w:type="paragraph" w:customStyle="1" w:styleId="26">
    <w:name w:val="Compact"/>
    <w:basedOn w:val="3"/>
    <w:qFormat/>
    <w:uiPriority w:val="0"/>
    <w:pPr>
      <w:spacing w:before="36" w:after="36"/>
    </w:pPr>
  </w:style>
  <w:style w:type="character" w:customStyle="1" w:styleId="27">
    <w:name w:val="Title Char"/>
    <w:basedOn w:val="21"/>
    <w:link w:val="15"/>
    <w:qFormat/>
    <w:uiPriority w:val="10"/>
    <w:rPr>
      <w:rFonts w:asciiTheme="majorHAnsi" w:hAnsiTheme="majorHAnsi" w:eastAsiaTheme="majorEastAsia" w:cstheme="majorBidi"/>
      <w:sz w:val="56"/>
      <w:szCs w:val="56"/>
    </w:rPr>
  </w:style>
  <w:style w:type="character" w:customStyle="1" w:styleId="28">
    <w:name w:val="Subtitle Char"/>
    <w:basedOn w:val="21"/>
    <w:link w:val="18"/>
    <w:qFormat/>
    <w:uiPriority w:val="11"/>
    <w:rPr>
      <w:rFonts w:eastAsiaTheme="majorEastAsia" w:cstheme="majorBidi"/>
      <w:color w:val="585858" w:themeColor="text1" w:themeTint="A6"/>
      <w:spacing w:val="15"/>
      <w:sz w:val="28"/>
      <w:szCs w:val="28"/>
    </w:rPr>
  </w:style>
  <w:style w:type="paragraph" w:customStyle="1" w:styleId="29">
    <w:name w:val="Author"/>
    <w:basedOn w:val="15"/>
    <w:next w:val="3"/>
    <w:qFormat/>
    <w:uiPriority w:val="0"/>
    <w:pPr>
      <w:keepNext/>
      <w:keepLines/>
    </w:pPr>
    <w:rPr>
      <w:sz w:val="24"/>
      <w:szCs w:val="24"/>
    </w:rPr>
  </w:style>
  <w:style w:type="paragraph" w:customStyle="1" w:styleId="30">
    <w:name w:val="Abstract Title"/>
    <w:basedOn w:val="1"/>
    <w:next w:val="31"/>
    <w:qFormat/>
    <w:uiPriority w:val="0"/>
    <w:pPr>
      <w:keepNext/>
      <w:keepLines/>
      <w:spacing w:before="300" w:after="0"/>
      <w:jc w:val="center"/>
    </w:pPr>
    <w:rPr>
      <w:b/>
      <w:sz w:val="20"/>
      <w:szCs w:val="20"/>
    </w:rPr>
  </w:style>
  <w:style w:type="paragraph" w:customStyle="1" w:styleId="31">
    <w:name w:val="Abstract"/>
    <w:basedOn w:val="1"/>
    <w:next w:val="3"/>
    <w:qFormat/>
    <w:uiPriority w:val="0"/>
    <w:pPr>
      <w:keepNext/>
      <w:keepLines/>
      <w:spacing w:before="100" w:after="300"/>
    </w:pPr>
    <w:rPr>
      <w:sz w:val="20"/>
      <w:szCs w:val="20"/>
    </w:rPr>
  </w:style>
  <w:style w:type="paragraph" w:customStyle="1" w:styleId="32">
    <w:name w:val="Bibliography"/>
    <w:basedOn w:val="1"/>
    <w:qFormat/>
    <w:uiPriority w:val="0"/>
  </w:style>
  <w:style w:type="character" w:customStyle="1" w:styleId="33">
    <w:name w:val="Heading 1 Char"/>
    <w:basedOn w:val="21"/>
    <w:link w:val="2"/>
    <w:qFormat/>
    <w:uiPriority w:val="9"/>
    <w:rPr>
      <w:rFonts w:asciiTheme="majorHAnsi" w:hAnsiTheme="majorHAnsi" w:eastAsiaTheme="majorEastAsia" w:cstheme="majorBidi"/>
      <w:color w:val="0F4761" w:themeColor="accent1" w:themeShade="BF"/>
      <w:sz w:val="40"/>
      <w:szCs w:val="40"/>
    </w:rPr>
  </w:style>
  <w:style w:type="character" w:customStyle="1" w:styleId="34">
    <w:name w:val="Heading 2 Char"/>
    <w:basedOn w:val="21"/>
    <w:link w:val="4"/>
    <w:semiHidden/>
    <w:qFormat/>
    <w:uiPriority w:val="9"/>
    <w:rPr>
      <w:rFonts w:asciiTheme="majorHAnsi" w:hAnsiTheme="majorHAnsi" w:eastAsiaTheme="majorEastAsia" w:cstheme="majorBidi"/>
      <w:color w:val="0F4761" w:themeColor="accent1" w:themeShade="BF"/>
      <w:sz w:val="32"/>
      <w:szCs w:val="32"/>
    </w:rPr>
  </w:style>
  <w:style w:type="character" w:customStyle="1" w:styleId="35">
    <w:name w:val="Heading 3 Char"/>
    <w:basedOn w:val="21"/>
    <w:link w:val="5"/>
    <w:semiHidden/>
    <w:qFormat/>
    <w:uiPriority w:val="9"/>
    <w:rPr>
      <w:rFonts w:eastAsiaTheme="majorEastAsia" w:cstheme="majorBidi"/>
      <w:color w:val="0F4761" w:themeColor="accent1" w:themeShade="BF"/>
      <w:sz w:val="28"/>
      <w:szCs w:val="28"/>
    </w:rPr>
  </w:style>
  <w:style w:type="character" w:customStyle="1" w:styleId="36">
    <w:name w:val="Heading 4 Char"/>
    <w:basedOn w:val="21"/>
    <w:link w:val="6"/>
    <w:semiHidden/>
    <w:qFormat/>
    <w:uiPriority w:val="9"/>
    <w:rPr>
      <w:rFonts w:eastAsiaTheme="majorEastAsia" w:cstheme="majorBidi"/>
      <w:i/>
      <w:iCs/>
      <w:color w:val="0F4761" w:themeColor="accent1" w:themeShade="BF"/>
    </w:rPr>
  </w:style>
  <w:style w:type="character" w:customStyle="1" w:styleId="37">
    <w:name w:val="Heading 5 Char"/>
    <w:basedOn w:val="21"/>
    <w:link w:val="7"/>
    <w:semiHidden/>
    <w:qFormat/>
    <w:uiPriority w:val="9"/>
    <w:rPr>
      <w:rFonts w:eastAsiaTheme="majorEastAsia" w:cstheme="majorBidi"/>
      <w:color w:val="0F4761" w:themeColor="accent1" w:themeShade="BF"/>
    </w:rPr>
  </w:style>
  <w:style w:type="character" w:customStyle="1" w:styleId="38">
    <w:name w:val="Heading 6 Char"/>
    <w:basedOn w:val="21"/>
    <w:link w:val="8"/>
    <w:semiHidden/>
    <w:qFormat/>
    <w:uiPriority w:val="9"/>
    <w:rPr>
      <w:rFonts w:eastAsiaTheme="majorEastAsia" w:cstheme="majorBidi"/>
      <w:i/>
      <w:iCs/>
      <w:color w:val="585858" w:themeColor="text1" w:themeTint="A6"/>
    </w:rPr>
  </w:style>
  <w:style w:type="character" w:customStyle="1" w:styleId="39">
    <w:name w:val="Heading 7 Char"/>
    <w:basedOn w:val="21"/>
    <w:link w:val="9"/>
    <w:semiHidden/>
    <w:qFormat/>
    <w:uiPriority w:val="9"/>
    <w:rPr>
      <w:rFonts w:eastAsiaTheme="majorEastAsia" w:cstheme="majorBidi"/>
      <w:color w:val="585858" w:themeColor="text1" w:themeTint="A6"/>
    </w:rPr>
  </w:style>
  <w:style w:type="character" w:customStyle="1" w:styleId="40">
    <w:name w:val="Heading 8 Char"/>
    <w:basedOn w:val="21"/>
    <w:link w:val="10"/>
    <w:semiHidden/>
    <w:qFormat/>
    <w:uiPriority w:val="9"/>
    <w:rPr>
      <w:rFonts w:eastAsiaTheme="majorEastAsia" w:cstheme="majorBidi"/>
      <w:i/>
      <w:iCs/>
      <w:color w:val="262626" w:themeColor="text1" w:themeTint="D8"/>
    </w:rPr>
  </w:style>
  <w:style w:type="character" w:customStyle="1" w:styleId="41">
    <w:name w:val="Heading 9 Char"/>
    <w:basedOn w:val="21"/>
    <w:link w:val="11"/>
    <w:semiHidden/>
    <w:qFormat/>
    <w:uiPriority w:val="9"/>
    <w:rPr>
      <w:rFonts w:eastAsiaTheme="majorEastAsia" w:cstheme="majorBidi"/>
      <w:color w:val="262626" w:themeColor="text1" w:themeTint="D8"/>
    </w:rPr>
  </w:style>
  <w:style w:type="paragraph" w:customStyle="1" w:styleId="42">
    <w:name w:val="Footnote Block Text"/>
    <w:basedOn w:val="19"/>
    <w:next w:val="19"/>
    <w:unhideWhenUsed/>
    <w:qFormat/>
    <w:uiPriority w:val="9"/>
    <w:pPr>
      <w:spacing w:before="100" w:after="100"/>
      <w:ind w:left="480" w:right="480" w:firstLine="0"/>
    </w:pPr>
  </w:style>
  <w:style w:type="table" w:customStyle="1" w:styleId="43">
    <w:name w:val="Table"/>
    <w:semiHidden/>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 w:type="paragraph" w:customStyle="1" w:styleId="44">
    <w:name w:val="Definition Term"/>
    <w:basedOn w:val="1"/>
    <w:next w:val="45"/>
    <w:qFormat/>
    <w:uiPriority w:val="0"/>
    <w:pPr>
      <w:keepNext/>
      <w:keepLines/>
      <w:spacing w:after="0"/>
    </w:pPr>
    <w:rPr>
      <w:b/>
    </w:rPr>
  </w:style>
  <w:style w:type="paragraph" w:customStyle="1" w:styleId="45">
    <w:name w:val="Definition"/>
    <w:basedOn w:val="1"/>
    <w:qFormat/>
    <w:uiPriority w:val="0"/>
  </w:style>
  <w:style w:type="paragraph" w:customStyle="1" w:styleId="46">
    <w:name w:val="Table Caption"/>
    <w:basedOn w:val="12"/>
    <w:qFormat/>
    <w:uiPriority w:val="0"/>
    <w:pPr>
      <w:keepNext/>
    </w:pPr>
  </w:style>
  <w:style w:type="paragraph" w:customStyle="1" w:styleId="47">
    <w:name w:val="Image Caption"/>
    <w:basedOn w:val="12"/>
    <w:qFormat/>
    <w:uiPriority w:val="0"/>
  </w:style>
  <w:style w:type="paragraph" w:customStyle="1" w:styleId="48">
    <w:name w:val="Figure"/>
    <w:basedOn w:val="1"/>
    <w:qFormat/>
    <w:uiPriority w:val="0"/>
  </w:style>
  <w:style w:type="paragraph" w:customStyle="1" w:styleId="49">
    <w:name w:val="Captioned Figure"/>
    <w:basedOn w:val="48"/>
    <w:qFormat/>
    <w:uiPriority w:val="0"/>
    <w:pPr>
      <w:keepNext/>
    </w:pPr>
  </w:style>
  <w:style w:type="character" w:customStyle="1" w:styleId="50">
    <w:name w:val="Verbatim Char"/>
    <w:basedOn w:val="23"/>
    <w:link w:val="51"/>
    <w:qFormat/>
    <w:uiPriority w:val="0"/>
    <w:rPr>
      <w:rFonts w:ascii="Consolas" w:hAnsi="Consolas"/>
      <w:sz w:val="22"/>
    </w:rPr>
  </w:style>
  <w:style w:type="paragraph" w:customStyle="1" w:styleId="51">
    <w:name w:val="Source Code"/>
    <w:basedOn w:val="1"/>
    <w:link w:val="50"/>
    <w:qFormat/>
    <w:uiPriority w:val="0"/>
    <w:pPr>
      <w:wordWrap w:val="0"/>
    </w:pPr>
  </w:style>
  <w:style w:type="character" w:customStyle="1" w:styleId="52">
    <w:name w:val="Section Number"/>
    <w:basedOn w:val="23"/>
    <w:qFormat/>
    <w:uiPriority w:val="0"/>
  </w:style>
  <w:style w:type="paragraph" w:customStyle="1" w:styleId="53">
    <w:name w:val="TOC Heading"/>
    <w:basedOn w:val="2"/>
    <w:next w:val="3"/>
    <w:unhideWhenUsed/>
    <w:qFormat/>
    <w:uiPriority w:val="39"/>
    <w:pPr>
      <w:spacing w:before="240" w:line="259" w:lineRule="auto"/>
      <w:outlineLvl w:val="9"/>
    </w:pPr>
    <w:rPr>
      <w:rFonts w:asciiTheme="majorHAnsi" w:hAnsiTheme="majorHAnsi" w:eastAsiaTheme="majorEastAsia" w:cstheme="majorBidi"/>
      <w:color w:val="0F4761" w:themeColor="accent1" w:themeShade="BF"/>
    </w:rPr>
  </w:style>
  <w:style w:type="character" w:customStyle="1" w:styleId="54">
    <w:name w:val="KeywordTok"/>
    <w:basedOn w:val="50"/>
    <w:qFormat/>
    <w:uiPriority w:val="0"/>
    <w:rPr>
      <w:b/>
      <w:color w:val="007020"/>
    </w:rPr>
  </w:style>
  <w:style w:type="character" w:customStyle="1" w:styleId="55">
    <w:name w:val="DataTypeTok"/>
    <w:basedOn w:val="50"/>
    <w:qFormat/>
    <w:uiPriority w:val="0"/>
    <w:rPr>
      <w:color w:val="902000"/>
    </w:rPr>
  </w:style>
  <w:style w:type="character" w:customStyle="1" w:styleId="56">
    <w:name w:val="DecValTok"/>
    <w:basedOn w:val="50"/>
    <w:qFormat/>
    <w:uiPriority w:val="0"/>
    <w:rPr>
      <w:color w:val="40A070"/>
    </w:rPr>
  </w:style>
  <w:style w:type="character" w:customStyle="1" w:styleId="57">
    <w:name w:val="BaseNTok"/>
    <w:basedOn w:val="50"/>
    <w:qFormat/>
    <w:uiPriority w:val="0"/>
    <w:rPr>
      <w:color w:val="40A070"/>
    </w:rPr>
  </w:style>
  <w:style w:type="character" w:customStyle="1" w:styleId="58">
    <w:name w:val="FloatTok"/>
    <w:basedOn w:val="50"/>
    <w:qFormat/>
    <w:uiPriority w:val="0"/>
    <w:rPr>
      <w:color w:val="40A070"/>
    </w:rPr>
  </w:style>
  <w:style w:type="character" w:customStyle="1" w:styleId="59">
    <w:name w:val="ConstantTok"/>
    <w:basedOn w:val="50"/>
    <w:qFormat/>
    <w:uiPriority w:val="0"/>
    <w:rPr>
      <w:color w:val="880000"/>
    </w:rPr>
  </w:style>
  <w:style w:type="character" w:customStyle="1" w:styleId="60">
    <w:name w:val="CharTok"/>
    <w:basedOn w:val="50"/>
    <w:qFormat/>
    <w:uiPriority w:val="0"/>
    <w:rPr>
      <w:color w:val="4070A0"/>
    </w:rPr>
  </w:style>
  <w:style w:type="character" w:customStyle="1" w:styleId="61">
    <w:name w:val="SpecialCharTok"/>
    <w:basedOn w:val="50"/>
    <w:qFormat/>
    <w:uiPriority w:val="0"/>
    <w:rPr>
      <w:color w:val="4070A0"/>
    </w:rPr>
  </w:style>
  <w:style w:type="character" w:customStyle="1" w:styleId="62">
    <w:name w:val="StringTok"/>
    <w:basedOn w:val="50"/>
    <w:qFormat/>
    <w:uiPriority w:val="0"/>
    <w:rPr>
      <w:color w:val="4070A0"/>
    </w:rPr>
  </w:style>
  <w:style w:type="character" w:customStyle="1" w:styleId="63">
    <w:name w:val="VerbatimStringTok"/>
    <w:basedOn w:val="50"/>
    <w:qFormat/>
    <w:uiPriority w:val="0"/>
    <w:rPr>
      <w:color w:val="4070A0"/>
    </w:rPr>
  </w:style>
  <w:style w:type="character" w:customStyle="1" w:styleId="64">
    <w:name w:val="SpecialStringTok"/>
    <w:basedOn w:val="50"/>
    <w:qFormat/>
    <w:uiPriority w:val="0"/>
    <w:rPr>
      <w:color w:val="BB6688"/>
    </w:rPr>
  </w:style>
  <w:style w:type="character" w:customStyle="1" w:styleId="65">
    <w:name w:val="ImportTok"/>
    <w:basedOn w:val="50"/>
    <w:qFormat/>
    <w:uiPriority w:val="0"/>
    <w:rPr>
      <w:b/>
      <w:color w:val="008000"/>
    </w:rPr>
  </w:style>
  <w:style w:type="character" w:customStyle="1" w:styleId="66">
    <w:name w:val="CommentTok"/>
    <w:basedOn w:val="50"/>
    <w:qFormat/>
    <w:uiPriority w:val="0"/>
    <w:rPr>
      <w:i/>
      <w:color w:val="60A0B0"/>
    </w:rPr>
  </w:style>
  <w:style w:type="character" w:customStyle="1" w:styleId="67">
    <w:name w:val="DocumentationTok"/>
    <w:basedOn w:val="50"/>
    <w:qFormat/>
    <w:uiPriority w:val="0"/>
    <w:rPr>
      <w:i/>
      <w:color w:val="BA2121"/>
    </w:rPr>
  </w:style>
  <w:style w:type="character" w:customStyle="1" w:styleId="68">
    <w:name w:val="AnnotationTok"/>
    <w:basedOn w:val="50"/>
    <w:qFormat/>
    <w:uiPriority w:val="0"/>
    <w:rPr>
      <w:b/>
      <w:i/>
      <w:color w:val="60A0B0"/>
    </w:rPr>
  </w:style>
  <w:style w:type="character" w:customStyle="1" w:styleId="69">
    <w:name w:val="CommentVarTok"/>
    <w:basedOn w:val="50"/>
    <w:qFormat/>
    <w:uiPriority w:val="0"/>
    <w:rPr>
      <w:b/>
      <w:i/>
      <w:color w:val="60A0B0"/>
    </w:rPr>
  </w:style>
  <w:style w:type="character" w:customStyle="1" w:styleId="70">
    <w:name w:val="OtherTok"/>
    <w:basedOn w:val="50"/>
    <w:qFormat/>
    <w:uiPriority w:val="0"/>
    <w:rPr>
      <w:color w:val="007020"/>
    </w:rPr>
  </w:style>
  <w:style w:type="character" w:customStyle="1" w:styleId="71">
    <w:name w:val="FunctionTok"/>
    <w:basedOn w:val="50"/>
    <w:qFormat/>
    <w:uiPriority w:val="0"/>
    <w:rPr>
      <w:color w:val="06287E"/>
    </w:rPr>
  </w:style>
  <w:style w:type="character" w:customStyle="1" w:styleId="72">
    <w:name w:val="VariableTok"/>
    <w:basedOn w:val="50"/>
    <w:qFormat/>
    <w:uiPriority w:val="0"/>
    <w:rPr>
      <w:color w:val="19177C"/>
    </w:rPr>
  </w:style>
  <w:style w:type="character" w:customStyle="1" w:styleId="73">
    <w:name w:val="ControlFlowTok"/>
    <w:basedOn w:val="50"/>
    <w:qFormat/>
    <w:uiPriority w:val="0"/>
    <w:rPr>
      <w:b/>
      <w:color w:val="007020"/>
    </w:rPr>
  </w:style>
  <w:style w:type="character" w:customStyle="1" w:styleId="74">
    <w:name w:val="OperatorTok"/>
    <w:basedOn w:val="50"/>
    <w:qFormat/>
    <w:uiPriority w:val="0"/>
    <w:rPr>
      <w:color w:val="666666"/>
    </w:rPr>
  </w:style>
  <w:style w:type="character" w:customStyle="1" w:styleId="75">
    <w:name w:val="BuiltInTok"/>
    <w:basedOn w:val="50"/>
    <w:qFormat/>
    <w:uiPriority w:val="0"/>
    <w:rPr>
      <w:color w:val="008000"/>
    </w:rPr>
  </w:style>
  <w:style w:type="character" w:customStyle="1" w:styleId="76">
    <w:name w:val="ExtensionTok"/>
    <w:basedOn w:val="50"/>
    <w:qFormat/>
    <w:uiPriority w:val="0"/>
  </w:style>
  <w:style w:type="character" w:customStyle="1" w:styleId="77">
    <w:name w:val="PreprocessorTok"/>
    <w:basedOn w:val="50"/>
    <w:qFormat/>
    <w:uiPriority w:val="0"/>
    <w:rPr>
      <w:color w:val="BC7A00"/>
    </w:rPr>
  </w:style>
  <w:style w:type="character" w:customStyle="1" w:styleId="78">
    <w:name w:val="AttributeTok"/>
    <w:basedOn w:val="50"/>
    <w:qFormat/>
    <w:uiPriority w:val="0"/>
    <w:rPr>
      <w:color w:val="7D9029"/>
    </w:rPr>
  </w:style>
  <w:style w:type="character" w:customStyle="1" w:styleId="79">
    <w:name w:val="RegionMarkerTok"/>
    <w:basedOn w:val="50"/>
    <w:qFormat/>
    <w:uiPriority w:val="0"/>
  </w:style>
  <w:style w:type="character" w:customStyle="1" w:styleId="80">
    <w:name w:val="InformationTok"/>
    <w:basedOn w:val="50"/>
    <w:qFormat/>
    <w:uiPriority w:val="0"/>
    <w:rPr>
      <w:b/>
      <w:i/>
      <w:color w:val="60A0B0"/>
    </w:rPr>
  </w:style>
  <w:style w:type="character" w:customStyle="1" w:styleId="81">
    <w:name w:val="WarningTok"/>
    <w:basedOn w:val="50"/>
    <w:qFormat/>
    <w:uiPriority w:val="0"/>
    <w:rPr>
      <w:b/>
      <w:i/>
      <w:color w:val="60A0B0"/>
    </w:rPr>
  </w:style>
  <w:style w:type="character" w:customStyle="1" w:styleId="82">
    <w:name w:val="AlertTok"/>
    <w:basedOn w:val="50"/>
    <w:qFormat/>
    <w:uiPriority w:val="0"/>
    <w:rPr>
      <w:b/>
      <w:color w:val="FF0000"/>
    </w:rPr>
  </w:style>
  <w:style w:type="character" w:customStyle="1" w:styleId="83">
    <w:name w:val="ErrorTok"/>
    <w:basedOn w:val="50"/>
    <w:qFormat/>
    <w:uiPriority w:val="0"/>
    <w:rPr>
      <w:b/>
      <w:color w:val="FF0000"/>
    </w:rPr>
  </w:style>
  <w:style w:type="character" w:customStyle="1" w:styleId="84">
    <w:name w:val="NormalTok"/>
    <w:basedOn w:val="50"/>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4537</Words>
  <Characters>4601</Characters>
  <Lines>12</Lines>
  <Paragraphs>8</Paragraphs>
  <TotalTime>73</TotalTime>
  <ScaleCrop>false</ScaleCrop>
  <LinksUpToDate>false</LinksUpToDate>
  <CharactersWithSpaces>4610</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2026-10-15T19:38:00Z</dcterms:created>
  <dc:creator>yt</dc:creator>
  <cp:lastModifiedBy>yt</cp:lastModifiedBy>
  <cp:lastPrinted>2026-10-15T19:51:00Z</cp:lastPrinted>
  <dcterms:modified xsi:type="dcterms:W3CDTF">2026-10-16T15:28:15Z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C40AC8F0DDC8D0A656AED06A5F4DB2A4</vt:lpwstr>
  </property>
  <property fmtid="{D5CDD505-2E9C-101B-9397-08002B2CF9AE}" pid="4" name="KSOTemplateDocerSaveRecord">
    <vt:lpwstr>eyJoZGlkIjoiZGI1MmRiNDQxZDcxNmRkYmE5YmU0NGE0MTkzOWJlOGUiLCJ1c2VySWQiOiIyNzAzNjAwMzQifQ==</vt:lpwstr>
  </property>
</Properties>
</file>