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2DF528">
      <w:pPr>
        <w:pStyle w:val="5"/>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560" w:lineRule="exact"/>
        <w:jc w:val="both"/>
        <w:textAlignment w:val="auto"/>
        <w:rPr>
          <w:rFonts w:hint="eastAsia" w:ascii="方正黑体_GBK" w:hAnsi="方正黑体_GBK" w:eastAsia="方正黑体_GBK" w:cs="方正黑体_GBK"/>
          <w:color w:val="000000" w:themeColor="text1"/>
          <w:sz w:val="32"/>
          <w:szCs w:val="32"/>
          <w:lang w:val="en-US" w:eastAsia="zh-CN"/>
          <w14:textFill>
            <w14:solidFill>
              <w14:schemeClr w14:val="tx1"/>
            </w14:solidFill>
          </w14:textFill>
        </w:rPr>
      </w:pPr>
      <w:r>
        <w:rPr>
          <w:rFonts w:hint="default" w:ascii="方正黑体_GBK" w:hAnsi="方正黑体_GBK" w:eastAsia="方正黑体_GBK" w:cs="方正黑体_GBK"/>
          <w:color w:val="000000" w:themeColor="text1"/>
          <w:sz w:val="32"/>
          <w:szCs w:val="32"/>
          <w:lang w:val="en-US" w:eastAsia="zh-CN"/>
          <w14:textFill>
            <w14:solidFill>
              <w14:schemeClr w14:val="tx1"/>
            </w14:solidFill>
          </w14:textFill>
        </w:rPr>
        <w:t>附件1</w:t>
      </w:r>
      <w:r>
        <w:rPr>
          <w:rFonts w:hint="eastAsia" w:ascii="方正黑体_GBK" w:hAnsi="方正黑体_GBK" w:eastAsia="方正黑体_GBK" w:cs="方正黑体_GBK"/>
          <w:color w:val="000000" w:themeColor="text1"/>
          <w:sz w:val="32"/>
          <w:szCs w:val="32"/>
          <w:lang w:val="en-US" w:eastAsia="zh-CN"/>
          <w14:textFill>
            <w14:solidFill>
              <w14:schemeClr w14:val="tx1"/>
            </w14:solidFill>
          </w14:textFill>
        </w:rPr>
        <w:t xml:space="preserve"> </w:t>
      </w:r>
    </w:p>
    <w:p w14:paraId="1DFDBAC4">
      <w:pPr>
        <w:pStyle w:val="5"/>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特殊家庭解释</w:t>
      </w:r>
    </w:p>
    <w:p w14:paraId="216D4C0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pPr>
    </w:p>
    <w:p w14:paraId="6B3D51E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根据《深圳市公共租赁住房管理办法》，</w:t>
      </w:r>
      <w:r>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 本</w:t>
      </w:r>
      <w:r>
        <w:rPr>
          <w:rFonts w:hint="eastAsia"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通告</w:t>
      </w:r>
      <w:r>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所称的特殊家庭包括：</w:t>
      </w:r>
    </w:p>
    <w:p w14:paraId="26F961D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　　（一）属现役军人、现役军人家属、残疾军人、退役军人、烈士遗属、因公牺牲军人遗属、病故军人遗属或者经本市退役军人部门认定为抚恤定补优抚对象的申请人</w:t>
      </w:r>
      <w:bookmarkStart w:id="0" w:name="_GoBack"/>
      <w:bookmarkEnd w:id="0"/>
      <w:r>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或者共同申请人；</w:t>
      </w:r>
    </w:p>
    <w:p w14:paraId="52D75AD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　　（二）经本市残疾人联合会认定为残疾人（含一、二、三、四级残疾人）的申请人或者共同申请人；</w:t>
      </w:r>
    </w:p>
    <w:p w14:paraId="2275E8E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　　（三）属因公殉职基层干部家属的申请人或者共同申请人；</w:t>
      </w:r>
    </w:p>
    <w:p w14:paraId="79972CC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　　（四）属消防救援人员或者烈士、因公牺牲、病故消防救援人员遗属的申请人或者共同申请人；</w:t>
      </w:r>
    </w:p>
    <w:p w14:paraId="733E2A3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　　（五）属社会福利机构集中供养的孤儿年满十八周岁且可以进行社会安置的申请人或者共同申请人；</w:t>
      </w:r>
    </w:p>
    <w:p w14:paraId="61B4E2E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　　（六）经本市卫生健康部门认定为计划生育特殊家庭的申请人或者共同申请人；</w:t>
      </w:r>
    </w:p>
    <w:p w14:paraId="6364DCE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　　（七）申请人及共同申请人均为六十周岁以上，或者申请人为六十周岁以上的单亲家庭、单身居民；</w:t>
      </w:r>
    </w:p>
    <w:p w14:paraId="3387252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　　（八）经国家、广东省人民政府或者深圳市、区人民政府认定为见义勇为人员的申请人或者共同申请人；</w:t>
      </w:r>
    </w:p>
    <w:p w14:paraId="74ACEF5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　　（九）属全国道德模范及提名获得者、广东省道德模范或者深圳市文明市民的申请人或者共同申请人；</w:t>
      </w:r>
    </w:p>
    <w:p w14:paraId="067147B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　　（十）经总工会认定为深圳市级以上劳动模范或者五一劳动奖章获得者的申请人或者共同申请人；</w:t>
      </w:r>
    </w:p>
    <w:p w14:paraId="741E750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　　（十一）经本市民政部门认定为支出型困难家庭的申请家庭或者单身居民；</w:t>
      </w:r>
    </w:p>
    <w:p w14:paraId="608F702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pPr>
      <w:r>
        <w:rPr>
          <w:rFonts w:hint="default"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t>　　（十二）经市人民政府认定的其他特殊家庭。</w:t>
      </w:r>
    </w:p>
    <w:p w14:paraId="629B905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文星简小标宋">
    <w:altName w:val="方正小标宋_GBK"/>
    <w:panose1 w:val="02010609000001010101"/>
    <w:charset w:val="00"/>
    <w:family w:val="modern"/>
    <w:pitch w:val="default"/>
    <w:sig w:usb0="00000000" w:usb1="00000000" w:usb2="00000010" w:usb3="00000000" w:csb0="00040000" w:csb1="00000000"/>
  </w:font>
  <w:font w:name="方正小标宋_GBK">
    <w:panose1 w:val="02000000000000000000"/>
    <w:charset w:val="86"/>
    <w:family w:val="auto"/>
    <w:pitch w:val="default"/>
    <w:sig w:usb0="00000001" w:usb1="08000000" w:usb2="00000000" w:usb3="00000000" w:csb0="00040000" w:csb1="00000000"/>
  </w:font>
  <w:font w:name="CESI宋体-GB2312">
    <w:panose1 w:val="02000500000000000000"/>
    <w:charset w:val="86"/>
    <w:family w:val="auto"/>
    <w:pitch w:val="default"/>
    <w:sig w:usb0="800002AF" w:usb1="08476CF8" w:usb2="00000010"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8B7B3F3"/>
    <w:rsid w:val="5CED2B2F"/>
    <w:rsid w:val="7FBF447A"/>
    <w:rsid w:val="E8B7B3F3"/>
    <w:rsid w:val="F5DB8430"/>
    <w:rsid w:val="FBCF66A5"/>
    <w:rsid w:val="FDFB1B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beforeLines="0" w:beforeAutospacing="0" w:afterLines="0" w:afterAutospacing="0" w:line="560" w:lineRule="exact"/>
      <w:ind w:leftChars="0" w:firstLine="883" w:firstLineChars="200"/>
      <w:outlineLvl w:val="0"/>
    </w:pPr>
    <w:rPr>
      <w:rFonts w:ascii="黑体" w:hAnsi="黑体" w:eastAsia="黑体" w:cs="Times New Roman"/>
      <w:kern w:val="44"/>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spacing w:after="120"/>
    </w:pPr>
  </w:style>
  <w:style w:type="paragraph" w:styleId="3">
    <w:name w:val="Body Text First Indent"/>
    <w:basedOn w:val="2"/>
    <w:qFormat/>
    <w:uiPriority w:val="0"/>
    <w:pPr>
      <w:ind w:firstLine="420" w:firstLineChars="100"/>
    </w:pPr>
    <w:rPr>
      <w:rFonts w:ascii="Calibri" w:hAnsi="Calibri" w:eastAsia="文星简小标宋" w:cs="Times New Roman"/>
      <w:sz w:val="44"/>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8">
    <w:name w:val="样式1"/>
    <w:basedOn w:val="5"/>
    <w:qFormat/>
    <w:uiPriority w:val="0"/>
    <w:pPr>
      <w:spacing w:after="0" w:line="560" w:lineRule="exact"/>
      <w:ind w:firstLine="883" w:firstLineChars="200"/>
    </w:pPr>
    <w:rPr>
      <w:rFonts w:ascii="CESI宋体-GB2312" w:hAnsi="CESI宋体-GB2312" w:eastAsia="宋体" w:cs="Times New Roman"/>
      <w:kern w:val="0"/>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2023-10-10T18:51:00Z</dcterms:created>
  <dc:creator>huawei</dc:creator>
  <cp:lastModifiedBy>yantian</cp:lastModifiedBy>
  <dcterms:modified xsi:type="dcterms:W3CDTF">2026-09-28T10:47:49Z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C8982BD2CD8434CC55D5B96A769DD9A9_42</vt:lpwstr>
  </property>
</Properties>
</file>