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ageBreakBefore w:val="0"/>
        <w:tabs>
          <w:tab w:val="left" w:pos="0"/>
          <w:tab w:val="left" w:pos="3165"/>
          <w:tab w:val="center" w:pos="4153"/>
        </w:tabs>
        <w:kinsoku/>
        <w:wordWrap/>
        <w:overflowPunct/>
        <w:topLinePunct w:val="0"/>
        <w:autoSpaceDE w:val="0"/>
        <w:autoSpaceDN w:val="0"/>
        <w:bidi w:val="0"/>
        <w:adjustRightInd w:val="0"/>
        <w:snapToGrid/>
        <w:spacing w:before="0" w:after="0"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自行采购公告</w:t>
      </w:r>
    </w:p>
    <w:p>
      <w:pPr>
        <w:rPr>
          <w:rFonts w:hint="eastAsia"/>
          <w:lang w:eastAsia="zh-CN"/>
        </w:rPr>
      </w:pP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ascii="黑体" w:hAnsi="黑体" w:cs="宋体"/>
          <w:b w:val="0"/>
          <w:color w:val="auto"/>
          <w:sz w:val="32"/>
          <w:szCs w:val="32"/>
        </w:rPr>
      </w:pPr>
      <w:r>
        <w:rPr>
          <w:rFonts w:hint="eastAsia" w:ascii="黑体" w:hAnsi="黑体" w:cs="宋体"/>
          <w:b w:val="0"/>
          <w:color w:val="auto"/>
          <w:sz w:val="32"/>
          <w:szCs w:val="32"/>
        </w:rPr>
        <w:t>一、项目基本情况</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项目名称：梅沙街道202</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年限额以下小型工程和零星作业巡查和监管服务项目</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预算金额</w:t>
      </w:r>
      <w:r>
        <w:rPr>
          <w:rFonts w:hint="eastAsia" w:ascii="仿宋_GB2312" w:hAnsi="仿宋_GB2312" w:eastAsia="仿宋_GB2312" w:cs="仿宋_GB2312"/>
          <w:color w:val="auto"/>
          <w:sz w:val="32"/>
          <w:szCs w:val="32"/>
          <w:lang w:eastAsia="zh-CN"/>
        </w:rPr>
        <w:t>（超出预算金额或最高限价的采购文件无效）</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000000"/>
          <w:sz w:val="32"/>
          <w:szCs w:val="32"/>
          <w:highlight w:val="none"/>
          <w:lang w:val="en-US" w:eastAsia="zh-CN"/>
        </w:rPr>
        <w:t>49.2万元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rPr>
        <w:t>采购需求：</w:t>
      </w:r>
      <w:r>
        <w:rPr>
          <w:rFonts w:hint="eastAsia" w:ascii="仿宋_GB2312" w:hAnsi="仿宋_GB2312" w:eastAsia="仿宋_GB2312" w:cs="仿宋_GB2312"/>
          <w:sz w:val="32"/>
          <w:szCs w:val="32"/>
          <w:lang w:eastAsia="zh-CN"/>
        </w:rPr>
        <w:t>协助街道开展</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工程和零星作业巡查和监管工作，</w:t>
      </w:r>
      <w:r>
        <w:rPr>
          <w:rFonts w:hint="eastAsia" w:ascii="仿宋_GB2312" w:hAnsi="仿宋_GB2312" w:eastAsia="仿宋_GB2312" w:cs="仿宋_GB2312"/>
          <w:b w:val="0"/>
          <w:bCs w:val="0"/>
          <w:sz w:val="32"/>
          <w:szCs w:val="32"/>
          <w:lang w:val="en-US" w:eastAsia="zh-CN"/>
        </w:rPr>
        <w:t>全面加强辖区</w:t>
      </w:r>
      <w:r>
        <w:rPr>
          <w:rFonts w:hint="default" w:ascii="仿宋_GB2312" w:hAnsi="仿宋_GB2312" w:eastAsia="仿宋_GB2312" w:cs="仿宋_GB2312"/>
          <w:b w:val="0"/>
          <w:bCs w:val="0"/>
          <w:sz w:val="32"/>
          <w:szCs w:val="32"/>
          <w:lang w:val="en-US" w:eastAsia="zh-CN"/>
        </w:rPr>
        <w:t>限额以下小型</w:t>
      </w:r>
      <w:r>
        <w:rPr>
          <w:rFonts w:hint="eastAsia" w:ascii="仿宋_GB2312" w:hAnsi="仿宋_GB2312" w:eastAsia="仿宋_GB2312" w:cs="仿宋_GB2312"/>
          <w:b w:val="0"/>
          <w:bCs w:val="0"/>
          <w:sz w:val="32"/>
          <w:szCs w:val="32"/>
          <w:lang w:val="en-US" w:eastAsia="zh-CN"/>
        </w:rPr>
        <w:t>工程和零星作业安全生产巡查监管力量</w:t>
      </w:r>
      <w:r>
        <w:rPr>
          <w:rFonts w:hint="eastAsia" w:ascii="仿宋_GB2312" w:hAnsi="仿宋_GB2312" w:eastAsia="仿宋_GB2312" w:cs="仿宋_GB2312"/>
          <w:sz w:val="32"/>
          <w:szCs w:val="32"/>
          <w:lang w:eastAsia="zh-CN"/>
        </w:rPr>
        <w:t>，保障人民群众的生命财产安全，项目主要服务内容包括：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供应商需提供一个5人以上（含</w:t>
      </w:r>
      <w:r>
        <w:rPr>
          <w:rFonts w:hint="eastAsia" w:ascii="仿宋_GB2312" w:hAnsi="仿宋_GB2312" w:eastAsia="仿宋_GB2312" w:cs="仿宋_GB2312"/>
          <w:sz w:val="32"/>
          <w:szCs w:val="32"/>
          <w:lang w:val="en-US" w:eastAsia="zh-CN"/>
        </w:rPr>
        <w:t>5人</w:t>
      </w:r>
      <w:r>
        <w:rPr>
          <w:rFonts w:hint="eastAsia" w:ascii="仿宋_GB2312" w:hAnsi="仿宋_GB2312" w:eastAsia="仿宋_GB2312" w:cs="仿宋_GB2312"/>
          <w:sz w:val="32"/>
          <w:szCs w:val="32"/>
          <w:lang w:eastAsia="zh-CN"/>
        </w:rPr>
        <w:t>）的</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工程和零星作业专职巡查和监督管理服务团队；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协助街道开展辖区内</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工程和零星作业日常安全巡查检查工作，对巡查过程中发现的问题及时向施工单位出具书面整改意见并跟踪督促落实，对巡查过程中发现的改建、扩建等违法行为及时向街道报告；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协助街道做好</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工程施工安全生产相关指引的执行落实工作，指导各社区、各相关部门开展</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工程和零星作业安全生产巡查；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协助街道对街道相关部门、社区</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工程和零星作业施工活动的安全生产监督管理进行业务指导、安全生产宣传教育；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协助街道建立完备的巡查台账、统计信息、检查记录、工作总结等资料，做好</w:t>
      </w:r>
      <w:r>
        <w:rPr>
          <w:rFonts w:hint="default" w:ascii="仿宋_GB2312" w:hAnsi="仿宋_GB2312" w:eastAsia="仿宋_GB2312" w:cs="仿宋_GB2312"/>
          <w:sz w:val="32"/>
          <w:szCs w:val="32"/>
          <w:lang w:val="en-US" w:eastAsia="zh-CN"/>
        </w:rPr>
        <w:t>限额以下小型</w:t>
      </w:r>
      <w:r>
        <w:rPr>
          <w:rFonts w:hint="eastAsia" w:ascii="仿宋_GB2312" w:hAnsi="仿宋_GB2312" w:eastAsia="仿宋_GB2312" w:cs="仿宋_GB2312"/>
          <w:sz w:val="32"/>
          <w:szCs w:val="32"/>
          <w:lang w:eastAsia="zh-CN"/>
        </w:rPr>
        <w:t>工程和零星作业资料档案的建立与管理工作；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配合街道和社区开展其他相关建设安全管理工作。</w:t>
      </w:r>
    </w:p>
    <w:p>
      <w:pPr>
        <w:pStyle w:val="2"/>
        <w:pageBreakBefore w:val="0"/>
        <w:kinsoku/>
        <w:wordWrap/>
        <w:overflowPunct/>
        <w:topLinePunct w:val="0"/>
        <w:autoSpaceDE/>
        <w:autoSpaceDN/>
        <w:bidi w:val="0"/>
        <w:adjustRightInd/>
        <w:snapToGrid/>
        <w:ind w:leftChars="0" w:firstLine="640" w:firstLineChars="200"/>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i w:val="0"/>
          <w:iCs w:val="0"/>
          <w:color w:val="auto"/>
          <w:sz w:val="32"/>
          <w:szCs w:val="32"/>
          <w:lang w:eastAsia="zh-CN"/>
        </w:rPr>
        <w:t>采购方式：</w:t>
      </w:r>
      <w:r>
        <w:rPr>
          <w:rFonts w:hint="eastAsia" w:ascii="仿宋_GB2312" w:hAnsi="仿宋_GB2312" w:eastAsia="仿宋_GB2312" w:cs="仿宋_GB2312"/>
          <w:sz w:val="32"/>
          <w:szCs w:val="32"/>
          <w:lang w:eastAsia="zh-CN"/>
        </w:rPr>
        <w:t>公开征集。</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合同履行期限：</w:t>
      </w:r>
      <w:r>
        <w:rPr>
          <w:rFonts w:hint="eastAsia" w:ascii="仿宋_GB2312" w:hAnsi="仿宋_GB2312" w:eastAsia="仿宋_GB2312" w:cs="仿宋_GB2312"/>
          <w:sz w:val="32"/>
          <w:szCs w:val="32"/>
          <w:lang w:val="en-US" w:eastAsia="zh-CN"/>
        </w:rPr>
        <w:t>2027年1月1日至2027年12月31日。</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w:t>
      </w:r>
      <w:r>
        <w:rPr>
          <w:rFonts w:hint="eastAsia" w:ascii="仿宋_GB2312" w:hAnsi="仿宋_GB2312" w:eastAsia="仿宋_GB2312" w:cs="仿宋_GB2312"/>
          <w:i w:val="0"/>
          <w:iCs w:val="0"/>
          <w:color w:val="auto"/>
          <w:sz w:val="32"/>
          <w:szCs w:val="32"/>
          <w:lang w:eastAsia="zh-CN"/>
        </w:rPr>
        <w:t>不</w:t>
      </w:r>
      <w:r>
        <w:rPr>
          <w:rFonts w:hint="eastAsia" w:ascii="仿宋_GB2312" w:hAnsi="仿宋_GB2312" w:eastAsia="仿宋_GB2312" w:cs="仿宋_GB2312"/>
          <w:color w:val="auto"/>
          <w:sz w:val="32"/>
          <w:szCs w:val="32"/>
        </w:rPr>
        <w:t>接受联合体投标。</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ascii="黑体" w:hAnsi="黑体" w:cs="宋体"/>
          <w:b w:val="0"/>
          <w:color w:val="auto"/>
          <w:sz w:val="32"/>
          <w:szCs w:val="32"/>
        </w:rPr>
      </w:pPr>
      <w:r>
        <w:rPr>
          <w:rFonts w:hint="eastAsia" w:ascii="黑体" w:hAnsi="黑体" w:cs="宋体"/>
          <w:b w:val="0"/>
          <w:color w:val="auto"/>
          <w:sz w:val="32"/>
          <w:szCs w:val="32"/>
        </w:rPr>
        <w:t>二、</w:t>
      </w:r>
      <w:r>
        <w:rPr>
          <w:rFonts w:hint="eastAsia" w:ascii="黑体" w:hAnsi="黑体" w:cs="宋体"/>
          <w:b w:val="0"/>
          <w:color w:val="auto"/>
          <w:sz w:val="32"/>
          <w:szCs w:val="32"/>
          <w:lang w:eastAsia="zh-CN"/>
        </w:rPr>
        <w:t>供应商</w:t>
      </w:r>
      <w:r>
        <w:rPr>
          <w:rFonts w:hint="eastAsia" w:ascii="黑体" w:hAnsi="黑体" w:cs="宋体"/>
          <w:b w:val="0"/>
          <w:color w:val="auto"/>
          <w:sz w:val="32"/>
          <w:szCs w:val="32"/>
        </w:rPr>
        <w:t>的资格要求</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（一）</w:t>
      </w:r>
      <w:r>
        <w:rPr>
          <w:rFonts w:hint="eastAsia" w:ascii="仿宋_GB2312" w:hAnsi="仿宋_GB2312" w:eastAsia="仿宋_GB2312" w:cs="仿宋_GB2312"/>
          <w:color w:val="000000"/>
          <w:sz w:val="32"/>
          <w:szCs w:val="32"/>
          <w:highlight w:val="none"/>
        </w:rPr>
        <w:t>符合《中华人民共和国政府采购法》第二十二条规定的资质要求</w:t>
      </w:r>
      <w:r>
        <w:rPr>
          <w:rFonts w:hint="eastAsia" w:ascii="仿宋_GB2312" w:hAnsi="仿宋_GB2312" w:eastAsia="仿宋_GB2312" w:cs="仿宋_GB2312"/>
          <w:color w:val="000000"/>
          <w:sz w:val="32"/>
          <w:szCs w:val="32"/>
          <w:highlight w:val="none"/>
          <w:lang w:val="en-US" w:eastAsia="zh-CN"/>
        </w:rPr>
        <w:t>（由供应商作出承诺声明）</w:t>
      </w:r>
      <w:r>
        <w:rPr>
          <w:rFonts w:hint="eastAsia" w:ascii="仿宋_GB2312" w:hAnsi="仿宋_GB2312" w:eastAsia="仿宋_GB2312" w:cs="仿宋_GB2312"/>
          <w:color w:val="000000"/>
          <w:sz w:val="32"/>
          <w:szCs w:val="32"/>
          <w:highlight w:val="none"/>
        </w:rPr>
        <w:t>；</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kern w:val="2"/>
          <w:sz w:val="32"/>
          <w:szCs w:val="2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二）具有独立法人资格或具有独立承担民事责任的能力（提供营业执照或事业单位法人证等法人证明扫描件，原件备查；分支机构参与投标的，须同时提供总公司授权文件且授权书载明其民事责任由总公司承担）；</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三</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参与本项目政府采购活动时不存在被有关部门禁止参与政府采购活动且在有效期内的情况（由供应商作出承诺声明）；</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（四）未被列入失信被执行人、重大税收违法案件当事人名单、政府采购严重违法失信行为记录名单（由供应商作出承诺声明）；</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（五）不存在《深圳市财政局政府采购供应商信用信息管理办法》（深财规〔2023〕3号）列明的严重违法失信行为（由供应商作出承诺声明）；</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highlight w:val="none"/>
          <w:lang w:val="en-US" w:eastAsia="zh-CN"/>
        </w:rPr>
        <w:t>（六）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作出承诺声明）。</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hint="eastAsia" w:ascii="黑体" w:hAnsi="黑体" w:cs="宋体"/>
          <w:b w:val="0"/>
          <w:color w:val="auto"/>
          <w:sz w:val="32"/>
          <w:szCs w:val="32"/>
          <w:lang w:eastAsia="zh-CN"/>
        </w:rPr>
      </w:pPr>
      <w:r>
        <w:rPr>
          <w:rFonts w:hint="eastAsia" w:ascii="黑体" w:hAnsi="黑体" w:cs="宋体"/>
          <w:b w:val="0"/>
          <w:color w:val="auto"/>
          <w:sz w:val="32"/>
          <w:szCs w:val="32"/>
          <w:lang w:eastAsia="zh-CN"/>
        </w:rPr>
        <w:t>三、供应商提供采购文件主要内容</w:t>
      </w:r>
      <w:r>
        <w:rPr>
          <w:rFonts w:hint="eastAsia" w:ascii="黑体" w:hAnsi="黑体" w:eastAsia="黑体" w:cs="黑体"/>
          <w:b w:val="0"/>
          <w:color w:val="auto"/>
          <w:sz w:val="32"/>
          <w:szCs w:val="32"/>
          <w:lang w:eastAsia="zh-CN"/>
        </w:rPr>
        <w:t>（需盖公章）</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sz w:val="32"/>
          <w:szCs w:val="32"/>
          <w:highlight w:val="none"/>
          <w:lang w:eastAsia="zh-CN"/>
        </w:rPr>
      </w:pPr>
      <w:r>
        <w:rPr>
          <w:rFonts w:hint="eastAsia" w:ascii="仿宋_GB2312" w:hAnsi="仿宋_GB2312" w:eastAsia="仿宋_GB2312" w:cs="仿宋_GB2312"/>
          <w:b w:val="0"/>
          <w:color w:val="000000"/>
          <w:sz w:val="32"/>
          <w:szCs w:val="32"/>
          <w:highlight w:val="none"/>
          <w:lang w:eastAsia="zh-CN"/>
        </w:rPr>
        <w:t>（一）采购方案（含供应商基本情况介绍、履行采购项目的工作方式、内容及费用明细等）</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sz w:val="32"/>
          <w:szCs w:val="32"/>
          <w:highlight w:val="none"/>
          <w:lang w:eastAsia="zh-CN"/>
        </w:rPr>
      </w:pPr>
      <w:r>
        <w:rPr>
          <w:rFonts w:hint="eastAsia" w:ascii="仿宋_GB2312" w:hAnsi="仿宋_GB2312" w:eastAsia="仿宋_GB2312" w:cs="仿宋_GB2312"/>
          <w:b w:val="0"/>
          <w:color w:val="000000"/>
          <w:sz w:val="32"/>
          <w:szCs w:val="32"/>
          <w:highlight w:val="none"/>
          <w:lang w:eastAsia="zh-CN"/>
        </w:rPr>
        <w:t>（二）供应商资质证明材料及联系方式</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val="0"/>
          <w:color w:val="000000"/>
          <w:kern w:val="2"/>
          <w:sz w:val="32"/>
          <w:szCs w:val="32"/>
          <w:highlight w:val="none"/>
          <w:lang w:val="en-US" w:eastAsia="zh-CN" w:bidi="ar-SA"/>
        </w:rPr>
        <w:t>（三）公司法定代表人的身份证复印件</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val="0"/>
          <w:color w:val="000000"/>
          <w:kern w:val="2"/>
          <w:sz w:val="32"/>
          <w:szCs w:val="32"/>
          <w:highlight w:val="none"/>
          <w:lang w:val="en-US" w:eastAsia="zh-CN" w:bidi="ar-SA"/>
        </w:rPr>
        <w:t>（四）法定代表人授权委托书</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val="0"/>
          <w:color w:val="000000"/>
          <w:kern w:val="2"/>
          <w:sz w:val="32"/>
          <w:szCs w:val="32"/>
          <w:highlight w:val="none"/>
          <w:lang w:val="en-US" w:eastAsia="zh-CN" w:bidi="ar-SA"/>
        </w:rPr>
        <w:t>（五）符合资质要求的承诺函</w:t>
      </w:r>
    </w:p>
    <w:p>
      <w:pPr>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val="0"/>
          <w:color w:val="000000"/>
          <w:kern w:val="2"/>
          <w:sz w:val="32"/>
          <w:szCs w:val="32"/>
          <w:highlight w:val="none"/>
          <w:lang w:val="en-US" w:eastAsia="zh-CN" w:bidi="ar-SA"/>
        </w:rPr>
        <w:t>（六）符合项目服务要求的证明材料等</w:t>
      </w:r>
    </w:p>
    <w:p>
      <w:pPr>
        <w:pStyle w:val="2"/>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lang w:eastAsia="zh-CN"/>
        </w:rPr>
      </w:pPr>
      <w:r>
        <w:rPr>
          <w:rFonts w:hint="eastAsia" w:ascii="仿宋_GB2312" w:hAnsi="仿宋_GB2312" w:eastAsia="仿宋_GB2312" w:cs="仿宋_GB2312"/>
          <w:b w:val="0"/>
          <w:color w:val="000000"/>
          <w:kern w:val="2"/>
          <w:sz w:val="32"/>
          <w:szCs w:val="32"/>
          <w:highlight w:val="none"/>
          <w:lang w:val="en-US" w:eastAsia="zh-CN" w:bidi="ar-SA"/>
        </w:rPr>
        <w:t>（七）供应商基本情况信息表（详见附件）</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hint="default" w:ascii="黑体" w:hAnsi="黑体" w:cs="宋体"/>
          <w:b w:val="0"/>
          <w:color w:val="auto"/>
          <w:sz w:val="32"/>
          <w:szCs w:val="32"/>
          <w:lang w:val="en-US" w:eastAsia="zh-CN"/>
        </w:rPr>
      </w:pPr>
      <w:r>
        <w:rPr>
          <w:rFonts w:hint="eastAsia" w:ascii="黑体" w:hAnsi="黑体" w:cs="宋体"/>
          <w:b w:val="0"/>
          <w:color w:val="auto"/>
          <w:sz w:val="32"/>
          <w:szCs w:val="32"/>
          <w:lang w:eastAsia="zh-CN"/>
        </w:rPr>
        <w:t>四、评定方式</w:t>
      </w:r>
      <w:r>
        <w:rPr>
          <w:rFonts w:hint="eastAsia" w:ascii="黑体" w:hAnsi="黑体" w:cs="宋体"/>
          <w:b w:val="0"/>
          <w:color w:val="auto"/>
          <w:sz w:val="32"/>
          <w:szCs w:val="32"/>
          <w:lang w:val="en-US" w:eastAsia="zh-CN"/>
        </w:rPr>
        <w:t>:</w:t>
      </w:r>
      <w:r>
        <w:rPr>
          <w:rFonts w:hint="eastAsia" w:ascii="仿宋_GB2312" w:hAnsi="仿宋_GB2312" w:eastAsia="仿宋_GB2312" w:cs="仿宋_GB2312"/>
          <w:b w:val="0"/>
          <w:bCs w:val="0"/>
          <w:color w:val="000000"/>
          <w:kern w:val="2"/>
          <w:sz w:val="32"/>
          <w:szCs w:val="32"/>
          <w:highlight w:val="none"/>
          <w:lang w:val="en-US" w:eastAsia="zh-CN" w:bidi="ar-SA"/>
        </w:rPr>
        <w:t>本项目采用公开征集方式采购，定标方法采用综合评分法，综合考虑价格、项目实施方案、项目重点难点分析及应对措施、项目负责人和团队成员的学历、经验，公司同类项目业绩、资质、诚信情况等因素。</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ascii="黑体" w:hAnsi="黑体" w:cs="宋体"/>
          <w:b w:val="0"/>
          <w:color w:val="auto"/>
          <w:sz w:val="32"/>
          <w:szCs w:val="32"/>
        </w:rPr>
      </w:pPr>
      <w:r>
        <w:rPr>
          <w:rFonts w:hint="eastAsia" w:ascii="黑体" w:hAnsi="黑体" w:cs="宋体"/>
          <w:b w:val="0"/>
          <w:color w:val="auto"/>
          <w:sz w:val="32"/>
          <w:szCs w:val="32"/>
          <w:lang w:eastAsia="zh-CN"/>
        </w:rPr>
        <w:t>五</w:t>
      </w:r>
      <w:r>
        <w:rPr>
          <w:rFonts w:hint="eastAsia" w:ascii="黑体" w:hAnsi="黑体" w:cs="宋体"/>
          <w:b w:val="0"/>
          <w:color w:val="auto"/>
          <w:sz w:val="32"/>
          <w:szCs w:val="32"/>
        </w:rPr>
        <w:t>、公告期限</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auto"/>
          <w:sz w:val="32"/>
          <w:szCs w:val="32"/>
          <w:lang w:eastAsia="zh-CN"/>
        </w:rPr>
      </w:pPr>
      <w:r>
        <w:rPr>
          <w:rFonts w:hint="eastAsia" w:ascii="仿宋_GB2312" w:hAnsi="仿宋_GB2312" w:eastAsia="仿宋_GB2312" w:cs="仿宋_GB2312"/>
          <w:color w:val="auto"/>
          <w:sz w:val="32"/>
          <w:szCs w:val="32"/>
          <w:lang w:val="en-US" w:eastAsia="zh-CN"/>
        </w:rPr>
        <w:t>2026年10月28日至2026年11月2日。</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ascii="黑体" w:hAnsi="黑体" w:cs="宋体"/>
          <w:b w:val="0"/>
          <w:color w:val="auto"/>
          <w:sz w:val="32"/>
          <w:szCs w:val="32"/>
        </w:rPr>
      </w:pPr>
      <w:r>
        <w:rPr>
          <w:rFonts w:hint="eastAsia" w:ascii="黑体" w:hAnsi="黑体" w:cs="宋体"/>
          <w:b w:val="0"/>
          <w:color w:val="auto"/>
          <w:sz w:val="32"/>
          <w:szCs w:val="32"/>
          <w:lang w:eastAsia="zh-CN"/>
        </w:rPr>
        <w:t>六</w:t>
      </w:r>
      <w:r>
        <w:rPr>
          <w:rFonts w:hint="eastAsia" w:ascii="黑体" w:hAnsi="黑体" w:cs="宋体"/>
          <w:b w:val="0"/>
          <w:color w:val="auto"/>
          <w:sz w:val="32"/>
          <w:szCs w:val="32"/>
        </w:rPr>
        <w:t>、</w:t>
      </w:r>
      <w:r>
        <w:rPr>
          <w:rFonts w:hint="eastAsia" w:ascii="黑体" w:hAnsi="黑体" w:cs="宋体"/>
          <w:b w:val="0"/>
          <w:color w:val="auto"/>
          <w:sz w:val="32"/>
          <w:szCs w:val="32"/>
          <w:lang w:eastAsia="zh-CN"/>
        </w:rPr>
        <w:t>供应商</w:t>
      </w:r>
      <w:r>
        <w:rPr>
          <w:rFonts w:hint="eastAsia" w:ascii="黑体" w:hAnsi="黑体" w:cs="宋体"/>
          <w:b w:val="0"/>
          <w:color w:val="auto"/>
          <w:sz w:val="32"/>
          <w:szCs w:val="32"/>
        </w:rPr>
        <w:t>提交</w:t>
      </w:r>
      <w:r>
        <w:rPr>
          <w:rFonts w:hint="eastAsia" w:ascii="黑体" w:hAnsi="黑体" w:cs="宋体"/>
          <w:b w:val="0"/>
          <w:color w:val="auto"/>
          <w:sz w:val="32"/>
          <w:szCs w:val="32"/>
          <w:lang w:eastAsia="zh-CN"/>
        </w:rPr>
        <w:t>采购</w:t>
      </w:r>
      <w:r>
        <w:rPr>
          <w:rFonts w:hint="eastAsia" w:ascii="黑体" w:hAnsi="黑体" w:cs="宋体"/>
          <w:b w:val="0"/>
          <w:color w:val="auto"/>
          <w:sz w:val="32"/>
          <w:szCs w:val="32"/>
        </w:rPr>
        <w:t>文件截止时间、</w:t>
      </w:r>
      <w:r>
        <w:rPr>
          <w:rFonts w:hint="eastAsia" w:ascii="黑体" w:hAnsi="黑体" w:cs="宋体"/>
          <w:b w:val="0"/>
          <w:color w:val="auto"/>
          <w:sz w:val="32"/>
          <w:szCs w:val="32"/>
          <w:lang w:eastAsia="zh-CN"/>
        </w:rPr>
        <w:t>评审</w:t>
      </w:r>
      <w:r>
        <w:rPr>
          <w:rFonts w:hint="eastAsia" w:ascii="黑体" w:hAnsi="黑体" w:cs="宋体"/>
          <w:b w:val="0"/>
          <w:color w:val="auto"/>
          <w:sz w:val="32"/>
          <w:szCs w:val="32"/>
        </w:rPr>
        <w:t>时间和地点</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1.提交采购文件截止时间：2026年11月2日18</w:t>
      </w:r>
      <w:r>
        <w:rPr>
          <w:rFonts w:hint="eastAsia" w:ascii="仿宋_GB2312" w:hAnsi="仿宋_GB2312" w:eastAsia="仿宋_GB2312" w:cs="仿宋_GB2312"/>
          <w:color w:val="000000"/>
          <w:sz w:val="32"/>
          <w:szCs w:val="32"/>
          <w:highlight w:val="none"/>
          <w:lang w:val="en-US" w:eastAsia="zh-CN"/>
        </w:rPr>
        <w:t>点</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000000"/>
          <w:sz w:val="32"/>
          <w:szCs w:val="32"/>
          <w:highlight w:val="none"/>
          <w:lang w:val="en-US" w:eastAsia="zh-CN"/>
        </w:rPr>
        <w:t>分（北京时间）</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2.采购文件提交方式：</w:t>
      </w:r>
      <w:r>
        <w:rPr>
          <w:rFonts w:hint="eastAsia" w:ascii="仿宋_GB2312" w:hAnsi="仿宋_GB2312" w:eastAsia="仿宋_GB2312" w:cs="仿宋_GB2312"/>
          <w:color w:val="auto"/>
          <w:sz w:val="32"/>
          <w:szCs w:val="32"/>
          <w:highlight w:val="none"/>
          <w:lang w:val="en-US" w:eastAsia="zh-CN"/>
        </w:rPr>
        <w:t>电子版文件（</w:t>
      </w:r>
      <w:r>
        <w:rPr>
          <w:rFonts w:hint="eastAsia" w:ascii="仿宋_GB2312" w:hAnsi="仿宋_GB2312" w:eastAsia="仿宋_GB2312" w:cs="仿宋_GB2312"/>
          <w:color w:val="000000"/>
          <w:sz w:val="32"/>
          <w:szCs w:val="32"/>
          <w:highlight w:val="none"/>
          <w:lang w:val="en-US" w:eastAsia="zh-CN"/>
        </w:rPr>
        <w:t>加盖公章的扫描件）发送至msjdyjglbgs@163.com，纸质版文件（加盖公章，密封并在封口</w:t>
      </w:r>
      <w:bookmarkStart w:id="0" w:name="_GoBack"/>
      <w:bookmarkEnd w:id="0"/>
      <w:r>
        <w:rPr>
          <w:rFonts w:hint="eastAsia" w:ascii="仿宋_GB2312" w:hAnsi="仿宋_GB2312" w:eastAsia="仿宋_GB2312" w:cs="仿宋_GB2312"/>
          <w:color w:val="000000"/>
          <w:sz w:val="32"/>
          <w:szCs w:val="32"/>
          <w:highlight w:val="none"/>
          <w:lang w:val="en-US" w:eastAsia="zh-CN"/>
        </w:rPr>
        <w:t>处加盖公章）邮寄或送至深圳市盐田区盐梅路88号梅沙街道办事处1楼应急指挥中心（收件人：李工；联系电话：0755-25060828）。</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color w:val="auto"/>
          <w:sz w:val="32"/>
          <w:szCs w:val="32"/>
          <w:lang w:eastAsia="zh-CN"/>
        </w:rPr>
      </w:pPr>
      <w:r>
        <w:rPr>
          <w:rFonts w:hint="eastAsia" w:ascii="仿宋_GB2312" w:hAnsi="仿宋_GB2312" w:eastAsia="仿宋_GB2312" w:cs="仿宋_GB2312"/>
          <w:color w:val="auto"/>
          <w:sz w:val="32"/>
          <w:szCs w:val="32"/>
          <w:lang w:val="en-US" w:eastAsia="zh-CN"/>
        </w:rPr>
        <w:t>3.采购评审时间和地点：定于2026年11月3日10点30分（北京时间）在</w:t>
      </w:r>
      <w:r>
        <w:rPr>
          <w:rFonts w:hint="eastAsia" w:ascii="仿宋_GB2312" w:hAnsi="仿宋_GB2312" w:eastAsia="仿宋_GB2312" w:cs="仿宋_GB2312"/>
          <w:color w:val="000000"/>
          <w:sz w:val="32"/>
          <w:szCs w:val="32"/>
          <w:highlight w:val="none"/>
          <w:lang w:val="en-US" w:eastAsia="zh-CN"/>
        </w:rPr>
        <w:t>梅沙街道办事处1楼应急指挥中心</w:t>
      </w:r>
      <w:r>
        <w:rPr>
          <w:rFonts w:hint="eastAsia" w:ascii="仿宋_GB2312" w:hAnsi="仿宋_GB2312" w:eastAsia="仿宋_GB2312" w:cs="仿宋_GB2312"/>
          <w:color w:val="auto"/>
          <w:sz w:val="32"/>
          <w:szCs w:val="32"/>
          <w:lang w:val="en-US" w:eastAsia="zh-CN"/>
        </w:rPr>
        <w:t>进行项目评审。</w:t>
      </w:r>
    </w:p>
    <w:p>
      <w:pPr>
        <w:pStyle w:val="5"/>
        <w:pageBreakBefore w:val="0"/>
        <w:kinsoku/>
        <w:wordWrap/>
        <w:overflowPunct/>
        <w:topLinePunct w:val="0"/>
        <w:autoSpaceDE/>
        <w:autoSpaceDN/>
        <w:bidi w:val="0"/>
        <w:adjustRightInd/>
        <w:snapToGrid/>
        <w:spacing w:before="0" w:after="0" w:line="560" w:lineRule="exact"/>
        <w:ind w:left="0" w:leftChars="0" w:firstLine="640" w:firstLineChars="200"/>
        <w:jc w:val="both"/>
        <w:textAlignment w:val="auto"/>
        <w:rPr>
          <w:rFonts w:ascii="黑体" w:hAnsi="黑体" w:cs="宋体"/>
          <w:b w:val="0"/>
          <w:color w:val="auto"/>
          <w:sz w:val="32"/>
          <w:szCs w:val="32"/>
        </w:rPr>
      </w:pPr>
      <w:r>
        <w:rPr>
          <w:rFonts w:hint="eastAsia" w:ascii="黑体" w:hAnsi="黑体" w:cs="宋体"/>
          <w:b w:val="0"/>
          <w:color w:val="auto"/>
          <w:sz w:val="32"/>
          <w:szCs w:val="32"/>
          <w:lang w:eastAsia="zh-CN"/>
        </w:rPr>
        <w:t>七</w:t>
      </w:r>
      <w:r>
        <w:rPr>
          <w:rFonts w:hint="eastAsia" w:ascii="黑体" w:hAnsi="黑体" w:cs="宋体"/>
          <w:b w:val="0"/>
          <w:color w:val="auto"/>
          <w:sz w:val="32"/>
          <w:szCs w:val="32"/>
        </w:rPr>
        <w:t>、</w:t>
      </w:r>
      <w:r>
        <w:rPr>
          <w:rFonts w:hint="eastAsia" w:ascii="黑体" w:hAnsi="黑体" w:eastAsia="黑体" w:cs="宋体"/>
          <w:b w:val="0"/>
          <w:bCs/>
          <w:color w:val="auto"/>
          <w:kern w:val="2"/>
          <w:sz w:val="32"/>
          <w:szCs w:val="32"/>
          <w:lang w:val="en-US" w:eastAsia="zh-CN" w:bidi="ar-SA"/>
        </w:rPr>
        <w:t>如对本次公示内容有异议，请按以下方式联系</w:t>
      </w:r>
      <w:r>
        <w:rPr>
          <w:rFonts w:hint="eastAsia" w:ascii="黑体" w:hAnsi="黑体" w:cs="宋体"/>
          <w:b w:val="0"/>
          <w:color w:val="auto"/>
          <w:sz w:val="32"/>
          <w:szCs w:val="32"/>
          <w:lang w:eastAsia="zh-CN"/>
        </w:rPr>
        <w:t>。</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联系人</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u w:val="single"/>
        </w:rPr>
        <w:t>　</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u w:val="single"/>
        </w:rPr>
        <w:t>　</w:t>
      </w:r>
      <w:r>
        <w:rPr>
          <w:rFonts w:hint="eastAsia" w:ascii="仿宋_GB2312" w:hAnsi="仿宋_GB2312" w:eastAsia="仿宋_GB2312" w:cs="仿宋_GB2312"/>
          <w:color w:val="000000"/>
          <w:sz w:val="32"/>
          <w:szCs w:val="32"/>
          <w:highlight w:val="none"/>
          <w:u w:val="single"/>
          <w:lang w:eastAsia="zh-CN"/>
        </w:rPr>
        <w:t>李工</w:t>
      </w:r>
      <w:r>
        <w:rPr>
          <w:rFonts w:hint="eastAsia" w:ascii="仿宋_GB2312" w:hAnsi="仿宋_GB2312" w:eastAsia="仿宋_GB2312" w:cs="仿宋_GB2312"/>
          <w:color w:val="000000"/>
          <w:sz w:val="32"/>
          <w:szCs w:val="32"/>
          <w:highlight w:val="none"/>
          <w:u w:val="single"/>
          <w:lang w:val="en-US" w:eastAsia="zh-CN"/>
        </w:rPr>
        <w:t xml:space="preserve">   </w:t>
      </w:r>
      <w:r>
        <w:rPr>
          <w:rFonts w:hint="eastAsia" w:ascii="仿宋_GB2312" w:hAnsi="仿宋_GB2312" w:eastAsia="仿宋_GB2312" w:cs="仿宋_GB2312"/>
          <w:color w:val="000000"/>
          <w:sz w:val="32"/>
          <w:szCs w:val="32"/>
          <w:highlight w:val="none"/>
          <w:u w:val="single"/>
        </w:rPr>
        <w:t>　　　</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u w:val="single"/>
          <w:lang w:val="en-US" w:eastAsia="zh-CN"/>
        </w:rPr>
      </w:pPr>
      <w:r>
        <w:rPr>
          <w:rFonts w:hint="eastAsia" w:ascii="仿宋_GB2312" w:hAnsi="仿宋_GB2312" w:eastAsia="仿宋_GB2312" w:cs="仿宋_GB2312"/>
          <w:color w:val="000000"/>
          <w:sz w:val="32"/>
          <w:szCs w:val="32"/>
          <w:highlight w:val="none"/>
        </w:rPr>
        <w:t>联系方式：</w:t>
      </w:r>
      <w:r>
        <w:rPr>
          <w:rFonts w:hint="eastAsia" w:ascii="仿宋_GB2312" w:hAnsi="仿宋_GB2312" w:eastAsia="仿宋_GB2312" w:cs="仿宋_GB2312"/>
          <w:color w:val="000000"/>
          <w:sz w:val="32"/>
          <w:szCs w:val="32"/>
          <w:highlight w:val="none"/>
          <w:u w:val="single"/>
        </w:rPr>
        <w:t>　</w:t>
      </w:r>
      <w:r>
        <w:rPr>
          <w:rFonts w:hint="eastAsia" w:ascii="仿宋_GB2312" w:hAnsi="仿宋_GB2312" w:eastAsia="仿宋_GB2312" w:cs="仿宋_GB2312"/>
          <w:color w:val="000000"/>
          <w:sz w:val="32"/>
          <w:szCs w:val="32"/>
          <w:highlight w:val="none"/>
          <w:u w:val="single"/>
          <w:lang w:val="en-US" w:eastAsia="zh-CN"/>
        </w:rPr>
        <w:t>0755-25060828</w:t>
      </w:r>
      <w:r>
        <w:rPr>
          <w:rFonts w:hint="eastAsia" w:ascii="仿宋_GB2312" w:hAnsi="仿宋_GB2312" w:eastAsia="仿宋_GB2312" w:cs="仿宋_GB2312"/>
          <w:color w:val="000000"/>
          <w:sz w:val="32"/>
          <w:szCs w:val="32"/>
          <w:highlight w:val="none"/>
          <w:u w:val="single"/>
        </w:rPr>
        <w:t>　　　</w:t>
      </w:r>
      <w:r>
        <w:rPr>
          <w:rFonts w:hint="eastAsia" w:ascii="仿宋_GB2312" w:hAnsi="仿宋_GB2312" w:eastAsia="仿宋_GB2312" w:cs="仿宋_GB2312"/>
          <w:color w:val="000000"/>
          <w:sz w:val="32"/>
          <w:szCs w:val="32"/>
          <w:highlight w:val="none"/>
          <w:u w:val="single"/>
          <w:lang w:val="en-US" w:eastAsia="zh-CN"/>
        </w:rPr>
        <w:t xml:space="preserve"> </w:t>
      </w:r>
    </w:p>
    <w:p>
      <w:pPr>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地　址：</w:t>
      </w:r>
      <w:r>
        <w:rPr>
          <w:rFonts w:hint="eastAsia" w:ascii="仿宋_GB2312" w:hAnsi="仿宋_GB2312" w:eastAsia="仿宋_GB2312" w:cs="仿宋_GB2312"/>
          <w:color w:val="000000"/>
          <w:sz w:val="32"/>
          <w:szCs w:val="32"/>
          <w:highlight w:val="none"/>
          <w:u w:val="single"/>
          <w:lang w:eastAsia="zh-CN"/>
        </w:rPr>
        <w:t>深圳市盐田区盐梅路</w:t>
      </w:r>
      <w:r>
        <w:rPr>
          <w:rFonts w:hint="eastAsia" w:ascii="仿宋_GB2312" w:hAnsi="仿宋_GB2312" w:eastAsia="仿宋_GB2312" w:cs="仿宋_GB2312"/>
          <w:color w:val="000000"/>
          <w:sz w:val="32"/>
          <w:szCs w:val="32"/>
          <w:highlight w:val="none"/>
          <w:u w:val="single"/>
          <w:lang w:val="en-US" w:eastAsia="zh-CN"/>
        </w:rPr>
        <w:t>88号</w:t>
      </w:r>
      <w:r>
        <w:rPr>
          <w:rFonts w:hint="eastAsia" w:ascii="仿宋_GB2312" w:hAnsi="仿宋_GB2312" w:eastAsia="仿宋_GB2312" w:cs="仿宋_GB2312"/>
          <w:color w:val="000000"/>
          <w:sz w:val="32"/>
          <w:szCs w:val="32"/>
          <w:highlight w:val="none"/>
          <w:u w:val="single"/>
          <w:lang w:eastAsia="zh-CN"/>
        </w:rPr>
        <w:t>梅沙街道办事处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黑体" w:hAnsi="黑体" w:eastAsia="黑体" w:cs="黑体"/>
          <w:color w:val="auto"/>
          <w:sz w:val="32"/>
          <w:szCs w:val="32"/>
          <w:u w:val="none"/>
          <w:lang w:eastAsia="zh-CN"/>
        </w:rPr>
      </w:pPr>
      <w:r>
        <w:rPr>
          <w:rFonts w:hint="eastAsia" w:ascii="黑体" w:hAnsi="黑体" w:eastAsia="黑体" w:cs="黑体"/>
          <w:color w:val="auto"/>
          <w:sz w:val="32"/>
          <w:szCs w:val="32"/>
          <w:u w:val="none"/>
          <w:lang w:eastAsia="zh-CN"/>
        </w:rPr>
        <w:t>八、评审评分规则</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6729"/>
        <w:gridCol w:w="467"/>
        <w:gridCol w:w="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b/>
                <w:bCs/>
                <w:color w:val="000000"/>
                <w:sz w:val="21"/>
                <w:szCs w:val="21"/>
                <w:highlight w:val="none"/>
                <w:vertAlign w:val="baseline"/>
                <w:lang w:eastAsia="zh-CN"/>
              </w:rPr>
            </w:pPr>
            <w:r>
              <w:rPr>
                <w:rFonts w:hint="eastAsia" w:ascii="仿宋_GB2312" w:hAnsi="仿宋_GB2312" w:eastAsia="仿宋_GB2312" w:cs="仿宋_GB2312"/>
                <w:b/>
                <w:bCs/>
                <w:color w:val="000000"/>
                <w:sz w:val="21"/>
                <w:szCs w:val="21"/>
                <w:highlight w:val="none"/>
                <w:vertAlign w:val="baseline"/>
                <w:lang w:eastAsia="zh-CN"/>
              </w:rPr>
              <w:t>评分因素</w:t>
            </w:r>
          </w:p>
        </w:tc>
        <w:tc>
          <w:tcPr>
            <w:tcW w:w="672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b/>
                <w:bCs/>
                <w:color w:val="000000"/>
                <w:sz w:val="21"/>
                <w:szCs w:val="21"/>
                <w:highlight w:val="none"/>
                <w:vertAlign w:val="baseline"/>
                <w:lang w:eastAsia="zh-CN"/>
              </w:rPr>
            </w:pPr>
            <w:r>
              <w:rPr>
                <w:rFonts w:hint="eastAsia" w:ascii="仿宋_GB2312" w:hAnsi="仿宋_GB2312" w:eastAsia="仿宋_GB2312" w:cs="仿宋_GB2312"/>
                <w:b/>
                <w:bCs/>
                <w:color w:val="000000"/>
                <w:sz w:val="21"/>
                <w:szCs w:val="21"/>
                <w:highlight w:val="none"/>
                <w:vertAlign w:val="baseline"/>
                <w:lang w:eastAsia="zh-CN"/>
              </w:rPr>
              <w:t>评分规则</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b/>
                <w:bCs/>
                <w:color w:val="000000"/>
                <w:sz w:val="21"/>
                <w:szCs w:val="21"/>
                <w:highlight w:val="none"/>
                <w:vertAlign w:val="baseline"/>
                <w:lang w:eastAsia="zh-CN"/>
              </w:rPr>
            </w:pPr>
            <w:r>
              <w:rPr>
                <w:rFonts w:hint="eastAsia" w:ascii="仿宋_GB2312" w:hAnsi="仿宋_GB2312" w:eastAsia="仿宋_GB2312" w:cs="仿宋_GB2312"/>
                <w:b/>
                <w:bCs/>
                <w:color w:val="000000"/>
                <w:sz w:val="21"/>
                <w:szCs w:val="21"/>
                <w:highlight w:val="none"/>
                <w:vertAlign w:val="baseline"/>
                <w:lang w:eastAsia="zh-CN"/>
              </w:rPr>
              <w:t>权重</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b/>
                <w:bCs/>
                <w:color w:val="000000"/>
                <w:sz w:val="21"/>
                <w:szCs w:val="21"/>
                <w:highlight w:val="none"/>
                <w:vertAlign w:val="baseline"/>
                <w:lang w:eastAsia="zh-CN"/>
              </w:rPr>
            </w:pPr>
            <w:r>
              <w:rPr>
                <w:rFonts w:hint="eastAsia" w:ascii="仿宋_GB2312" w:hAnsi="仿宋_GB2312" w:eastAsia="仿宋_GB2312" w:cs="仿宋_GB2312"/>
                <w:b/>
                <w:bCs/>
                <w:color w:val="000000"/>
                <w:sz w:val="21"/>
                <w:szCs w:val="21"/>
                <w:highlight w:val="none"/>
                <w:vertAlign w:val="baseline"/>
                <w:lang w:eastAsia="zh-CN"/>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0" w:type="auto"/>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center"/>
              <w:textAlignment w:val="top"/>
              <w:rPr>
                <w:rFonts w:hint="eastAsia" w:ascii="仿宋_GB2312" w:hAnsi="仿宋_GB2312" w:eastAsia="仿宋_GB2312" w:cs="仿宋_GB2312"/>
                <w:color w:val="000000"/>
                <w:kern w:val="0"/>
                <w:sz w:val="21"/>
                <w:szCs w:val="21"/>
                <w:lang w:eastAsia="zh-CN"/>
              </w:rPr>
            </w:pPr>
            <w:r>
              <w:rPr>
                <w:rFonts w:hint="eastAsia" w:ascii="仿宋_GB2312" w:hAnsi="仿宋_GB2312" w:eastAsia="仿宋_GB2312" w:cs="仿宋_GB2312"/>
                <w:color w:val="000000"/>
                <w:kern w:val="0"/>
                <w:sz w:val="21"/>
                <w:szCs w:val="21"/>
                <w:lang w:eastAsia="zh-CN"/>
              </w:rPr>
              <w:t>价格</w:t>
            </w:r>
          </w:p>
        </w:tc>
        <w:tc>
          <w:tcPr>
            <w:tcW w:w="6729" w:type="dxa"/>
            <w:noWrap w:val="0"/>
            <w:vAlign w:val="top"/>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0"/>
                <w:sz w:val="21"/>
                <w:szCs w:val="21"/>
                <w:lang w:eastAsia="zh-CN"/>
              </w:rPr>
            </w:pPr>
            <w:r>
              <w:rPr>
                <w:rFonts w:hint="eastAsia" w:ascii="仿宋_GB2312" w:hAnsi="仿宋_GB2312" w:eastAsia="仿宋_GB2312" w:cs="仿宋_GB2312"/>
                <w:color w:val="000000"/>
                <w:kern w:val="0"/>
                <w:sz w:val="21"/>
                <w:szCs w:val="21"/>
                <w:lang w:eastAsia="zh-CN"/>
              </w:rPr>
              <w:t>采用低价优先法计算，即满足招标文件要求且投标价格最低的投标报价为评标</w:t>
            </w:r>
            <w:r>
              <w:rPr>
                <w:rFonts w:hint="eastAsia" w:ascii="仿宋_GB2312" w:hAnsi="仿宋_GB2312" w:eastAsia="仿宋_GB2312" w:cs="仿宋_GB2312"/>
                <w:color w:val="000000"/>
                <w:kern w:val="0"/>
                <w:sz w:val="21"/>
                <w:szCs w:val="21"/>
                <w:lang w:val="en-US" w:eastAsia="zh-CN"/>
              </w:rPr>
              <w:t>基准价，其价格分为满分。其他投标人</w:t>
            </w:r>
            <w:r>
              <w:rPr>
                <w:rFonts w:hint="eastAsia" w:ascii="仿宋_GB2312" w:hAnsi="仿宋_GB2312" w:eastAsia="仿宋_GB2312" w:cs="仿宋_GB2312"/>
                <w:color w:val="000000"/>
                <w:kern w:val="0"/>
                <w:sz w:val="21"/>
                <w:szCs w:val="21"/>
                <w:lang w:eastAsia="zh-CN"/>
              </w:rPr>
              <w:t>的价格分统一按照下列公式计算：</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0"/>
                <w:sz w:val="21"/>
                <w:szCs w:val="21"/>
                <w:lang w:eastAsia="zh-CN"/>
              </w:rPr>
            </w:pPr>
            <w:r>
              <w:rPr>
                <w:rFonts w:hint="eastAsia" w:ascii="仿宋_GB2312" w:hAnsi="仿宋_GB2312" w:eastAsia="仿宋_GB2312" w:cs="仿宋_GB2312"/>
                <w:color w:val="000000"/>
                <w:kern w:val="0"/>
                <w:sz w:val="21"/>
                <w:szCs w:val="21"/>
                <w:lang w:eastAsia="zh-CN"/>
              </w:rPr>
              <w:t>投标报价得分=（评标基准价/投标报价）×100</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仿宋_GB2312" w:hAnsi="仿宋_GB2312" w:eastAsia="仿宋_GB2312" w:cs="仿宋_GB2312"/>
                <w:color w:val="auto"/>
                <w:sz w:val="21"/>
                <w:szCs w:val="21"/>
                <w:highlight w:val="none"/>
                <w:vertAlign w:val="baseline"/>
                <w:lang w:val="en-US" w:eastAsia="zh-CN"/>
              </w:rPr>
            </w:pPr>
            <w:r>
              <w:rPr>
                <w:rFonts w:hint="default" w:ascii="仿宋_GB2312" w:hAnsi="仿宋_GB2312" w:eastAsia="仿宋_GB2312" w:cs="仿宋_GB2312"/>
                <w:color w:val="auto"/>
                <w:sz w:val="21"/>
                <w:szCs w:val="21"/>
                <w:highlight w:val="none"/>
                <w:vertAlign w:val="baseline"/>
                <w:lang w:val="en-US" w:eastAsia="zh-CN"/>
              </w:rPr>
              <w:t>20</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000000"/>
                <w:kern w:val="0"/>
                <w:sz w:val="21"/>
                <w:szCs w:val="21"/>
                <w:lang w:eastAsia="zh-CN"/>
              </w:rPr>
              <w:t>项目实施方案</w:t>
            </w:r>
          </w:p>
        </w:tc>
        <w:tc>
          <w:tcPr>
            <w:tcW w:w="6729" w:type="dxa"/>
            <w:noWrap w:val="0"/>
            <w:vAlign w:val="top"/>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投标人提供的项目方案包括：</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（1）工作措施；</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（2）工作方法；</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（3）工作手段；</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（4）工作流程。</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2.评审依据：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考察以上服务方案，每提供任意一项得10分，最高得40分。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在此基础上，</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US" w:eastAsia="zh-CN" w:bidi="ar-SA"/>
                <w14:ligatures w14:val="standardContextual"/>
              </w:rPr>
              <w:t>根据各供应商的具体响应内容按照量化的评审因素指标进一步评审。</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评审为优（服务方案完善可行、内容全面具体、针对性强、可操作性强）的加60分；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评价为良（服务方案内容较全面、针对性较强、可操作性较强）的加40分；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评价为中（服务方案内容完整性、针对性、可操作性均一般）的加20分；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评价为差（服务方案内容不科学、不完整、针对性较弱）的不加分。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未提供方案的本项不得分。</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20</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0" w:type="auto"/>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sz w:val="21"/>
                <w:szCs w:val="21"/>
              </w:rPr>
              <w:t>项目重点难点分析及应对措施、合理化建议</w:t>
            </w:r>
          </w:p>
        </w:tc>
        <w:tc>
          <w:tcPr>
            <w:tcW w:w="6729" w:type="dxa"/>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 xml:space="preserve">投标人提供的项目重点难点分析、应对措施及相关的合理化建议包含以下内容： </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（1）对项目重难点理解；</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（2）应对措施；</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（3）合理化建议。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2．评审标准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考察以上项目重点难点分析、应对措施及相关的合理化建议，如果全部满足得40分，满足任意两点得25分，满足任意一点得10分。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在此基础上，</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US" w:eastAsia="zh-CN" w:bidi="ar-SA"/>
                <w14:ligatures w14:val="standardContextual"/>
              </w:rPr>
              <w:t>根据各供应商的具体响应内容按照量化的评审因素指标进一步评审。</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评审为优（项目重点难点分析透彻、应对措施及相关的合理化建议完善）加60分；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评审为良（目重点难点分析较透彻、应对措施及相关的合理化建议较完善）加40分；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评审为中（项目重点难点分析一般、应对措施及相关的合理化建议一般）加20分；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评审为差（项目重点难点分析不透彻、应对措施及相关的合理化建议不完善）不加分。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US" w:eastAsia="zh-CN" w:bidi="ar-SA"/>
                <w14:ligatures w14:val="standardContextual"/>
              </w:rPr>
              <w:t>不提供不得分。</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w:t>
            </w:r>
            <w:r>
              <w:rPr>
                <w:rFonts w:hint="default" w:ascii="仿宋_GB2312" w:hAnsi="仿宋_GB2312" w:eastAsia="仿宋_GB2312" w:cs="仿宋_GB2312"/>
                <w:color w:val="auto"/>
                <w:sz w:val="21"/>
                <w:szCs w:val="21"/>
                <w:highlight w:val="none"/>
                <w:vertAlign w:val="baseline"/>
                <w:lang w:val="en-US" w:eastAsia="zh-CN"/>
              </w:rPr>
              <w:t>5</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0" w:type="auto"/>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sz w:val="21"/>
                <w:szCs w:val="21"/>
              </w:rPr>
              <w:t>拟安排的项目负责人情况（仅限一人）</w:t>
            </w:r>
          </w:p>
        </w:tc>
        <w:tc>
          <w:tcPr>
            <w:tcW w:w="6729" w:type="dxa"/>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项目负责人具有自202</w:t>
            </w:r>
            <w:r>
              <w:rPr>
                <w:rFonts w:hint="eastAsia" w:ascii="仿宋_GB2312" w:hAnsi="仿宋_GB2312" w:eastAsia="仿宋_GB2312" w:cs="仿宋_GB2312"/>
                <w:color w:val="000000"/>
                <w:kern w:val="2"/>
                <w:sz w:val="21"/>
                <w:szCs w:val="21"/>
                <w:lang w:val="en-US" w:eastAsia="zh-CN" w:bidi="ar-SA"/>
                <w14:ligatures w14:val="standardContextual"/>
              </w:rPr>
              <w:t>1</w:t>
            </w:r>
            <w:r>
              <w:rPr>
                <w:rFonts w:hint="eastAsia" w:ascii="仿宋_GB2312" w:hAnsi="仿宋_GB2312" w:eastAsia="仿宋_GB2312" w:cs="仿宋_GB2312"/>
                <w:color w:val="000000"/>
                <w:kern w:val="2"/>
                <w:sz w:val="21"/>
                <w:szCs w:val="21"/>
                <w:lang w:val="en" w:eastAsia="zh-CN" w:bidi="ar-SA"/>
                <w14:ligatures w14:val="standardContextual"/>
              </w:rPr>
              <w:t>年1月1日起至本项目投标截止日止（以合同签订落款日期为准）的</w:t>
            </w:r>
            <w:r>
              <w:rPr>
                <w:rFonts w:hint="default" w:ascii="仿宋_GB2312" w:hAnsi="仿宋_GB2312" w:eastAsia="仿宋_GB2312" w:cs="仿宋_GB2312"/>
                <w:color w:val="000000"/>
                <w:kern w:val="2"/>
                <w:sz w:val="21"/>
                <w:szCs w:val="21"/>
                <w:lang w:val="en-US" w:eastAsia="zh-CN" w:bidi="ar-SA"/>
                <w14:ligatures w14:val="standardContextual"/>
              </w:rPr>
              <w:t>限额以下小型</w:t>
            </w:r>
            <w:r>
              <w:rPr>
                <w:rFonts w:hint="eastAsia" w:ascii="仿宋_GB2312" w:hAnsi="仿宋_GB2312" w:eastAsia="仿宋_GB2312" w:cs="仿宋_GB2312"/>
                <w:color w:val="000000"/>
                <w:kern w:val="2"/>
                <w:sz w:val="21"/>
                <w:szCs w:val="21"/>
                <w:lang w:val="en" w:eastAsia="zh-CN" w:bidi="ar-SA"/>
                <w14:ligatures w14:val="standardContextual"/>
              </w:rPr>
              <w:t>工程和零星作业巡查监管服务同类项目工作经验情况，每提供一个得50分，最高得100分。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2.评审依据：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提供证明项目负责人的</w:t>
            </w:r>
            <w:r>
              <w:rPr>
                <w:rFonts w:hint="default" w:ascii="仿宋_GB2312" w:hAnsi="仿宋_GB2312" w:eastAsia="仿宋_GB2312" w:cs="仿宋_GB2312"/>
                <w:color w:val="000000"/>
                <w:kern w:val="2"/>
                <w:sz w:val="21"/>
                <w:szCs w:val="21"/>
                <w:lang w:val="en-US" w:eastAsia="zh-CN" w:bidi="ar-SA"/>
                <w14:ligatures w14:val="standardContextual"/>
              </w:rPr>
              <w:t>限额以下小型</w:t>
            </w:r>
            <w:r>
              <w:rPr>
                <w:rFonts w:hint="eastAsia" w:ascii="仿宋_GB2312" w:hAnsi="仿宋_GB2312" w:eastAsia="仿宋_GB2312" w:cs="仿宋_GB2312"/>
                <w:color w:val="000000"/>
                <w:kern w:val="2"/>
                <w:sz w:val="21"/>
                <w:szCs w:val="21"/>
                <w:lang w:val="en" w:eastAsia="zh-CN" w:bidi="ar-SA"/>
                <w14:ligatures w14:val="standardContextual"/>
              </w:rPr>
              <w:t>工程和零星作业巡查监管服务同类项目工作经验合同（提供合同关键页，需体现项目名称、服务内容、合同双方信息、合同签订日期、盖章页等）且在合同关键页或验收报告需体现为项目负责人信息，若无法体现的，可出具加盖合同甲方公章或业务章的证明文件。</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宋体" w:hAnsi="宋体" w:cs="宋体" w:eastAsiaTheme="minorEastAsia"/>
                <w:bCs/>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以上证明文件原件备查，未提供证明材料或者提供的证明材料不符合要求或提供的证明材料不清晰导致</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 w:eastAsia="zh-CN" w:bidi="ar-SA"/>
                <w14:ligatures w14:val="standardContextual"/>
              </w:rPr>
              <w:t>无法辨认的，不得分。</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10</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0" w:type="auto"/>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sz w:val="21"/>
                <w:szCs w:val="21"/>
              </w:rPr>
              <w:t>拟安排的项目主要团队成员（项目负责人除外）</w:t>
            </w:r>
          </w:p>
        </w:tc>
        <w:tc>
          <w:tcPr>
            <w:tcW w:w="6729" w:type="dxa"/>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拟安排的项目团队成员：</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default"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每提供一名大专或以上学历的得</w:t>
            </w:r>
            <w:r>
              <w:rPr>
                <w:rFonts w:hint="eastAsia" w:ascii="仿宋_GB2312" w:hAnsi="仿宋_GB2312" w:eastAsia="仿宋_GB2312" w:cs="仿宋_GB2312"/>
                <w:color w:val="000000"/>
                <w:kern w:val="2"/>
                <w:sz w:val="21"/>
                <w:szCs w:val="21"/>
                <w:lang w:val="en-US" w:eastAsia="zh-CN" w:bidi="ar-SA"/>
                <w14:ligatures w14:val="standardContextual"/>
              </w:rPr>
              <w:t>2</w:t>
            </w:r>
            <w:r>
              <w:rPr>
                <w:rFonts w:hint="eastAsia" w:ascii="仿宋_GB2312" w:hAnsi="仿宋_GB2312" w:eastAsia="仿宋_GB2312" w:cs="仿宋_GB2312"/>
                <w:color w:val="000000"/>
                <w:kern w:val="2"/>
                <w:sz w:val="21"/>
                <w:szCs w:val="21"/>
                <w:lang w:val="en" w:eastAsia="zh-CN" w:bidi="ar-SA"/>
                <w14:ligatures w14:val="standardContextual"/>
              </w:rPr>
              <w:t>0分，本项最高得</w:t>
            </w:r>
            <w:r>
              <w:rPr>
                <w:rFonts w:hint="eastAsia" w:ascii="仿宋_GB2312" w:hAnsi="仿宋_GB2312" w:eastAsia="仿宋_GB2312" w:cs="仿宋_GB2312"/>
                <w:color w:val="000000"/>
                <w:kern w:val="2"/>
                <w:sz w:val="21"/>
                <w:szCs w:val="21"/>
                <w:lang w:val="en-US" w:eastAsia="zh-CN" w:bidi="ar-SA"/>
                <w14:ligatures w14:val="standardContextual"/>
              </w:rPr>
              <w:t>10</w:t>
            </w:r>
            <w:r>
              <w:rPr>
                <w:rFonts w:hint="eastAsia" w:ascii="仿宋_GB2312" w:hAnsi="仿宋_GB2312" w:eastAsia="仿宋_GB2312" w:cs="仿宋_GB2312"/>
                <w:color w:val="000000"/>
                <w:kern w:val="2"/>
                <w:sz w:val="21"/>
                <w:szCs w:val="21"/>
                <w:lang w:val="en" w:eastAsia="zh-CN" w:bidi="ar-SA"/>
                <w14:ligatures w14:val="standardContextual"/>
              </w:rPr>
              <w:t>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2.评审依据：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需同时提供学信网（http://www.chsi.com.cn/）查询记录，对于较早颁发的学历学位证书，学信网无法查询的，除提供证书扫描件、注明原件备查外，可提供其他佐证材料（如毕业院校、人社部门等颁发机构或监管机构等单位出具的证明）作为得分依据；留学归国人员如无法提供学信网查询记录截图，提供国（境）外学历证书扫描件（以及中文翻译件）和教育部留学服务中心出具的国外学历认证书扫描件【或教育部留学服务中心网站（http://zwfw.cscse.edu.cn/）在线查询截图】也予以认可；</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（2）提供以上证书扫描件。</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原件备查。未提供证明材料或者提供的证明材料不符合要求或提供的证明材料不清晰导致</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 w:eastAsia="zh-CN" w:bidi="ar-SA"/>
                <w14:ligatures w14:val="standardContextual"/>
              </w:rPr>
              <w:t>无法辨认的，不得分。</w:t>
            </w:r>
          </w:p>
        </w:tc>
        <w:tc>
          <w:tcPr>
            <w:tcW w:w="46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10</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1" w:hRule="atLeast"/>
        </w:trPr>
        <w:tc>
          <w:tcPr>
            <w:tcW w:w="0" w:type="auto"/>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sz w:val="21"/>
                <w:szCs w:val="21"/>
              </w:rPr>
              <w:t>同类项目业绩</w:t>
            </w:r>
          </w:p>
        </w:tc>
        <w:tc>
          <w:tcPr>
            <w:tcW w:w="6729" w:type="dxa"/>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投标人提供自202</w:t>
            </w:r>
            <w:r>
              <w:rPr>
                <w:rFonts w:hint="eastAsia" w:ascii="仿宋_GB2312" w:hAnsi="仿宋_GB2312" w:eastAsia="仿宋_GB2312" w:cs="仿宋_GB2312"/>
                <w:color w:val="000000"/>
                <w:kern w:val="2"/>
                <w:sz w:val="21"/>
                <w:szCs w:val="21"/>
                <w:lang w:val="en-US" w:eastAsia="zh-CN" w:bidi="ar-SA"/>
                <w14:ligatures w14:val="standardContextual"/>
              </w:rPr>
              <w:t>1</w:t>
            </w:r>
            <w:r>
              <w:rPr>
                <w:rFonts w:hint="eastAsia" w:ascii="仿宋_GB2312" w:hAnsi="仿宋_GB2312" w:eastAsia="仿宋_GB2312" w:cs="仿宋_GB2312"/>
                <w:color w:val="000000"/>
                <w:kern w:val="2"/>
                <w:sz w:val="21"/>
                <w:szCs w:val="21"/>
                <w:lang w:val="en" w:eastAsia="zh-CN" w:bidi="ar-SA"/>
                <w14:ligatures w14:val="standardContextual"/>
              </w:rPr>
              <w:t>年1月1日起至本项目投标截止日止的</w:t>
            </w:r>
            <w:r>
              <w:rPr>
                <w:rFonts w:hint="default" w:ascii="仿宋_GB2312" w:hAnsi="仿宋_GB2312" w:eastAsia="仿宋_GB2312" w:cs="仿宋_GB2312"/>
                <w:color w:val="000000"/>
                <w:kern w:val="2"/>
                <w:sz w:val="21"/>
                <w:szCs w:val="21"/>
                <w:lang w:val="en-US" w:eastAsia="zh-CN" w:bidi="ar-SA"/>
                <w14:ligatures w14:val="standardContextual"/>
              </w:rPr>
              <w:t>限额以下小型</w:t>
            </w:r>
            <w:r>
              <w:rPr>
                <w:rFonts w:hint="eastAsia" w:ascii="仿宋_GB2312" w:hAnsi="仿宋_GB2312" w:eastAsia="仿宋_GB2312" w:cs="仿宋_GB2312"/>
                <w:color w:val="000000"/>
                <w:kern w:val="2"/>
                <w:sz w:val="21"/>
                <w:szCs w:val="21"/>
                <w:lang w:val="en" w:eastAsia="zh-CN" w:bidi="ar-SA"/>
                <w14:ligatures w14:val="standardContextual"/>
              </w:rPr>
              <w:t>工程（原称小散工程）和零星作业安全隐患巡查督导服务同类项目业绩情况，每提供一个得50分，最高得100分。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2.评审依据：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提供以上有效业绩的项目合同关键页（合同关键页需体现项目名称、服务内容、合同双方信息、合同签订日期、盖章页等）；</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原件备查。未提供证明材料或者提供的证明材料不符合要求或提供的证明材料内容或日期不清晰</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 w:eastAsia="zh-CN" w:bidi="ar-SA"/>
                <w14:ligatures w14:val="standardContextual"/>
              </w:rPr>
              <w:t>无法辨认的，不得分。</w:t>
            </w:r>
          </w:p>
        </w:tc>
        <w:tc>
          <w:tcPr>
            <w:tcW w:w="46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kern w:val="2"/>
                <w:sz w:val="21"/>
                <w:szCs w:val="21"/>
                <w:lang w:val="en-US" w:eastAsia="zh-CN" w:bidi="ar-SA"/>
                <w14:ligatures w14:val="standardContextual"/>
              </w:rPr>
            </w:pPr>
            <w:r>
              <w:rPr>
                <w:rFonts w:hint="eastAsia" w:ascii="仿宋_GB2312" w:hAnsi="仿宋_GB2312" w:eastAsia="仿宋_GB2312" w:cs="仿宋_GB2312"/>
                <w:color w:val="000000"/>
                <w:sz w:val="21"/>
                <w:szCs w:val="21"/>
              </w:rPr>
              <w:t>15</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0" w:type="auto"/>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投标人企业认证及资质情况</w:t>
            </w:r>
          </w:p>
        </w:tc>
        <w:tc>
          <w:tcPr>
            <w:tcW w:w="6729" w:type="dxa"/>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1.评审内容：</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（1）具有建筑行业相关企业资质，得100分。</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2.评审依据：</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（1）同时提供：①有效期内的相关认证证书②全国认证认可信息公共服务平台（http://cx.cnca.cn）查询截图且编号一致（需显示有效）；</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（2）提供证书扫描件。</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240" w:lineRule="auto"/>
              <w:ind w:left="0" w:right="0" w:firstLine="0" w:firstLineChars="0"/>
              <w:jc w:val="left"/>
              <w:textAlignment w:val="top"/>
              <w:rPr>
                <w:rFonts w:hint="eastAsia" w:ascii="仿宋_GB2312" w:hAnsi="仿宋_GB2312" w:eastAsia="仿宋_GB2312" w:cs="仿宋_GB2312"/>
                <w:color w:val="000000"/>
                <w:kern w:val="2"/>
                <w:sz w:val="21"/>
                <w:szCs w:val="21"/>
                <w:lang w:val="en" w:eastAsia="zh-CN" w:bidi="ar-SA"/>
                <w14:ligatures w14:val="standardContextual"/>
              </w:rPr>
            </w:pPr>
            <w:r>
              <w:rPr>
                <w:rFonts w:hint="eastAsia" w:ascii="仿宋_GB2312" w:hAnsi="仿宋_GB2312" w:eastAsia="仿宋_GB2312" w:cs="仿宋_GB2312"/>
                <w:color w:val="000000"/>
                <w:kern w:val="2"/>
                <w:sz w:val="21"/>
                <w:szCs w:val="21"/>
                <w:lang w:val="en" w:eastAsia="zh-CN" w:bidi="ar-SA"/>
                <w14:ligatures w14:val="standardContextual"/>
              </w:rPr>
              <w:t>原件备查。未提供证明材料或者提供的证明材料不符合要求或提供的证明材料内容或日期不清晰</w:t>
            </w:r>
            <w:r>
              <w:rPr>
                <w:rFonts w:hint="default" w:ascii="仿宋_GB2312" w:hAnsi="仿宋_GB2312" w:eastAsia="仿宋_GB2312" w:cs="仿宋_GB2312"/>
                <w:color w:val="000000"/>
                <w:kern w:val="2"/>
                <w:sz w:val="21"/>
                <w:szCs w:val="21"/>
                <w:lang w:val="en-US" w:eastAsia="zh-CN" w:bidi="ar-SA"/>
                <w14:ligatures w14:val="standardContextual"/>
              </w:rPr>
              <w:t>评审人员</w:t>
            </w:r>
            <w:r>
              <w:rPr>
                <w:rFonts w:hint="eastAsia" w:ascii="仿宋_GB2312" w:hAnsi="仿宋_GB2312" w:eastAsia="仿宋_GB2312" w:cs="仿宋_GB2312"/>
                <w:color w:val="000000"/>
                <w:kern w:val="2"/>
                <w:sz w:val="21"/>
                <w:szCs w:val="21"/>
                <w:lang w:val="en" w:eastAsia="zh-CN" w:bidi="ar-SA"/>
                <w14:ligatures w14:val="standardContextual"/>
              </w:rPr>
              <w:t>无法辨认的，不得分。</w:t>
            </w:r>
          </w:p>
        </w:tc>
        <w:tc>
          <w:tcPr>
            <w:tcW w:w="467" w:type="dxa"/>
            <w:noWrap w:val="0"/>
            <w:vAlign w:val="center"/>
          </w:tcPr>
          <w:p>
            <w:pPr>
              <w:keepNext w:val="0"/>
              <w:keepLines w:val="0"/>
              <w:pageBreakBefore w:val="0"/>
              <w:suppressLineNumbers w:val="0"/>
              <w:kinsoku/>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10</w:t>
            </w:r>
          </w:p>
        </w:tc>
        <w:tc>
          <w:tcPr>
            <w:tcW w:w="0" w:type="auto"/>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仿宋_GB2312" w:hAnsi="仿宋_GB2312" w:eastAsia="仿宋_GB2312" w:cs="仿宋_GB2312"/>
                <w:color w:val="000000"/>
                <w:sz w:val="21"/>
                <w:szCs w:val="21"/>
                <w:highlight w:val="none"/>
                <w:vertAlign w:val="baseline"/>
                <w:lang w:eastAsia="zh-CN"/>
              </w:rPr>
            </w:pPr>
          </w:p>
        </w:tc>
      </w:tr>
    </w:tbl>
    <w:p>
      <w:pPr>
        <w:rPr>
          <w:rFonts w:hint="eastAsia" w:ascii="仿宋_GB2312" w:hAnsi="仿宋_GB2312" w:eastAsia="仿宋_GB2312" w:cs="仿宋_GB2312"/>
          <w:b w:val="0"/>
          <w:color w:val="000000"/>
          <w:kern w:val="2"/>
          <w:sz w:val="32"/>
          <w:szCs w:val="32"/>
          <w:highlight w:val="none"/>
          <w:lang w:val="en-US" w:eastAsia="zh-CN" w:bidi="ar-SA"/>
        </w:rPr>
      </w:pPr>
    </w:p>
    <w:p>
      <w:pPr>
        <w:ind w:firstLine="640" w:firstLineChars="200"/>
        <w:rPr>
          <w:rFonts w:hint="eastAsia" w:ascii="仿宋_GB2312" w:hAnsi="仿宋_GB2312" w:eastAsia="仿宋_GB2312" w:cs="仿宋_GB2312"/>
          <w:b w:val="0"/>
          <w:color w:val="000000"/>
          <w:kern w:val="2"/>
          <w:sz w:val="32"/>
          <w:szCs w:val="32"/>
          <w:highlight w:val="none"/>
          <w:lang w:val="en-US" w:eastAsia="zh-CN" w:bidi="ar-SA"/>
        </w:rPr>
      </w:pPr>
      <w:r>
        <w:rPr>
          <w:rFonts w:hint="eastAsia" w:ascii="仿宋_GB2312" w:hAnsi="仿宋_GB2312" w:eastAsia="仿宋_GB2312" w:cs="仿宋_GB2312"/>
          <w:b w:val="0"/>
          <w:color w:val="000000"/>
          <w:kern w:val="2"/>
          <w:sz w:val="32"/>
          <w:szCs w:val="32"/>
          <w:highlight w:val="none"/>
          <w:lang w:val="en-US" w:eastAsia="zh-CN" w:bidi="ar-SA"/>
        </w:rPr>
        <w:t>附件：供应商基本情况表</w:t>
      </w:r>
    </w:p>
    <w:p>
      <w:pPr>
        <w:pStyle w:val="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pStyle w:val="12"/>
        <w:rPr>
          <w:rFonts w:hint="eastAsia" w:ascii="仿宋_GB2312" w:hAnsi="仿宋_GB2312" w:eastAsia="仿宋_GB2312" w:cs="仿宋_GB2312"/>
          <w:b w:val="0"/>
          <w:color w:val="000000"/>
          <w:kern w:val="2"/>
          <w:sz w:val="32"/>
          <w:szCs w:val="32"/>
          <w:highlight w:val="none"/>
          <w:lang w:val="en-US" w:eastAsia="zh-CN" w:bidi="ar-SA"/>
        </w:rPr>
      </w:pPr>
    </w:p>
    <w:p>
      <w:pPr>
        <w:widowControl w:val="0"/>
        <w:snapToGrid w:val="0"/>
        <w:spacing w:before="0" w:after="0" w:line="240" w:lineRule="auto"/>
        <w:jc w:val="both"/>
        <w:outlineLvl w:val="0"/>
        <w:rPr>
          <w:rFonts w:hint="eastAsia" w:ascii="方正小标宋简体" w:hAnsi="方正小标宋简体" w:eastAsia="方正小标宋简体" w:cs="方正小标宋简体"/>
          <w:b w:val="0"/>
          <w:bCs w:val="0"/>
          <w:kern w:val="2"/>
          <w:sz w:val="32"/>
          <w:szCs w:val="32"/>
          <w:lang w:val="en-US" w:eastAsia="zh-CN" w:bidi="ar-SA"/>
        </w:rPr>
      </w:pPr>
    </w:p>
    <w:p>
      <w:pPr>
        <w:widowControl w:val="0"/>
        <w:snapToGrid w:val="0"/>
        <w:spacing w:before="0" w:after="0" w:line="240" w:lineRule="auto"/>
        <w:ind w:firstLine="2200" w:firstLineChars="500"/>
        <w:jc w:val="both"/>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pPr>
        <w:spacing w:line="240" w:lineRule="auto"/>
        <w:ind w:firstLine="0" w:firstLineChars="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6"/>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1412"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采购人</w:t>
            </w:r>
          </w:p>
        </w:tc>
        <w:tc>
          <w:tcPr>
            <w:tcW w:w="2553"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梅沙街道办事处</w:t>
            </w:r>
          </w:p>
        </w:tc>
        <w:tc>
          <w:tcPr>
            <w:tcW w:w="1991"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项目名称</w:t>
            </w:r>
          </w:p>
        </w:tc>
        <w:tc>
          <w:tcPr>
            <w:tcW w:w="298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4"/>
                <w:szCs w:val="24"/>
                <w:vertAlign w:val="baseline"/>
                <w:lang w:val="en-US" w:eastAsia="zh-CN"/>
              </w:rPr>
              <w:t>梅沙街道2027年限额以下小型工程和零星作业巡查和监管服务项目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投标（响应）供应商</w:t>
            </w:r>
          </w:p>
        </w:tc>
        <w:tc>
          <w:tcPr>
            <w:tcW w:w="2553"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noWrap w:val="0"/>
            <w:vAlign w:val="center"/>
          </w:tcPr>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供应商统一社会信用代码</w:t>
            </w:r>
          </w:p>
        </w:tc>
        <w:tc>
          <w:tcPr>
            <w:tcW w:w="2985"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b/>
                <w:bCs/>
                <w:sz w:val="22"/>
                <w:szCs w:val="22"/>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序号</w:t>
            </w:r>
          </w:p>
        </w:tc>
        <w:tc>
          <w:tcPr>
            <w:tcW w:w="2282" w:type="dxa"/>
            <w:gridSpan w:val="2"/>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职务</w:t>
            </w:r>
          </w:p>
        </w:tc>
        <w:tc>
          <w:tcPr>
            <w:tcW w:w="947" w:type="dxa"/>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姓名</w:t>
            </w:r>
          </w:p>
        </w:tc>
        <w:tc>
          <w:tcPr>
            <w:tcW w:w="1991" w:type="dxa"/>
            <w:gridSpan w:val="2"/>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身份证号码</w:t>
            </w:r>
          </w:p>
        </w:tc>
        <w:tc>
          <w:tcPr>
            <w:tcW w:w="1500" w:type="dxa"/>
            <w:tcBorders>
              <w:bottom w:val="single" w:color="auto" w:sz="4" w:space="0"/>
            </w:tcBorders>
            <w:noWrap w:val="0"/>
            <w:vAlign w:val="center"/>
          </w:tcPr>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劳动合同</w:t>
            </w:r>
          </w:p>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关系单位</w:t>
            </w:r>
          </w:p>
        </w:tc>
        <w:tc>
          <w:tcPr>
            <w:tcW w:w="1485" w:type="dxa"/>
            <w:tcBorders>
              <w:bottom w:val="single" w:color="auto" w:sz="4" w:space="0"/>
            </w:tcBorders>
            <w:noWrap w:val="0"/>
            <w:vAlign w:val="center"/>
          </w:tcPr>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缴纳社会</w:t>
            </w:r>
          </w:p>
          <w:p>
            <w:pPr>
              <w:snapToGrid w:val="0"/>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ind w:firstLine="0" w:firstLineChars="0"/>
              <w:jc w:val="center"/>
              <w:rPr>
                <w:rFonts w:hint="eastAsia" w:ascii="方正仿宋_GBK" w:hAnsi="方正仿宋_GBK" w:eastAsia="方正仿宋_GBK" w:cs="方正仿宋_GBK"/>
                <w:color w:val="auto"/>
                <w:sz w:val="22"/>
                <w:szCs w:val="22"/>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spacing w:beforeLines="0" w:afterLines="0"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lang w:bidi="ar"/>
              </w:rPr>
              <w:t>3</w:t>
            </w:r>
          </w:p>
        </w:tc>
        <w:tc>
          <w:tcPr>
            <w:tcW w:w="2282" w:type="dxa"/>
            <w:gridSpan w:val="2"/>
            <w:tcBorders>
              <w:top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项目负责人</w:t>
            </w:r>
          </w:p>
        </w:tc>
        <w:tc>
          <w:tcPr>
            <w:tcW w:w="947" w:type="dxa"/>
            <w:tcBorders>
              <w:top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tcBorders>
              <w:top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500" w:type="dxa"/>
            <w:tcBorders>
              <w:top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485" w:type="dxa"/>
            <w:tcBorders>
              <w:top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lang w:bidi="ar"/>
              </w:rPr>
              <w:t>4</w:t>
            </w:r>
          </w:p>
        </w:tc>
        <w:tc>
          <w:tcPr>
            <w:tcW w:w="2282"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color w:val="auto"/>
                <w:sz w:val="22"/>
                <w:szCs w:val="22"/>
                <w:highlight w:val="none"/>
              </w:rPr>
              <w:t>主要技术人员</w:t>
            </w:r>
          </w:p>
        </w:tc>
        <w:tc>
          <w:tcPr>
            <w:tcW w:w="947"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500"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485"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spacing w:beforeLines="0" w:afterLines="0"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sz w:val="22"/>
                <w:szCs w:val="22"/>
                <w:lang w:bidi="ar"/>
              </w:rPr>
              <w:t>5</w:t>
            </w:r>
          </w:p>
        </w:tc>
        <w:tc>
          <w:tcPr>
            <w:tcW w:w="2282" w:type="dxa"/>
            <w:gridSpan w:val="2"/>
            <w:noWrap w:val="0"/>
            <w:vAlign w:val="center"/>
          </w:tcPr>
          <w:p>
            <w:pPr>
              <w:widowControl w:val="0"/>
              <w:snapToGrid w:val="0"/>
              <w:ind w:left="0" w:leftChars="0" w:firstLine="0" w:firstLineChars="0"/>
              <w:jc w:val="center"/>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color w:val="auto"/>
                <w:kern w:val="2"/>
                <w:sz w:val="22"/>
                <w:szCs w:val="22"/>
                <w:highlight w:val="none"/>
                <w:lang w:val="en-US" w:eastAsia="zh-CN" w:bidi="ar-SA"/>
              </w:rPr>
              <w:t>投标文件编制人员</w:t>
            </w:r>
          </w:p>
        </w:tc>
        <w:tc>
          <w:tcPr>
            <w:tcW w:w="947"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991" w:type="dxa"/>
            <w:gridSpan w:val="2"/>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500"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c>
          <w:tcPr>
            <w:tcW w:w="1485" w:type="dxa"/>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spacing w:line="240" w:lineRule="auto"/>
              <w:ind w:firstLine="0" w:firstLineChars="0"/>
              <w:jc w:val="left"/>
              <w:rPr>
                <w:rFonts w:hint="eastAsia" w:ascii="方正仿宋_GBK" w:hAnsi="方正仿宋_GBK" w:eastAsia="方正仿宋_GBK" w:cs="方正仿宋_GBK"/>
                <w:sz w:val="22"/>
                <w:szCs w:val="22"/>
                <w:vertAlign w:val="baseline"/>
                <w:lang w:val="en-US" w:eastAsia="zh-CN"/>
              </w:rPr>
            </w:pPr>
            <w:r>
              <w:rPr>
                <w:rFonts w:hint="eastAsia" w:ascii="方正仿宋_GBK" w:hAnsi="方正仿宋_GBK" w:eastAsia="方正仿宋_GBK" w:cs="方正仿宋_GBK"/>
                <w:b/>
                <w:bCs/>
                <w:color w:val="auto"/>
                <w:sz w:val="22"/>
                <w:szCs w:val="22"/>
                <w:highlight w:val="none"/>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spacing w:line="240" w:lineRule="auto"/>
              <w:ind w:firstLine="0" w:firstLineChars="0"/>
              <w:jc w:val="center"/>
              <w:rPr>
                <w:rFonts w:hint="eastAsia" w:ascii="方正仿宋_GBK" w:hAnsi="方正仿宋_GBK" w:eastAsia="方正仿宋_GBK" w:cs="方正仿宋_GBK"/>
                <w:b/>
                <w:bCs/>
                <w:sz w:val="22"/>
                <w:szCs w:val="22"/>
                <w:vertAlign w:val="baseline"/>
                <w:lang w:val="en-US" w:eastAsia="zh-CN"/>
              </w:rPr>
            </w:pPr>
            <w:r>
              <w:rPr>
                <w:rFonts w:hint="eastAsia" w:ascii="方正仿宋_GBK" w:hAnsi="方正仿宋_GBK" w:eastAsia="方正仿宋_GBK" w:cs="方正仿宋_GBK"/>
                <w:b/>
                <w:bCs/>
                <w:sz w:val="22"/>
                <w:szCs w:val="22"/>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bidi="ar"/>
              </w:rPr>
            </w:pPr>
            <w:r>
              <w:rPr>
                <w:rFonts w:hint="eastAsia" w:ascii="方正仿宋_GBK" w:hAnsi="方正仿宋_GBK" w:eastAsia="方正仿宋_GBK" w:cs="方正仿宋_GBK"/>
                <w:sz w:val="22"/>
                <w:szCs w:val="22"/>
                <w:vertAlign w:val="baseline"/>
                <w:lang w:val="en-US" w:eastAsia="zh-CN" w:bidi="ar"/>
              </w:rPr>
              <w:t>序号</w:t>
            </w:r>
          </w:p>
        </w:tc>
        <w:tc>
          <w:tcPr>
            <w:tcW w:w="2282" w:type="dxa"/>
            <w:gridSpan w:val="2"/>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lang w:val="en-US" w:eastAsia="zh-CN"/>
              </w:rPr>
            </w:pPr>
            <w:r>
              <w:rPr>
                <w:rFonts w:hint="eastAsia" w:ascii="方正仿宋_GBK" w:hAnsi="方正仿宋_GBK" w:eastAsia="方正仿宋_GBK" w:cs="方正仿宋_GBK"/>
                <w:color w:val="auto"/>
                <w:sz w:val="22"/>
                <w:szCs w:val="22"/>
                <w:highlight w:val="none"/>
                <w:vertAlign w:val="baseline"/>
                <w:lang w:val="en-US" w:eastAsia="zh-CN"/>
              </w:rPr>
              <w:t>关联关系类型</w:t>
            </w:r>
          </w:p>
        </w:tc>
        <w:tc>
          <w:tcPr>
            <w:tcW w:w="1738" w:type="dxa"/>
            <w:gridSpan w:val="2"/>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vertAlign w:val="baseline"/>
                <w:lang w:val="en-US" w:eastAsia="zh-CN"/>
              </w:rPr>
            </w:pPr>
            <w:r>
              <w:rPr>
                <w:rFonts w:hint="eastAsia" w:ascii="方正仿宋_GBK" w:hAnsi="方正仿宋_GBK" w:eastAsia="方正仿宋_GBK" w:cs="方正仿宋_GBK"/>
                <w:color w:val="auto"/>
                <w:sz w:val="22"/>
                <w:szCs w:val="22"/>
                <w:highlight w:val="none"/>
                <w:vertAlign w:val="baseline"/>
                <w:lang w:val="en-US" w:eastAsia="zh-CN"/>
              </w:rPr>
              <w:t>关联主体名称</w:t>
            </w:r>
          </w:p>
        </w:tc>
        <w:tc>
          <w:tcPr>
            <w:tcW w:w="4185" w:type="dxa"/>
            <w:gridSpan w:val="3"/>
            <w:tcBorders>
              <w:bottom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vertAlign w:val="baseline"/>
                <w:lang w:val="en-US" w:eastAsia="zh-CN"/>
              </w:rPr>
            </w:pPr>
            <w:r>
              <w:rPr>
                <w:rFonts w:hint="eastAsia" w:ascii="方正仿宋_GBK" w:hAnsi="方正仿宋_GBK" w:eastAsia="方正仿宋_GBK" w:cs="方正仿宋_GBK"/>
                <w:color w:val="auto"/>
                <w:sz w:val="22"/>
                <w:szCs w:val="22"/>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trPr>
        <w:tc>
          <w:tcPr>
            <w:tcW w:w="736"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bidi="ar"/>
              </w:rPr>
            </w:pPr>
            <w:r>
              <w:rPr>
                <w:rFonts w:hint="eastAsia" w:ascii="方正仿宋_GBK" w:hAnsi="方正仿宋_GBK" w:eastAsia="方正仿宋_GBK" w:cs="方正仿宋_GBK"/>
                <w:sz w:val="22"/>
                <w:szCs w:val="22"/>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lang w:val="en-US" w:eastAsia="zh-CN"/>
              </w:rPr>
            </w:pPr>
            <w:r>
              <w:rPr>
                <w:rFonts w:hint="eastAsia" w:ascii="方正仿宋_GBK" w:hAnsi="方正仿宋_GBK" w:eastAsia="方正仿宋_GBK" w:cs="方正仿宋_GBK"/>
                <w:color w:val="auto"/>
                <w:sz w:val="22"/>
                <w:szCs w:val="22"/>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ind w:firstLine="0" w:firstLineChars="0"/>
              <w:jc w:val="left"/>
              <w:rPr>
                <w:rFonts w:hint="eastAsia" w:ascii="方正仿宋_GBK" w:hAnsi="方正仿宋_GBK" w:eastAsia="方正仿宋_GBK" w:cs="方正仿宋_GBK"/>
                <w:color w:val="auto"/>
                <w:sz w:val="22"/>
                <w:szCs w:val="22"/>
                <w:highlight w:val="none"/>
                <w:vertAlign w:val="baseline"/>
                <w:lang w:val="en-US" w:eastAsia="zh-CN"/>
              </w:rPr>
            </w:pPr>
            <w:r>
              <w:rPr>
                <w:rFonts w:hint="eastAsia" w:ascii="方正仿宋_GBK" w:hAnsi="方正仿宋_GBK" w:eastAsia="方正仿宋_GBK" w:cs="方正仿宋_GBK"/>
                <w:color w:val="auto"/>
                <w:sz w:val="22"/>
                <w:szCs w:val="22"/>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sz w:val="22"/>
                <w:szCs w:val="22"/>
                <w:vertAlign w:val="baseline"/>
                <w:lang w:val="en-US" w:eastAsia="zh-CN" w:bidi="ar"/>
              </w:rPr>
            </w:pPr>
            <w:r>
              <w:rPr>
                <w:rFonts w:hint="eastAsia" w:ascii="方正仿宋_GBK" w:hAnsi="方正仿宋_GBK" w:eastAsia="方正仿宋_GBK" w:cs="方正仿宋_GBK"/>
                <w:sz w:val="22"/>
                <w:szCs w:val="22"/>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lang w:val="en-US" w:eastAsia="zh-CN"/>
              </w:rPr>
            </w:pPr>
            <w:r>
              <w:rPr>
                <w:rFonts w:hint="eastAsia" w:ascii="方正仿宋_GBK" w:hAnsi="方正仿宋_GBK" w:eastAsia="方正仿宋_GBK" w:cs="方正仿宋_GBK"/>
                <w:color w:val="auto"/>
                <w:sz w:val="22"/>
                <w:szCs w:val="22"/>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方正仿宋_GBK" w:hAnsi="方正仿宋_GBK" w:eastAsia="方正仿宋_GBK" w:cs="方正仿宋_GBK"/>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ind w:firstLine="0" w:firstLineChars="0"/>
              <w:jc w:val="left"/>
              <w:rPr>
                <w:rFonts w:hint="eastAsia" w:ascii="方正仿宋_GBK" w:hAnsi="方正仿宋_GBK" w:eastAsia="方正仿宋_GBK" w:cs="方正仿宋_GBK"/>
                <w:color w:val="auto"/>
                <w:sz w:val="22"/>
                <w:szCs w:val="22"/>
                <w:highlight w:val="none"/>
                <w:vertAlign w:val="baseline"/>
                <w:lang w:val="en-US" w:eastAsia="zh-CN"/>
              </w:rPr>
            </w:pPr>
            <w:r>
              <w:rPr>
                <w:rFonts w:hint="eastAsia" w:ascii="方正仿宋_GBK" w:hAnsi="方正仿宋_GBK" w:eastAsia="方正仿宋_GBK" w:cs="方正仿宋_GBK"/>
                <w:color w:val="auto"/>
                <w:sz w:val="22"/>
                <w:szCs w:val="22"/>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ind w:firstLine="0" w:firstLineChars="0"/>
              <w:jc w:val="left"/>
              <w:rPr>
                <w:rFonts w:hint="eastAsia" w:ascii="方正仿宋_GBK" w:hAnsi="方正仿宋_GBK" w:eastAsia="方正仿宋_GBK" w:cs="方正仿宋_GBK"/>
                <w:color w:val="auto"/>
                <w:sz w:val="22"/>
                <w:szCs w:val="22"/>
                <w:highlight w:val="none"/>
                <w:vertAlign w:val="baseline"/>
                <w:lang w:val="en-US" w:eastAsia="zh-CN"/>
              </w:rPr>
            </w:pPr>
            <w:r>
              <w:rPr>
                <w:rFonts w:hint="eastAsia" w:ascii="方正仿宋_GBK" w:hAnsi="方正仿宋_GBK" w:eastAsia="方正仿宋_GBK" w:cs="方正仿宋_GBK"/>
                <w:b/>
                <w:bCs/>
                <w:color w:val="auto"/>
                <w:sz w:val="22"/>
                <w:szCs w:val="22"/>
                <w:highlight w:val="none"/>
                <w:vertAlign w:val="baseline"/>
                <w:lang w:val="en-US" w:eastAsia="zh-CN"/>
              </w:rPr>
              <w:t>说明：同一关联关系类型有多个主体的，应分行填写。</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heme="minorEastAsia" w:hAnsiTheme="minorEastAsia" w:eastAsiaTheme="minorEastAsia" w:cstheme="minorEastAsia"/>
          <w:color w:val="auto"/>
          <w:sz w:val="21"/>
          <w:szCs w:val="21"/>
          <w:lang w:val="en-US"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ESI仿宋-GB2312">
    <w:altName w:val="仿宋"/>
    <w:panose1 w:val="02000500000000000000"/>
    <w:charset w:val="86"/>
    <w:family w:val="auto"/>
    <w:pitch w:val="default"/>
    <w:sig w:usb0="00000000" w:usb1="00000000" w:usb2="00000010" w:usb3="00000000" w:csb0="0004000F" w:csb1="00000000"/>
  </w:font>
  <w:font w:name="文鼎小标宋简">
    <w:altName w:val="方正小标宋_GBK"/>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CESI仿宋-GB2312"/>
                              <w:sz w:val="24"/>
                              <w:szCs w:val="24"/>
                              <w:lang w:val="en-US" w:eastAsia="zh-CN"/>
                            </w:rPr>
                          </w:pPr>
                          <w:r>
                            <w:rPr>
                              <w:rFonts w:hint="eastAsia"/>
                              <w:sz w:val="24"/>
                              <w:szCs w:val="24"/>
                              <w:lang w:val="en-US" w:eastAsia="zh-CN"/>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sz w:val="24"/>
                              <w:szCs w:val="24"/>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CESI仿宋-GB2312"/>
                        <w:sz w:val="24"/>
                        <w:szCs w:val="24"/>
                        <w:lang w:val="en-US" w:eastAsia="zh-CN"/>
                      </w:rPr>
                    </w:pPr>
                    <w:r>
                      <w:rPr>
                        <w:rFonts w:hint="eastAsia"/>
                        <w:sz w:val="24"/>
                        <w:szCs w:val="24"/>
                        <w:lang w:val="en-US" w:eastAsia="zh-CN"/>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sz w:val="24"/>
                        <w:szCs w:val="24"/>
                        <w:lang w:val="en-US"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158.224.53//file/download?md5Path=75bed3189ec5a23c0a4d30470fcd0797@50773&amp;webOffice=1&amp;identityId=76d60e7a7df64587a3b3debd20cbf666&amp;token=76d60e7a7df64587a3bdebdd20cbf666&amp;identityId=187C855DE6536211DFB68287B6F7B1BA&amp;wjbh=B202300126&amp;hddyid=LCA010001_HD_01&amp;fileSrcName=2023_01_10_15_31_50_7ee77024f12b43049faabaf697953dea.docx"/>
  </w:docVars>
  <w:rsids>
    <w:rsidRoot w:val="00000000"/>
    <w:rsid w:val="03B9B8BC"/>
    <w:rsid w:val="05A7E5E5"/>
    <w:rsid w:val="05B723DB"/>
    <w:rsid w:val="062E3880"/>
    <w:rsid w:val="0B7F14CE"/>
    <w:rsid w:val="0F3358FD"/>
    <w:rsid w:val="13F9BD06"/>
    <w:rsid w:val="1D542EE5"/>
    <w:rsid w:val="1D6F0EAA"/>
    <w:rsid w:val="1ECFC4E4"/>
    <w:rsid w:val="1FB9CB0C"/>
    <w:rsid w:val="1FDBEE58"/>
    <w:rsid w:val="1FFE55F3"/>
    <w:rsid w:val="1FFF9E3C"/>
    <w:rsid w:val="25F2B259"/>
    <w:rsid w:val="27FFC087"/>
    <w:rsid w:val="28203AD5"/>
    <w:rsid w:val="29FF2631"/>
    <w:rsid w:val="2B3FB1C1"/>
    <w:rsid w:val="2B7EE4FE"/>
    <w:rsid w:val="2DFFEB90"/>
    <w:rsid w:val="2FAF6826"/>
    <w:rsid w:val="2FDF074F"/>
    <w:rsid w:val="2FF3A2AC"/>
    <w:rsid w:val="2FF6F8E3"/>
    <w:rsid w:val="2FFD2E99"/>
    <w:rsid w:val="33FF29F0"/>
    <w:rsid w:val="363B863F"/>
    <w:rsid w:val="366D3625"/>
    <w:rsid w:val="367BF42E"/>
    <w:rsid w:val="37A605DE"/>
    <w:rsid w:val="37BA3F0E"/>
    <w:rsid w:val="37BC02EE"/>
    <w:rsid w:val="37DF35E4"/>
    <w:rsid w:val="397FCCA8"/>
    <w:rsid w:val="39EF651F"/>
    <w:rsid w:val="39FFE4AD"/>
    <w:rsid w:val="3BF736D6"/>
    <w:rsid w:val="3CDFFEDE"/>
    <w:rsid w:val="3CED2D44"/>
    <w:rsid w:val="3CFEF5A7"/>
    <w:rsid w:val="3DFFBBBC"/>
    <w:rsid w:val="3E6B505B"/>
    <w:rsid w:val="3E6E3237"/>
    <w:rsid w:val="3E6FFF0B"/>
    <w:rsid w:val="3ECDFCE3"/>
    <w:rsid w:val="3EF7E0FC"/>
    <w:rsid w:val="3EFA508B"/>
    <w:rsid w:val="3EFB3974"/>
    <w:rsid w:val="3EFBC4D5"/>
    <w:rsid w:val="3F7D12A4"/>
    <w:rsid w:val="3F7E5F5A"/>
    <w:rsid w:val="3F7F4357"/>
    <w:rsid w:val="3FEB6D4A"/>
    <w:rsid w:val="3FEF30F9"/>
    <w:rsid w:val="3FF4F65B"/>
    <w:rsid w:val="3FFE770D"/>
    <w:rsid w:val="3FFFF57E"/>
    <w:rsid w:val="43FF175D"/>
    <w:rsid w:val="473BABE0"/>
    <w:rsid w:val="479CCAFC"/>
    <w:rsid w:val="4B91C8ED"/>
    <w:rsid w:val="4BED5F81"/>
    <w:rsid w:val="4EFF9BD0"/>
    <w:rsid w:val="4F5FA413"/>
    <w:rsid w:val="4F7BC4FE"/>
    <w:rsid w:val="4FAC9056"/>
    <w:rsid w:val="4FFD4912"/>
    <w:rsid w:val="4FFFF045"/>
    <w:rsid w:val="52BF47C9"/>
    <w:rsid w:val="52FEB417"/>
    <w:rsid w:val="55DD31C1"/>
    <w:rsid w:val="57F7C1DA"/>
    <w:rsid w:val="57FBFEE4"/>
    <w:rsid w:val="57FD75A6"/>
    <w:rsid w:val="586D8B4B"/>
    <w:rsid w:val="5AFE9DBA"/>
    <w:rsid w:val="5B6D66F8"/>
    <w:rsid w:val="5BDFFAF3"/>
    <w:rsid w:val="5BEE8C0B"/>
    <w:rsid w:val="5CFFF130"/>
    <w:rsid w:val="5D7F0C28"/>
    <w:rsid w:val="5DF70FED"/>
    <w:rsid w:val="5DF7EBCB"/>
    <w:rsid w:val="5EBEEEB2"/>
    <w:rsid w:val="5EBF3EBA"/>
    <w:rsid w:val="5EDFDDB3"/>
    <w:rsid w:val="5EFF8040"/>
    <w:rsid w:val="5F3B02E0"/>
    <w:rsid w:val="5F3C3792"/>
    <w:rsid w:val="5F3F678E"/>
    <w:rsid w:val="5F7F3F0A"/>
    <w:rsid w:val="5F7FF958"/>
    <w:rsid w:val="5F9FB85F"/>
    <w:rsid w:val="5FEF719A"/>
    <w:rsid w:val="5FFC73F0"/>
    <w:rsid w:val="5FFCC8DC"/>
    <w:rsid w:val="5FFF4AB8"/>
    <w:rsid w:val="5FFF936A"/>
    <w:rsid w:val="60AD0A4B"/>
    <w:rsid w:val="610E6181"/>
    <w:rsid w:val="64BF9ACC"/>
    <w:rsid w:val="65C7A033"/>
    <w:rsid w:val="65E78F8F"/>
    <w:rsid w:val="65E85B1C"/>
    <w:rsid w:val="671F48DD"/>
    <w:rsid w:val="67E5F184"/>
    <w:rsid w:val="67EE4693"/>
    <w:rsid w:val="67F34743"/>
    <w:rsid w:val="6AE868F6"/>
    <w:rsid w:val="6BFC7A23"/>
    <w:rsid w:val="6CBA4F03"/>
    <w:rsid w:val="6CBCA2D0"/>
    <w:rsid w:val="6CD9908B"/>
    <w:rsid w:val="6D464A48"/>
    <w:rsid w:val="6D5BC84A"/>
    <w:rsid w:val="6DF50182"/>
    <w:rsid w:val="6EEB47BB"/>
    <w:rsid w:val="6EFBC3D2"/>
    <w:rsid w:val="6EFFDCEA"/>
    <w:rsid w:val="6F579DA2"/>
    <w:rsid w:val="6F72B5CD"/>
    <w:rsid w:val="6F7EDEB0"/>
    <w:rsid w:val="6F9F7821"/>
    <w:rsid w:val="6FB3D497"/>
    <w:rsid w:val="6FBFD4BC"/>
    <w:rsid w:val="6FDFE1A3"/>
    <w:rsid w:val="6FEFA51C"/>
    <w:rsid w:val="6FEFC107"/>
    <w:rsid w:val="6FF1D33B"/>
    <w:rsid w:val="6FF791DB"/>
    <w:rsid w:val="6FF7F9EA"/>
    <w:rsid w:val="6FF82B2E"/>
    <w:rsid w:val="6FFDA79C"/>
    <w:rsid w:val="6FFE6ED3"/>
    <w:rsid w:val="6FFF0CC0"/>
    <w:rsid w:val="70FF8BAE"/>
    <w:rsid w:val="717BCA18"/>
    <w:rsid w:val="7277B65A"/>
    <w:rsid w:val="72AB9CCF"/>
    <w:rsid w:val="737F19DD"/>
    <w:rsid w:val="73BD96B3"/>
    <w:rsid w:val="73FFCC3F"/>
    <w:rsid w:val="75DB25BB"/>
    <w:rsid w:val="76AD05EB"/>
    <w:rsid w:val="775FDDD0"/>
    <w:rsid w:val="776DBB44"/>
    <w:rsid w:val="777F3BE8"/>
    <w:rsid w:val="777FFEE1"/>
    <w:rsid w:val="77AFE9E0"/>
    <w:rsid w:val="77D5DEF0"/>
    <w:rsid w:val="77E7A7D1"/>
    <w:rsid w:val="77EF7022"/>
    <w:rsid w:val="77F5F1BF"/>
    <w:rsid w:val="77F797BC"/>
    <w:rsid w:val="77FAD0A1"/>
    <w:rsid w:val="77FFC4BB"/>
    <w:rsid w:val="78FB7334"/>
    <w:rsid w:val="793DB933"/>
    <w:rsid w:val="79ADC769"/>
    <w:rsid w:val="79BF2A67"/>
    <w:rsid w:val="79E72C20"/>
    <w:rsid w:val="7A77CF90"/>
    <w:rsid w:val="7AD79E9D"/>
    <w:rsid w:val="7AF3BDE0"/>
    <w:rsid w:val="7AFF985C"/>
    <w:rsid w:val="7B2D61F8"/>
    <w:rsid w:val="7B3B115F"/>
    <w:rsid w:val="7B5DEEE3"/>
    <w:rsid w:val="7B7D7138"/>
    <w:rsid w:val="7B7DE911"/>
    <w:rsid w:val="7B9E1EFD"/>
    <w:rsid w:val="7BA57C6F"/>
    <w:rsid w:val="7BBF738D"/>
    <w:rsid w:val="7BDDB7EA"/>
    <w:rsid w:val="7BDE3E09"/>
    <w:rsid w:val="7BDFFB7A"/>
    <w:rsid w:val="7BE7D071"/>
    <w:rsid w:val="7BF89471"/>
    <w:rsid w:val="7BFD16FA"/>
    <w:rsid w:val="7BFE7E40"/>
    <w:rsid w:val="7CD646BB"/>
    <w:rsid w:val="7CFC9761"/>
    <w:rsid w:val="7D0A2210"/>
    <w:rsid w:val="7D512873"/>
    <w:rsid w:val="7D6F8C81"/>
    <w:rsid w:val="7DAC5BBF"/>
    <w:rsid w:val="7DDF066D"/>
    <w:rsid w:val="7DDFC693"/>
    <w:rsid w:val="7DFB2CDC"/>
    <w:rsid w:val="7DFFF0DC"/>
    <w:rsid w:val="7E57B6B2"/>
    <w:rsid w:val="7E7C3968"/>
    <w:rsid w:val="7E7FBF72"/>
    <w:rsid w:val="7EA54DFC"/>
    <w:rsid w:val="7EA75121"/>
    <w:rsid w:val="7EBCAC87"/>
    <w:rsid w:val="7EE0C8F0"/>
    <w:rsid w:val="7EFAB49A"/>
    <w:rsid w:val="7EFD200C"/>
    <w:rsid w:val="7EFEF17F"/>
    <w:rsid w:val="7EFF09B4"/>
    <w:rsid w:val="7EFF3D6C"/>
    <w:rsid w:val="7F27F150"/>
    <w:rsid w:val="7F73FD67"/>
    <w:rsid w:val="7F8FE494"/>
    <w:rsid w:val="7F9B0323"/>
    <w:rsid w:val="7FABAC42"/>
    <w:rsid w:val="7FADAE52"/>
    <w:rsid w:val="7FAF8270"/>
    <w:rsid w:val="7FB7A3BF"/>
    <w:rsid w:val="7FBFA41B"/>
    <w:rsid w:val="7FCF03D5"/>
    <w:rsid w:val="7FDD2C49"/>
    <w:rsid w:val="7FEBD66E"/>
    <w:rsid w:val="7FF31D0B"/>
    <w:rsid w:val="7FF4EBC0"/>
    <w:rsid w:val="7FF6DDFF"/>
    <w:rsid w:val="7FF96D52"/>
    <w:rsid w:val="7FFB0E59"/>
    <w:rsid w:val="7FFBD5D9"/>
    <w:rsid w:val="7FFDBF9C"/>
    <w:rsid w:val="8B35CCED"/>
    <w:rsid w:val="99FD259A"/>
    <w:rsid w:val="9BAF6554"/>
    <w:rsid w:val="9CFA9C6E"/>
    <w:rsid w:val="9F7FB1DB"/>
    <w:rsid w:val="9F8FFE35"/>
    <w:rsid w:val="A3EB2AD6"/>
    <w:rsid w:val="A7EF27DF"/>
    <w:rsid w:val="A7F0DD12"/>
    <w:rsid w:val="A7F57DE9"/>
    <w:rsid w:val="AA2CB191"/>
    <w:rsid w:val="AB7F2280"/>
    <w:rsid w:val="AEF361DE"/>
    <w:rsid w:val="AEF7F127"/>
    <w:rsid w:val="AFAC911B"/>
    <w:rsid w:val="AFDF3F65"/>
    <w:rsid w:val="AFEE0E81"/>
    <w:rsid w:val="B219B09E"/>
    <w:rsid w:val="B5F75879"/>
    <w:rsid w:val="B6FF5E75"/>
    <w:rsid w:val="B7DB2C42"/>
    <w:rsid w:val="B8D30680"/>
    <w:rsid w:val="B9BAA42A"/>
    <w:rsid w:val="B9FF888F"/>
    <w:rsid w:val="B9FFFC7F"/>
    <w:rsid w:val="BA2FCE57"/>
    <w:rsid w:val="BAEFFDF5"/>
    <w:rsid w:val="BB3EE9D6"/>
    <w:rsid w:val="BB7DA30D"/>
    <w:rsid w:val="BBF5653C"/>
    <w:rsid w:val="BDFAD754"/>
    <w:rsid w:val="BEB712A2"/>
    <w:rsid w:val="BEFD45FB"/>
    <w:rsid w:val="BEFF5DAE"/>
    <w:rsid w:val="BF7A9B3D"/>
    <w:rsid w:val="BF7BB0BF"/>
    <w:rsid w:val="BF7C62E1"/>
    <w:rsid w:val="BF972FE1"/>
    <w:rsid w:val="BF9FD898"/>
    <w:rsid w:val="BFB70380"/>
    <w:rsid w:val="BFB74217"/>
    <w:rsid w:val="BFEEC548"/>
    <w:rsid w:val="BFF7D46D"/>
    <w:rsid w:val="BFFB73CE"/>
    <w:rsid w:val="C6F61F67"/>
    <w:rsid w:val="CAFCB2B5"/>
    <w:rsid w:val="CBF7CCD3"/>
    <w:rsid w:val="CBFB7035"/>
    <w:rsid w:val="CDD37C5C"/>
    <w:rsid w:val="D0AFB728"/>
    <w:rsid w:val="D3A6C5F7"/>
    <w:rsid w:val="D3BC6E40"/>
    <w:rsid w:val="D3BF9160"/>
    <w:rsid w:val="D59B555C"/>
    <w:rsid w:val="D78DCCE5"/>
    <w:rsid w:val="D7AE74D4"/>
    <w:rsid w:val="D7BD43D6"/>
    <w:rsid w:val="DA7D89DC"/>
    <w:rsid w:val="DAA6F4EE"/>
    <w:rsid w:val="DAF7E2C9"/>
    <w:rsid w:val="DAFE4EFF"/>
    <w:rsid w:val="DB5DB7D6"/>
    <w:rsid w:val="DB7DAB68"/>
    <w:rsid w:val="DBBF20D2"/>
    <w:rsid w:val="DBD1B86B"/>
    <w:rsid w:val="DEFECD0B"/>
    <w:rsid w:val="DEFF2B4B"/>
    <w:rsid w:val="DEFF7389"/>
    <w:rsid w:val="DF7E5914"/>
    <w:rsid w:val="DFEFA252"/>
    <w:rsid w:val="DFF75CCD"/>
    <w:rsid w:val="DFFBD1BA"/>
    <w:rsid w:val="DFFBE6EC"/>
    <w:rsid w:val="DFFD4A7E"/>
    <w:rsid w:val="E0FE389B"/>
    <w:rsid w:val="E3A7568F"/>
    <w:rsid w:val="E3EF0BDC"/>
    <w:rsid w:val="E759B1A6"/>
    <w:rsid w:val="E777525A"/>
    <w:rsid w:val="E7BDC556"/>
    <w:rsid w:val="E7FCC36B"/>
    <w:rsid w:val="E7FE9BDB"/>
    <w:rsid w:val="E7FF945F"/>
    <w:rsid w:val="E9E556A9"/>
    <w:rsid w:val="EB59D731"/>
    <w:rsid w:val="EBBF2A36"/>
    <w:rsid w:val="EBFE0ECB"/>
    <w:rsid w:val="EC5F883E"/>
    <w:rsid w:val="EDBF19F1"/>
    <w:rsid w:val="EEFA8FA3"/>
    <w:rsid w:val="EEFC495B"/>
    <w:rsid w:val="EEFFF410"/>
    <w:rsid w:val="EF128C5A"/>
    <w:rsid w:val="EF5F4AB0"/>
    <w:rsid w:val="EF7B1203"/>
    <w:rsid w:val="EFDB831C"/>
    <w:rsid w:val="EFDFF33C"/>
    <w:rsid w:val="EFEF04E7"/>
    <w:rsid w:val="EFFEADD3"/>
    <w:rsid w:val="EFFF31AA"/>
    <w:rsid w:val="F3C7254A"/>
    <w:rsid w:val="F3E3E062"/>
    <w:rsid w:val="F3E7786D"/>
    <w:rsid w:val="F3FE1F1D"/>
    <w:rsid w:val="F3FFC957"/>
    <w:rsid w:val="F48FEA0D"/>
    <w:rsid w:val="F4DA5D14"/>
    <w:rsid w:val="F5E7A988"/>
    <w:rsid w:val="F5FEAAE1"/>
    <w:rsid w:val="F69F2E5E"/>
    <w:rsid w:val="F6F3F404"/>
    <w:rsid w:val="F6FE9375"/>
    <w:rsid w:val="F6FFB4E2"/>
    <w:rsid w:val="F77DE27E"/>
    <w:rsid w:val="F7A396A9"/>
    <w:rsid w:val="F7BF54B3"/>
    <w:rsid w:val="F7BFCB7B"/>
    <w:rsid w:val="F7ED5BC3"/>
    <w:rsid w:val="F7F631F8"/>
    <w:rsid w:val="F7FF12F1"/>
    <w:rsid w:val="F7FF6586"/>
    <w:rsid w:val="F7FFAF34"/>
    <w:rsid w:val="F81FFD17"/>
    <w:rsid w:val="F94E48D1"/>
    <w:rsid w:val="F97D178D"/>
    <w:rsid w:val="F98B8EB6"/>
    <w:rsid w:val="F9BF8A26"/>
    <w:rsid w:val="F9DF9592"/>
    <w:rsid w:val="F9DFFAEA"/>
    <w:rsid w:val="FA9F1BCB"/>
    <w:rsid w:val="FABF6233"/>
    <w:rsid w:val="FACCDE65"/>
    <w:rsid w:val="FADE6003"/>
    <w:rsid w:val="FAF56ED1"/>
    <w:rsid w:val="FAFF8F9F"/>
    <w:rsid w:val="FAFFBC07"/>
    <w:rsid w:val="FB3BF8D3"/>
    <w:rsid w:val="FB9FA60E"/>
    <w:rsid w:val="FBAFFE09"/>
    <w:rsid w:val="FBBB48A1"/>
    <w:rsid w:val="FBD59FE5"/>
    <w:rsid w:val="FBEB0210"/>
    <w:rsid w:val="FBF3A7A8"/>
    <w:rsid w:val="FBFBD82F"/>
    <w:rsid w:val="FBFD0829"/>
    <w:rsid w:val="FBFF0007"/>
    <w:rsid w:val="FD6FBB1D"/>
    <w:rsid w:val="FD9FC522"/>
    <w:rsid w:val="FDA36C1B"/>
    <w:rsid w:val="FDAECDAE"/>
    <w:rsid w:val="FDBA506E"/>
    <w:rsid w:val="FDD35837"/>
    <w:rsid w:val="FDDD1E62"/>
    <w:rsid w:val="FDE77BDE"/>
    <w:rsid w:val="FDEE0F55"/>
    <w:rsid w:val="FDEF1E6F"/>
    <w:rsid w:val="FDF9F38F"/>
    <w:rsid w:val="FE5CA867"/>
    <w:rsid w:val="FE77C0C9"/>
    <w:rsid w:val="FE7E3954"/>
    <w:rsid w:val="FEBC23F1"/>
    <w:rsid w:val="FEC78E48"/>
    <w:rsid w:val="FED7F4F7"/>
    <w:rsid w:val="FEEF603C"/>
    <w:rsid w:val="FEF8C6FE"/>
    <w:rsid w:val="FEFBB281"/>
    <w:rsid w:val="FEFBE3DE"/>
    <w:rsid w:val="FEFE3DAE"/>
    <w:rsid w:val="FEFF150D"/>
    <w:rsid w:val="FF1E4119"/>
    <w:rsid w:val="FF3608A0"/>
    <w:rsid w:val="FF5F7553"/>
    <w:rsid w:val="FF67AA2A"/>
    <w:rsid w:val="FF693702"/>
    <w:rsid w:val="FF79D331"/>
    <w:rsid w:val="FFB74D20"/>
    <w:rsid w:val="FFBAE54D"/>
    <w:rsid w:val="FFD44934"/>
    <w:rsid w:val="FFD8ECE8"/>
    <w:rsid w:val="FFD9D577"/>
    <w:rsid w:val="FFDF79FB"/>
    <w:rsid w:val="FFDF84EE"/>
    <w:rsid w:val="FFE5BE42"/>
    <w:rsid w:val="FFEBC923"/>
    <w:rsid w:val="FFF94008"/>
    <w:rsid w:val="FFFD400F"/>
    <w:rsid w:val="FFFD7AC2"/>
    <w:rsid w:val="FFFE1CEC"/>
    <w:rsid w:val="FFFF7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CESI仿宋-GB2312" w:hAnsi="CESI仿宋-GB2312" w:eastAsia="CESI仿宋-GB2312" w:cs="CESI仿宋-GB2312"/>
      <w:kern w:val="2"/>
      <w:sz w:val="32"/>
      <w:szCs w:val="22"/>
      <w:lang w:val="en-US" w:eastAsia="zh-CN" w:bidi="ar-SA"/>
    </w:rPr>
  </w:style>
  <w:style w:type="paragraph" w:styleId="4">
    <w:name w:val="heading 1"/>
    <w:basedOn w:val="1"/>
    <w:next w:val="1"/>
    <w:qFormat/>
    <w:uiPriority w:val="0"/>
    <w:pPr>
      <w:keepNext/>
      <w:keepLines/>
      <w:adjustRightInd w:val="0"/>
      <w:jc w:val="distribute"/>
      <w:outlineLvl w:val="0"/>
    </w:pPr>
    <w:rPr>
      <w:rFonts w:eastAsia="文鼎小标宋简"/>
      <w:b/>
      <w:color w:val="FF0000"/>
      <w:kern w:val="44"/>
      <w:sz w:val="72"/>
      <w:szCs w:val="20"/>
    </w:rPr>
  </w:style>
  <w:style w:type="paragraph" w:styleId="5">
    <w:name w:val="heading 2"/>
    <w:basedOn w:val="1"/>
    <w:next w:val="1"/>
    <w:unhideWhenUsed/>
    <w:qFormat/>
    <w:uiPriority w:val="9"/>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0"/>
    <w:rPr>
      <w:rFonts w:ascii="Times New Roman" w:hAnsi="Times New Roman"/>
      <w:sz w:val="32"/>
      <w:szCs w:val="24"/>
    </w:rPr>
  </w:style>
  <w:style w:type="paragraph" w:styleId="3">
    <w:name w:val="Title"/>
    <w:basedOn w:val="1"/>
    <w:next w:val="1"/>
    <w:qFormat/>
    <w:uiPriority w:val="0"/>
    <w:pPr>
      <w:widowControl w:val="0"/>
      <w:spacing w:before="240" w:after="60" w:line="276" w:lineRule="auto"/>
      <w:jc w:val="center"/>
      <w:outlineLvl w:val="0"/>
    </w:pPr>
    <w:rPr>
      <w:rFonts w:ascii="Cambria" w:hAnsi="Cambria" w:eastAsia="宋体" w:cs="Times New Roman"/>
      <w:b/>
      <w:bCs/>
      <w:kern w:val="2"/>
      <w:sz w:val="32"/>
      <w:szCs w:val="32"/>
      <w:lang w:val="en-US" w:eastAsia="zh-CN" w:bidi="ar-SA"/>
    </w:rPr>
  </w:style>
  <w:style w:type="paragraph" w:styleId="6">
    <w:name w:val="Normal Indent"/>
    <w:basedOn w:val="1"/>
    <w:next w:val="2"/>
    <w:qFormat/>
    <w:uiPriority w:val="0"/>
    <w:pPr>
      <w:ind w:firstLine="420" w:firstLineChars="200"/>
    </w:pPr>
  </w:style>
  <w:style w:type="paragraph" w:styleId="7">
    <w:name w:val="annotation text"/>
    <w:basedOn w:val="1"/>
    <w:qFormat/>
    <w:uiPriority w:val="0"/>
    <w:pPr>
      <w:jc w:val="left"/>
    </w:pPr>
  </w:style>
  <w:style w:type="paragraph" w:styleId="8">
    <w:name w:val="Plain Text"/>
    <w:basedOn w:val="1"/>
    <w:unhideWhenUsed/>
    <w:qFormat/>
    <w:uiPriority w:val="99"/>
    <w:rPr>
      <w:rFonts w:ascii="宋体" w:hAnsi="Courier New" w:cs="黑体"/>
      <w:szCs w:val="22"/>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unhideWhenUsed/>
    <w:qFormat/>
    <w:uiPriority w:val="99"/>
    <w:pPr>
      <w:snapToGrid w:val="0"/>
      <w:jc w:val="left"/>
    </w:pPr>
    <w:rPr>
      <w:sz w:val="18"/>
    </w:rPr>
  </w:style>
  <w:style w:type="paragraph" w:styleId="12">
    <w:name w:val="Body Text 2"/>
    <w:basedOn w:val="1"/>
    <w:qFormat/>
    <w:uiPriority w:val="0"/>
    <w:pPr>
      <w:spacing w:line="360" w:lineRule="auto"/>
    </w:pPr>
    <w:rPr>
      <w:sz w:val="24"/>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character" w:styleId="20">
    <w:name w:val="footnote reference"/>
    <w:basedOn w:val="17"/>
    <w:unhideWhenUsed/>
    <w:qFormat/>
    <w:uiPriority w:val="99"/>
    <w:rPr>
      <w:vertAlign w:val="superscript"/>
    </w:rPr>
  </w:style>
  <w:style w:type="paragraph" w:customStyle="1" w:styleId="21">
    <w:name w:val="秘密紧急"/>
    <w:basedOn w:val="1"/>
    <w:qFormat/>
    <w:uiPriority w:val="0"/>
    <w:pPr>
      <w:jc w:val="right"/>
    </w:pPr>
    <w:rPr>
      <w:rFonts w:ascii="黑体" w:eastAsia="黑体"/>
      <w:sz w:val="32"/>
      <w:szCs w:val="20"/>
    </w:rPr>
  </w:style>
  <w:style w:type="paragraph" w:customStyle="1" w:styleId="22">
    <w:name w:val="列出段落2"/>
    <w:basedOn w:val="1"/>
    <w:qFormat/>
    <w:uiPriority w:val="34"/>
    <w:pPr>
      <w:ind w:firstLine="420" w:firstLineChars="200"/>
    </w:pPr>
  </w:style>
  <w:style w:type="paragraph" w:customStyle="1" w:styleId="23">
    <w:name w:val="_Style 6"/>
    <w:next w:val="1"/>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2021-09-18T19:47:00Z</dcterms:created>
  <dc:creator>win-04</dc:creator>
  <cp:lastModifiedBy>晚舟载星</cp:lastModifiedBy>
  <cp:lastPrinted>2025-09-05T01:05:00Z</cp:lastPrinted>
  <dcterms:modified xsi:type="dcterms:W3CDTF">2026-10-28T02:21:17Z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5436836F7EF75D869B3CC968AADFDECD</vt:lpwstr>
  </property>
</Properties>
</file>