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beforeLines="50" w:after="120" w:afterLines="50"/>
        <w:jc w:val="both"/>
        <w:rPr>
          <w:rFonts w:hint="eastAsia" w:ascii="CESI黑体-GB2312" w:hAnsi="CESI黑体-GB2312" w:eastAsia="CESI黑体-GB2312" w:cs="CESI黑体-GB2312"/>
          <w:b w:val="0"/>
          <w:bCs w:val="0"/>
          <w:color w:val="auto"/>
          <w:sz w:val="32"/>
          <w:szCs w:val="32"/>
          <w:highlight w:val="none"/>
          <w:lang w:eastAsia="zh-CN"/>
        </w:rPr>
      </w:pPr>
      <w:r>
        <w:rPr>
          <w:rFonts w:hint="eastAsia" w:ascii="CESI黑体-GB2312" w:hAnsi="CESI黑体-GB2312" w:eastAsia="CESI黑体-GB2312" w:cs="CESI黑体-GB2312"/>
          <w:b w:val="0"/>
          <w:bCs w:val="0"/>
          <w:color w:val="auto"/>
          <w:sz w:val="32"/>
          <w:szCs w:val="32"/>
          <w:highlight w:val="none"/>
          <w:lang w:eastAsia="zh-CN"/>
        </w:rPr>
        <w:t>附件</w:t>
      </w:r>
    </w:p>
    <w:p>
      <w:pPr>
        <w:pStyle w:val="2"/>
        <w:spacing w:before="120" w:beforeLines="50" w:after="120" w:afterLines="50"/>
        <w:jc w:val="center"/>
        <w:rPr>
          <w:rFonts w:hint="eastAsia" w:ascii="CESI小标宋-GB2312" w:hAnsi="CESI小标宋-GB2312" w:eastAsia="CESI小标宋-GB2312" w:cs="CESI小标宋-GB2312"/>
          <w:b w:val="0"/>
          <w:bCs w:val="0"/>
          <w:color w:val="auto"/>
          <w:sz w:val="44"/>
          <w:szCs w:val="44"/>
          <w:highlight w:val="none"/>
          <w:lang w:eastAsia="zh-CN"/>
        </w:rPr>
      </w:pPr>
      <w:r>
        <w:rPr>
          <w:rFonts w:hint="eastAsia" w:ascii="CESI小标宋-GB2312" w:hAnsi="CESI小标宋-GB2312" w:eastAsia="CESI小标宋-GB2312" w:cs="CESI小标宋-GB2312"/>
          <w:b w:val="0"/>
          <w:bCs w:val="0"/>
          <w:color w:val="auto"/>
          <w:sz w:val="44"/>
          <w:szCs w:val="44"/>
          <w:highlight w:val="none"/>
          <w:lang w:eastAsia="zh-CN"/>
        </w:rPr>
        <w:t>评审评分规则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评标方法：综合评分法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综合评分法，是指投标文件满足采购文件全部实质性要求，且按照评审因素的量化指标评审得分最高的投标人为中标候选人的评标方法。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评标总得分（100分）＝价格分＋技术要求偏离情况分＋项目服务方案分+样品提供及现场测试情况分+投标人经验情况分+投标人认证情况分+诚信情况分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5042"/>
        <w:gridCol w:w="112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评分因素</w:t>
            </w:r>
          </w:p>
        </w:tc>
        <w:tc>
          <w:tcPr>
            <w:tcW w:w="50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评分规则</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权重</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价格</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采用低价优先法计算，即满足采购文件要求且投标价格最低的投标报价为评标基准价，其价格分为满分。其他投标人的价格分统一按照下列公式计算：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投标报价得分=(评标基准价/有效投标报价)×价格分权值</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30</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技术要求偏离情况</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投标人应按照计数要求如实填写《技术要求偏离表》，评审委员会根据技术需求参数响应情况进行打分。各项技术参数指标及要求全部满足的得3</w:t>
            </w:r>
            <w:r>
              <w:rPr>
                <w:rFonts w:hint="eastAsia" w:ascii="CESI仿宋-GB2312" w:hAnsi="CESI仿宋-GB2312" w:eastAsia="CESI仿宋-GB2312" w:cs="CESI仿宋-GB2312"/>
                <w:color w:val="auto"/>
                <w:sz w:val="28"/>
                <w:szCs w:val="28"/>
                <w:highlight w:val="none"/>
                <w:vertAlign w:val="baseline"/>
                <w:lang w:val="en-US" w:eastAsia="zh-CN"/>
              </w:rPr>
              <w:t>4</w:t>
            </w:r>
            <w:r>
              <w:rPr>
                <w:rFonts w:hint="eastAsia" w:ascii="CESI仿宋-GB2312" w:hAnsi="CESI仿宋-GB2312" w:eastAsia="CESI仿宋-GB2312" w:cs="CESI仿宋-GB2312"/>
                <w:color w:val="auto"/>
                <w:sz w:val="28"/>
                <w:szCs w:val="28"/>
                <w:highlight w:val="none"/>
                <w:vertAlign w:val="baseline"/>
                <w:lang w:eastAsia="zh-CN"/>
              </w:rPr>
              <w:t>分，一般技术参数每项负偏离扣1分，“▲”重要技术参数每项负偏离扣2分，单个产品项目最多扣4分，扣完为止。</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34</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项目服务方案</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（一）评分内容：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投标供应商根据本项目的需求制定项目服务方案（包括但不限于供货保证措施方案、安装调试方案、售后服务方案、应急措施方案、质量及交期保障措施）根据响应情况进行评审：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（1）项目的服务方案全面可行、完善，架构完整具体、合理性高，可行性强，完全满足并优于采购需求要求，能有效确保项目顺利实施，得10分；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（2）项目服务方案较大程度详细、完善，架构较为完整概括，具备合理性、可行性，满足并部分优于采购需求要求的，得8分；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（3）项目服务方案比较具体、内容简单，满足采购需求要求的，得6分；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（4）项目服务方案部分内容具体、不够清晰，部分内容能够满足采购需求，得4分；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（5）项目服务方案不具体、内容不清晰，不能满足采购需求，得2分；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（6）未提供方案不得分。</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10</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样品提供及现场测试情况</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（一）评分内容：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eastAsia="zh-CN"/>
              </w:rPr>
              <w:t>投标</w:t>
            </w:r>
            <w:r>
              <w:rPr>
                <w:rFonts w:hint="eastAsia" w:ascii="CESI仿宋-GB2312" w:hAnsi="CESI仿宋-GB2312" w:eastAsia="CESI仿宋-GB2312" w:cs="CESI仿宋-GB2312"/>
                <w:color w:val="auto"/>
                <w:sz w:val="28"/>
                <w:szCs w:val="28"/>
                <w:highlight w:val="none"/>
                <w:vertAlign w:val="baseline"/>
                <w:lang w:val="en-US" w:eastAsia="zh-CN"/>
              </w:rPr>
              <w:t>供应商根据招标文件要求提供样品并进行现场测试。根据现场样品情况进行评审：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（1）样品提供情况：投标人按要求提供样品得4分，经专家认定样品不合要求或货不对板的，视为未提供样品；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（2）样品现场测试情况：投标人按要求提供的样品现场测试完全符合招标文件要求得2分，经专家认定测试情况不合要求的，视为不符合测试；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（3）在提供样品及现场测试情况的基础上，专家对样品的结构、材质等方面进一步评审：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①投标样品结构完整，精致、美观、牢固度高、无异味，材质好，得4分；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②投标样品结构较完整，较精致、较美观、较牢固、无明显异味，材质较好，得2分；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③投标样品结构不完整，细节处理水平较差、不牢固、有异味，材质较差，得1分。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default" w:ascii="CESI仿宋-GB2312" w:hAnsi="CESI仿宋-GB2312" w:eastAsia="CESI仿宋-GB2312" w:cs="CESI仿宋-GB2312"/>
                <w:color w:val="auto"/>
                <w:sz w:val="28"/>
                <w:szCs w:val="28"/>
                <w:highlight w:val="none"/>
                <w:vertAlign w:val="baseline"/>
                <w:lang w:val="en" w:eastAsia="zh-CN"/>
              </w:rPr>
            </w:pPr>
            <w:r>
              <w:rPr>
                <w:rFonts w:hint="eastAsia" w:ascii="CESI仿宋-GB2312" w:hAnsi="CESI仿宋-GB2312" w:eastAsia="CESI仿宋-GB2312" w:cs="CESI仿宋-GB2312"/>
                <w:color w:val="auto"/>
                <w:sz w:val="28"/>
                <w:szCs w:val="28"/>
                <w:highlight w:val="none"/>
                <w:vertAlign w:val="baseline"/>
                <w:lang w:val="en-US" w:eastAsia="zh-CN"/>
              </w:rPr>
              <w:t>备注:完全不提供样品不得分，每少提供一项扣1分。</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10</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投标人经验情况</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（一）评审内容：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投标人自2020年01月01日以后（以合同签订时间为准）：具有同类项目业绩的，每提供一项得1分，最高得5分。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评审依据：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提供项目合同关键页（包括但不限于：签订合同双方的单位名称页、合同项目名称页、项目金额信息页、签订合同双方的落款盖章页、签订日期页）扫描件。续签合同的不重复计分。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未按要求提供相关材料或扫描件不清晰导致无法判断内容的不得分，原件备查。</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5</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投标人认证情况</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（一）评审内容：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w:t>
            </w:r>
            <w:r>
              <w:rPr>
                <w:rFonts w:hint="eastAsia" w:ascii="CESI仿宋-GB2312" w:hAnsi="CESI仿宋-GB2312" w:eastAsia="CESI仿宋-GB2312" w:cs="CESI仿宋-GB2312"/>
                <w:color w:val="auto"/>
                <w:sz w:val="28"/>
                <w:szCs w:val="28"/>
                <w:highlight w:val="none"/>
                <w:vertAlign w:val="baseline"/>
                <w:lang w:eastAsia="zh-CN"/>
              </w:rPr>
              <w:t>具有质量管理体系认证证书，</w:t>
            </w:r>
            <w:r>
              <w:rPr>
                <w:rFonts w:hint="eastAsia" w:ascii="CESI仿宋-GB2312" w:hAnsi="CESI仿宋-GB2312" w:eastAsia="CESI仿宋-GB2312" w:cs="CESI仿宋-GB2312"/>
                <w:color w:val="auto"/>
                <w:sz w:val="28"/>
                <w:szCs w:val="28"/>
                <w:highlight w:val="none"/>
                <w:vertAlign w:val="baseline"/>
                <w:lang w:val="en-US" w:eastAsia="zh-CN"/>
              </w:rPr>
              <w:t>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2、</w:t>
            </w:r>
            <w:r>
              <w:rPr>
                <w:rFonts w:hint="eastAsia" w:ascii="CESI仿宋-GB2312" w:hAnsi="CESI仿宋-GB2312" w:eastAsia="CESI仿宋-GB2312" w:cs="CESI仿宋-GB2312"/>
                <w:color w:val="auto"/>
                <w:sz w:val="28"/>
                <w:szCs w:val="28"/>
                <w:highlight w:val="none"/>
                <w:vertAlign w:val="baseline"/>
                <w:lang w:eastAsia="zh-CN"/>
              </w:rPr>
              <w:t>具有环境管理体系认证证书，</w:t>
            </w:r>
            <w:r>
              <w:rPr>
                <w:rFonts w:hint="eastAsia" w:ascii="CESI仿宋-GB2312" w:hAnsi="CESI仿宋-GB2312" w:eastAsia="CESI仿宋-GB2312" w:cs="CESI仿宋-GB2312"/>
                <w:color w:val="auto"/>
                <w:sz w:val="28"/>
                <w:szCs w:val="28"/>
                <w:highlight w:val="none"/>
                <w:vertAlign w:val="baseline"/>
                <w:lang w:val="en-US" w:eastAsia="zh-CN"/>
              </w:rPr>
              <w:t>得2分；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3、</w:t>
            </w:r>
            <w:r>
              <w:rPr>
                <w:rFonts w:hint="eastAsia" w:ascii="CESI仿宋-GB2312" w:hAnsi="CESI仿宋-GB2312" w:eastAsia="CESI仿宋-GB2312" w:cs="CESI仿宋-GB2312"/>
                <w:color w:val="auto"/>
                <w:sz w:val="28"/>
                <w:szCs w:val="28"/>
                <w:highlight w:val="none"/>
                <w:vertAlign w:val="baseline"/>
                <w:lang w:eastAsia="zh-CN"/>
              </w:rPr>
              <w:t>具有职业健康安全管理体系认证证书，</w:t>
            </w:r>
            <w:r>
              <w:rPr>
                <w:rFonts w:hint="eastAsia" w:ascii="CESI仿宋-GB2312" w:hAnsi="CESI仿宋-GB2312" w:eastAsia="CESI仿宋-GB2312" w:cs="CESI仿宋-GB2312"/>
                <w:color w:val="auto"/>
                <w:sz w:val="28"/>
                <w:szCs w:val="28"/>
                <w:highlight w:val="none"/>
                <w:vertAlign w:val="baseline"/>
                <w:lang w:val="en-US" w:eastAsia="zh-CN"/>
              </w:rPr>
              <w:t>得2分，以上1-3项最高得6分。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（二）评审依据：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1、提供相关认证机构颁布的有效期内的认证证书扫描件；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2、未按要求提供相关材料或扫描件不清晰导致无法判断内容的不得分，原件备查。</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6</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1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val="en-US" w:eastAsia="zh-CN"/>
              </w:rPr>
              <w:t>诚信情况</w:t>
            </w:r>
          </w:p>
        </w:tc>
        <w:tc>
          <w:tcPr>
            <w:tcW w:w="504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both"/>
              <w:textAlignment w:val="auto"/>
              <w:rPr>
                <w:rFonts w:hint="eastAsia" w:ascii="CESI仿宋-GB2312" w:hAnsi="CESI仿宋-GB2312" w:eastAsia="CESI仿宋-GB2312" w:cs="CESI仿宋-GB2312"/>
                <w:color w:val="auto"/>
                <w:sz w:val="28"/>
                <w:szCs w:val="28"/>
                <w:highlight w:val="none"/>
                <w:vertAlign w:val="baseline"/>
                <w:lang w:eastAsia="zh-CN"/>
              </w:rPr>
            </w:pPr>
            <w:r>
              <w:rPr>
                <w:rFonts w:hint="eastAsia" w:ascii="CESI仿宋-GB2312" w:hAnsi="CESI仿宋-GB2312" w:eastAsia="CESI仿宋-GB2312" w:cs="CESI仿宋-GB2312"/>
                <w:color w:val="auto"/>
                <w:sz w:val="28"/>
                <w:szCs w:val="28"/>
                <w:highlight w:val="none"/>
                <w:vertAlign w:val="baseline"/>
                <w:lang w:eastAsia="zh-CN"/>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5</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6555" w:type="dxa"/>
            <w:gridSpan w:val="2"/>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总分</w:t>
            </w:r>
          </w:p>
        </w:tc>
        <w:tc>
          <w:tcPr>
            <w:tcW w:w="11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CESI仿宋-GB2312" w:hAnsi="CESI仿宋-GB2312" w:eastAsia="CESI仿宋-GB2312" w:cs="CESI仿宋-GB2312"/>
                <w:color w:val="auto"/>
                <w:sz w:val="28"/>
                <w:szCs w:val="28"/>
                <w:highlight w:val="none"/>
                <w:vertAlign w:val="baseline"/>
                <w:lang w:val="en-US" w:eastAsia="zh-CN"/>
              </w:rPr>
            </w:pPr>
            <w:r>
              <w:rPr>
                <w:rFonts w:hint="eastAsia" w:ascii="CESI仿宋-GB2312" w:hAnsi="CESI仿宋-GB2312" w:eastAsia="CESI仿宋-GB2312" w:cs="CESI仿宋-GB2312"/>
                <w:color w:val="auto"/>
                <w:sz w:val="28"/>
                <w:szCs w:val="28"/>
                <w:highlight w:val="none"/>
                <w:vertAlign w:val="baseline"/>
                <w:lang w:val="en-US" w:eastAsia="zh-CN"/>
              </w:rPr>
              <w:t>100</w:t>
            </w:r>
          </w:p>
        </w:tc>
        <w:tc>
          <w:tcPr>
            <w:tcW w:w="842"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CESI仿宋-GB2312" w:hAnsi="CESI仿宋-GB2312" w:eastAsia="CESI仿宋-GB2312" w:cs="CESI仿宋-GB2312"/>
                <w:color w:val="auto"/>
                <w:sz w:val="28"/>
                <w:szCs w:val="28"/>
                <w:highlight w:val="none"/>
                <w:vertAlign w:val="baseline"/>
                <w:lang w:eastAsia="zh-CN"/>
              </w:rPr>
            </w:pPr>
          </w:p>
        </w:tc>
      </w:tr>
    </w:tbl>
    <w:p>
      <w:pPr>
        <w:pStyle w:val="2"/>
        <w:spacing w:before="120" w:beforeLines="50" w:after="120" w:afterLines="50"/>
        <w:jc w:val="both"/>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pStyle w:val="2"/>
        <w:spacing w:before="120" w:beforeLines="50" w:after="120" w:afterLines="50"/>
        <w:jc w:val="center"/>
        <w:rPr>
          <w:rFonts w:hint="eastAsia" w:ascii="宋体" w:hAnsi="宋体" w:eastAsia="宋体" w:cs="宋体"/>
          <w:b w:val="0"/>
          <w:bCs w:val="0"/>
          <w:color w:val="auto"/>
          <w:sz w:val="44"/>
          <w:szCs w:val="44"/>
          <w:highlight w:val="none"/>
          <w:lang w:eastAsia="zh-CN"/>
        </w:rPr>
      </w:pPr>
      <w:r>
        <w:rPr>
          <w:rFonts w:hint="eastAsia" w:ascii="宋体" w:hAnsi="宋体" w:eastAsia="宋体" w:cs="宋体"/>
          <w:b w:val="0"/>
          <w:bCs w:val="0"/>
          <w:color w:val="auto"/>
          <w:sz w:val="44"/>
          <w:szCs w:val="44"/>
          <w:highlight w:val="none"/>
        </w:rPr>
        <w:t>技术要求</w:t>
      </w:r>
      <w:r>
        <w:rPr>
          <w:rFonts w:hint="eastAsia" w:ascii="宋体" w:hAnsi="宋体" w:eastAsia="宋体" w:cs="宋体"/>
          <w:b w:val="0"/>
          <w:bCs w:val="0"/>
          <w:color w:val="auto"/>
          <w:sz w:val="44"/>
          <w:szCs w:val="44"/>
          <w:highlight w:val="none"/>
          <w:lang w:eastAsia="zh-CN"/>
        </w:rPr>
        <w:t>偏离表</w:t>
      </w:r>
    </w:p>
    <w:p>
      <w:pPr>
        <w:spacing w:line="300" w:lineRule="auto"/>
        <w:ind w:firstLine="642" w:firstLineChars="200"/>
        <w:rPr>
          <w:rFonts w:hint="eastAsia" w:ascii="宋体" w:hAnsi="宋体" w:eastAsia="宋体" w:cs="宋体"/>
          <w:b/>
          <w:color w:val="auto"/>
          <w:szCs w:val="21"/>
          <w:highlight w:val="none"/>
        </w:rPr>
      </w:pPr>
    </w:p>
    <w:tbl>
      <w:tblPr>
        <w:tblStyle w:val="8"/>
        <w:tblW w:w="5830" w:type="pc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96"/>
        <w:gridCol w:w="3501"/>
        <w:gridCol w:w="1725"/>
        <w:gridCol w:w="114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trPr>
        <w:tc>
          <w:tcPr>
            <w:tcW w:w="734"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color w:val="auto"/>
                <w:sz w:val="21"/>
                <w:szCs w:val="21"/>
                <w:highlight w:val="none"/>
              </w:rPr>
              <w:t>序号</w:t>
            </w:r>
          </w:p>
        </w:tc>
        <w:tc>
          <w:tcPr>
            <w:tcW w:w="1496"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color w:val="auto"/>
                <w:sz w:val="21"/>
                <w:szCs w:val="21"/>
                <w:highlight w:val="none"/>
              </w:rPr>
              <w:t>货物名称</w:t>
            </w:r>
          </w:p>
        </w:tc>
        <w:tc>
          <w:tcPr>
            <w:tcW w:w="3501"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color w:val="auto"/>
                <w:sz w:val="21"/>
                <w:szCs w:val="21"/>
                <w:highlight w:val="none"/>
                <w:lang w:eastAsia="zh-CN"/>
              </w:rPr>
              <w:t>招标</w:t>
            </w:r>
            <w:r>
              <w:rPr>
                <w:rFonts w:hint="eastAsia" w:ascii="宋体" w:hAnsi="宋体" w:eastAsia="宋体" w:cs="宋体"/>
                <w:b/>
                <w:color w:val="auto"/>
                <w:sz w:val="21"/>
                <w:szCs w:val="21"/>
                <w:highlight w:val="none"/>
              </w:rPr>
              <w:t>技术要求</w:t>
            </w:r>
          </w:p>
        </w:tc>
        <w:tc>
          <w:tcPr>
            <w:tcW w:w="1725"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投标技术响应</w:t>
            </w:r>
          </w:p>
        </w:tc>
        <w:tc>
          <w:tcPr>
            <w:tcW w:w="1149"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偏离情况</w:t>
            </w:r>
          </w:p>
        </w:tc>
        <w:tc>
          <w:tcPr>
            <w:tcW w:w="1332" w:type="dxa"/>
            <w:noWrap w:val="0"/>
            <w:vAlign w:val="center"/>
          </w:tcPr>
          <w:p>
            <w:pPr>
              <w:keepNext w:val="0"/>
              <w:keepLines w:val="0"/>
              <w:pageBreakBefore w:val="0"/>
              <w:widowControl/>
              <w:kinsoku/>
              <w:overflowPunct/>
              <w:topLinePunct w:val="0"/>
              <w:autoSpaceDE/>
              <w:autoSpaceDN/>
              <w:bidi w:val="0"/>
              <w:adjustRightInd/>
              <w:snapToGrid/>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val="en-US" w:eastAsia="zh-CN" w:bidi="ar-SA"/>
              </w:rPr>
              <w:t>割灌机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.燃油消耗率：≤470g/kw.h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.常温起动性能：7s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.怠速耳旁噪声:79dB(A)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.燃油箱容积:0.75L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.手把震动:5.9㎡/s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.发动机：2-mix混合，2冲程发动机</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.最高转速：</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12000rpm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.最大功率：≥1.35kw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.排量≤40</w:t>
            </w:r>
            <w:r>
              <w:rPr>
                <w:rFonts w:hint="eastAsia" w:ascii="宋体" w:hAnsi="宋体" w:eastAsia="宋体" w:cs="宋体"/>
                <w:sz w:val="21"/>
                <w:szCs w:val="21"/>
                <w:highlight w:val="none"/>
                <w:lang w:val="en-US" w:eastAsia="zh-CN"/>
              </w:rPr>
              <w:t>ml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▲10.耐久性：耐久性试验时间500h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▲11.提供国家级质量监督检验中心出具的检验报告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提供原件备查，第7-10项需在检验报告中体现并满足</w:t>
            </w:r>
            <w:r>
              <w:rPr>
                <w:rFonts w:hint="eastAsia" w:ascii="宋体" w:hAnsi="宋体" w:eastAsia="宋体" w:cs="宋体"/>
                <w:sz w:val="21"/>
                <w:szCs w:val="21"/>
                <w:highlight w:val="none"/>
                <w:lang w:eastAsia="zh-CN"/>
              </w:rPr>
              <w:t>）</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灭火弹</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1.重量：1.3KG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2.形状：球状-直径14.5cm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3.使用方法：定点自动感应/投入</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4.引发条件：接触到火焰3-5秒自动灭火</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5.填充材料物：无害干粉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6.自动反应时间：3-5秒</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7.有效期限：5年</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手提式干粉灭火器</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型号：4kg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灭火剂量：4kg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1.喷射距离：3.5米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2.喷射时间：13秒</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3.干粉质保：5年</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4.瓶身质保：8年</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5.商品计量：±0.08KG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6.适用范围：A/B/C/E类火情</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7.适用温度：-20℃-50℃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8.驱动气体：氮气1.2Mpa（20℃）</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演练烟雾弹</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1.有效容量：500ML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2.烟雾颜色：黄色</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3.发烟时间：4分钟</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4.使用场合：消防演习、警用反恐、消防演习</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森林消防水带背包</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1.颜色：军绿色</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2.尺寸：</w:t>
            </w:r>
            <w:r>
              <w:rPr>
                <w:rFonts w:hint="eastAsia" w:ascii="宋体" w:hAnsi="宋体" w:cs="宋体"/>
                <w:kern w:val="0"/>
                <w:sz w:val="21"/>
                <w:szCs w:val="21"/>
                <w:highlight w:val="none"/>
                <w:lang w:val="en-US" w:eastAsia="zh-CN"/>
              </w:rPr>
              <w:t>42*26*52</w:t>
            </w:r>
            <w:r>
              <w:rPr>
                <w:rFonts w:hint="eastAsia" w:ascii="宋体" w:hAnsi="宋体" w:eastAsia="宋体" w:cs="宋体"/>
                <w:sz w:val="21"/>
                <w:szCs w:val="21"/>
                <w:highlight w:val="none"/>
                <w:lang w:val="en-US" w:eastAsia="zh-CN"/>
              </w:rPr>
              <w:t xml:space="preserve"> 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3.骨架材质：背包骨架采用轻质铝合金制作</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4.背包材质：牛津布600D，结实耐用防撕裂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5.13mmPE棉增加双背带舒适性</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6.3.2cm宽加强棉织带</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7.前幅有两条PVC反光条</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8.袋底部设有5个透气漏水孔</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9.每个背包可装2-3条水带；背包可直接背负肩上，可自动放水带</w:t>
            </w:r>
            <w:r>
              <w:rPr>
                <w:rFonts w:hint="eastAsia" w:ascii="宋体" w:hAnsi="宋体" w:cs="宋体"/>
                <w:sz w:val="21"/>
                <w:szCs w:val="21"/>
                <w:highlight w:val="none"/>
                <w:lang w:val="en-US" w:eastAsia="zh-CN"/>
              </w:rPr>
              <w:t>。</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二号扑火工具</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1.原木(杂木柄经高温防蚀处理)直径约30mm、长≥1.5m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2.木杆弯曲柔韧性能：弯曲度&gt;60度不会断裂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3.扑火带（橡胶条）：长约650mm、宽约20mm、厚为3层(约3mm)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4.每条扑火带均含有加强线的橡胶条捆绑在手柄上</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5.梱绑处用2道钢箍加固，具有耐用永不脱落的特点,每把扑火带均在18条以上</w:t>
            </w:r>
            <w:r>
              <w:rPr>
                <w:rFonts w:hint="eastAsia" w:ascii="宋体" w:hAnsi="宋体" w:cs="宋体"/>
                <w:sz w:val="21"/>
                <w:szCs w:val="21"/>
                <w:highlight w:val="none"/>
                <w:lang w:val="en-US" w:eastAsia="zh-CN"/>
              </w:rPr>
              <w:t>。</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油锯链条</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1.规格：18寸</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2.链条刀口锋利 、强韧、耐磨、不易拉伸，不易断裂</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森林消防头灯（含附件）</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1.额定电压：DC3.7V</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2.额定容量：1400mAh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3.额定功率：3W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4.光源（LED）平均使用寿命 ：≥100000h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5.连续放电时间：4h（强光）/8h（工作光）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6.充电时间：6h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7.电池使用寿命：≥1000（循环）</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8.外形尺寸：50*65*60mm（长×宽×高）</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9.重量：85g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10.外壳防护等级：IP65</w:t>
            </w:r>
          </w:p>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sz w:val="21"/>
                <w:szCs w:val="21"/>
                <w:highlight w:val="none"/>
                <w:lang w:val="en-US" w:eastAsia="zh-CN"/>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防爆手电筒</w:t>
            </w:r>
          </w:p>
        </w:tc>
        <w:tc>
          <w:tcPr>
            <w:tcW w:w="3501" w:type="dxa"/>
            <w:noWrap w:val="0"/>
            <w:vAlign w:val="center"/>
          </w:tcPr>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额定电压：DC3.7V</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额定容量：2200mAh</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r>
              <w:rPr>
                <w:rFonts w:hint="eastAsia" w:ascii="宋体" w:hAnsi="宋体" w:eastAsia="宋体" w:cs="宋体"/>
                <w:kern w:val="2"/>
                <w:sz w:val="21"/>
                <w:szCs w:val="21"/>
                <w:highlight w:val="none"/>
                <w:lang w:val="en-US" w:eastAsia="zh-CN" w:bidi="ar-SA"/>
              </w:rPr>
              <w:t>灯头前端配置双光源，一颗CREE-3W白光，一颗CREE-3W红光</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4.</w:t>
            </w:r>
            <w:r>
              <w:rPr>
                <w:rFonts w:hint="eastAsia" w:ascii="宋体" w:hAnsi="宋体" w:eastAsia="宋体" w:cs="宋体"/>
                <w:kern w:val="2"/>
                <w:sz w:val="21"/>
                <w:szCs w:val="21"/>
                <w:highlight w:val="none"/>
                <w:lang w:val="en-US" w:eastAsia="zh-CN" w:bidi="ar-SA"/>
              </w:rPr>
              <w:t>光源（LED）平均使用寿命：≥100000h</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r>
              <w:rPr>
                <w:rFonts w:hint="eastAsia" w:ascii="宋体" w:hAnsi="宋体" w:eastAsia="宋体" w:cs="宋体"/>
                <w:kern w:val="2"/>
                <w:sz w:val="21"/>
                <w:szCs w:val="21"/>
                <w:highlight w:val="none"/>
                <w:lang w:val="en-US" w:eastAsia="zh-CN" w:bidi="ar-SA"/>
              </w:rPr>
              <w:t>连续照明时间：≥6h(强光）/12h(工作光）</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电池使用寿命：≥1000(循环）</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7.</w:t>
            </w:r>
            <w:r>
              <w:rPr>
                <w:rFonts w:hint="eastAsia" w:ascii="宋体" w:hAnsi="宋体" w:eastAsia="宋体" w:cs="宋体"/>
                <w:kern w:val="2"/>
                <w:sz w:val="21"/>
                <w:szCs w:val="21"/>
                <w:highlight w:val="none"/>
                <w:lang w:val="en-US" w:eastAsia="zh-CN" w:bidi="ar-SA"/>
              </w:rPr>
              <w:t>外形尺寸：≤直径38×长度155mm±2（mm）</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8.</w:t>
            </w:r>
            <w:r>
              <w:rPr>
                <w:rFonts w:hint="eastAsia" w:ascii="宋体" w:hAnsi="宋体" w:eastAsia="宋体" w:cs="宋体"/>
                <w:kern w:val="2"/>
                <w:sz w:val="21"/>
                <w:szCs w:val="21"/>
                <w:highlight w:val="none"/>
                <w:lang w:val="en-US" w:eastAsia="zh-CN" w:bidi="ar-SA"/>
              </w:rPr>
              <w:t>重量：≤0.3±0.2kg</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9.</w:t>
            </w:r>
            <w:r>
              <w:rPr>
                <w:rFonts w:hint="eastAsia" w:ascii="宋体" w:hAnsi="宋体" w:eastAsia="宋体" w:cs="宋体"/>
                <w:kern w:val="2"/>
                <w:sz w:val="21"/>
                <w:szCs w:val="21"/>
                <w:highlight w:val="none"/>
                <w:lang w:val="en-US" w:eastAsia="zh-CN" w:bidi="ar-SA"/>
              </w:rPr>
              <w:t>轻质合金精密加工而成，抗强力碰撞和冲击，耐高低温，防水防尘，可在各种恶劣环境及气候条件下使用，外壳防护等级IP65</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w:t>
            </w:r>
            <w:r>
              <w:rPr>
                <w:rFonts w:hint="eastAsia" w:ascii="宋体" w:hAnsi="宋体" w:eastAsia="宋体" w:cs="宋体"/>
                <w:kern w:val="2"/>
                <w:sz w:val="21"/>
                <w:szCs w:val="21"/>
                <w:highlight w:val="none"/>
                <w:lang w:val="en-US" w:eastAsia="zh-CN" w:bidi="ar-SA"/>
              </w:rPr>
              <w:t>双电池使用，在有市电情况下使用18650锂电池进行充电使用，在停电地区可使用3节7号电池，解决无电的困境</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11.</w:t>
            </w:r>
            <w:r>
              <w:rPr>
                <w:rFonts w:hint="eastAsia" w:ascii="宋体" w:hAnsi="宋体" w:eastAsia="宋体" w:cs="宋体"/>
                <w:kern w:val="2"/>
                <w:sz w:val="21"/>
                <w:szCs w:val="21"/>
                <w:highlight w:val="none"/>
                <w:lang w:val="en-US" w:eastAsia="zh-CN" w:bidi="ar-SA"/>
              </w:rPr>
              <w:t>开关按键处设有电量指示灯，可提示电池剩余电量，满电为绿色，警示电为红色</w:t>
            </w:r>
          </w:p>
          <w:p>
            <w:pPr>
              <w:pStyle w:val="11"/>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12.</w:t>
            </w:r>
            <w:r>
              <w:rPr>
                <w:rFonts w:hint="eastAsia" w:ascii="宋体" w:hAnsi="宋体" w:eastAsia="宋体" w:cs="宋体"/>
                <w:kern w:val="2"/>
                <w:sz w:val="21"/>
                <w:szCs w:val="21"/>
                <w:highlight w:val="none"/>
                <w:lang w:val="en-US" w:eastAsia="zh-CN" w:bidi="ar-SA"/>
              </w:rPr>
              <w:t>内置安卓系统USB接口方便快捷充电,用5V安卓端口可直接充电</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13.</w:t>
            </w:r>
            <w:r>
              <w:rPr>
                <w:rFonts w:hint="eastAsia" w:ascii="宋体" w:hAnsi="宋体" w:eastAsia="宋体" w:cs="宋体"/>
                <w:kern w:val="2"/>
                <w:sz w:val="21"/>
                <w:szCs w:val="21"/>
                <w:highlight w:val="none"/>
                <w:lang w:val="en-US" w:eastAsia="zh-CN" w:bidi="ar-SA"/>
              </w:rPr>
              <w:t>尾部配有隐</w:t>
            </w:r>
            <w:r>
              <w:rPr>
                <w:rFonts w:hint="eastAsia" w:ascii="宋体" w:hAnsi="宋体" w:eastAsia="宋体" w:cs="宋体"/>
                <w:sz w:val="21"/>
                <w:szCs w:val="21"/>
                <w:highlight w:val="none"/>
                <w:lang w:val="en-US" w:eastAsia="zh-CN"/>
              </w:rPr>
              <w:t>藏式破玻璃器,以备紧急事故处理使用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▲14.灯具尾部带有夜光定位，时时指引、告知后面人员位置</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▲15.尾盖内置强力磁铁，吸附牢固，保证灯具自由固定全方位提供照明，彻底解放双手</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▲16.产品高温试验、低温试验验合相关国军标要求，需依据GJB150.3A-2009对条款要求进行测试并提供报告</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▲提供省级单位检测报告及厂家出具的针对此项目的质量保证函（提供原件备查，第10-16项需在检验报告中体现并满足）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sz w:val="21"/>
                <w:szCs w:val="21"/>
                <w:highlight w:val="none"/>
                <w:lang w:val="en-US" w:eastAsia="zh-CN"/>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转换接头</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1.80卡口转65快接</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用于水带、消防车、消火栓、水枪之间的连接以及接口大小的转换。以便输送水和泡沫混合液进行灭火。它由本体、密封圈座、橡胶密封圈和档圈等到零部件组成，密封圈座上有沟槽，用于扎水带。具有密封性好，连接既快又省力，不易脱落等特点。</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转换接头</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1.65卡口转65快接</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用于水带、消防车、消火栓、水枪之间的连接以及接口大小的转换。以便输送水和泡沫混合液进行灭火。它由本体、密封圈座、橡胶密封圈和档圈等到零部件组成，密封圈座上有沟槽，用于扎水带。具有密封性好，连接既快又省力，不易脱落等特点。</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转换接头</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1.65卡口转40快接</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用于水带、消防车、消火栓、水枪之间的连接以及接口大小的转换。以便输送水和泡沫混合液进行灭火。它由本体、密封圈座、橡胶密封圈和档圈等到零部件组成，密封圈座上有沟槽，用于扎水带。具有密封性好，连接既快又省力，不易脱落等特点。</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40mm（50-40-30）森林消防水带</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1.型号：50-40-30-涤纶长丝</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2.检验检测依据：GB6246-2011《消防水带》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w:t>
            </w:r>
            <w:r>
              <w:rPr>
                <w:rFonts w:hint="eastAsia" w:ascii="宋体" w:hAnsi="宋体" w:eastAsia="宋体" w:cs="宋体"/>
                <w:kern w:val="2"/>
                <w:sz w:val="21"/>
                <w:szCs w:val="21"/>
                <w:highlight w:val="none"/>
                <w:lang w:val="en-US" w:eastAsia="zh-CN" w:bidi="ar-SA"/>
              </w:rPr>
              <w:t>水带口径:40mm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4.标准工作压力：≥5.0MPa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▲5.爆破压力：≥19.0MPa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▲6.单位长度质量：≤250g/m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▲7.延伸率：≤2.5%</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▲8.膨胀率：≤2.0%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▲9.附着强度 织物与衬里：≥45N/25mm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10.耐磨性能：水带试验后，水带在相应的设计工作压力下，不应发生渗漏或破裂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11.每卷长度为30米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12.水带两头均配有40口径的锻造铝镁合金快速接口</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13.内衬材质采用优质聚氨酯（耐寒耐高温）</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14.双层，外层材质采用高强度涤纶长丝线，工艺采用经圆织机环形编织而成，且耐压、耐磨、耐磨蚀、耐高低温、轻便柔软、易于清洗，使用寿命长</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▲15.提供省级产品质量监督检验中心出具的检验报告及厂家出具的针对此项目的质量保证函（提供原件备查，第5-9项需在检验报告中体现并</w:t>
            </w:r>
            <w:r>
              <w:rPr>
                <w:rFonts w:hint="eastAsia" w:ascii="宋体" w:hAnsi="宋体" w:eastAsia="宋体" w:cs="宋体"/>
                <w:kern w:val="2"/>
                <w:sz w:val="21"/>
                <w:szCs w:val="21"/>
                <w:highlight w:val="none"/>
                <w:lang w:val="en-US" w:eastAsia="zh-CN" w:bidi="ar-SA"/>
              </w:rPr>
              <w:t>满足</w:t>
            </w:r>
            <w:r>
              <w:rPr>
                <w:rFonts w:hint="eastAsia" w:ascii="宋体" w:hAnsi="宋体" w:cs="宋体"/>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kern w:val="2"/>
                <w:sz w:val="21"/>
                <w:szCs w:val="21"/>
                <w:highlight w:val="none"/>
                <w:lang w:val="en-US" w:eastAsia="zh-CN" w:bidi="ar-SA"/>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25mm（50-25-30）森林消防水带</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1.型号：50-25-30-涤纶长丝</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2.检验检测依据：GB6246-2011《消防水带》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kern w:val="2"/>
                <w:sz w:val="21"/>
                <w:szCs w:val="21"/>
                <w:highlight w:val="none"/>
                <w:lang w:val="en-US" w:eastAsia="zh-CN" w:bidi="ar-SA"/>
              </w:rPr>
              <w:t>水带口径:25mm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4.标准工作压力：≥5.0MPa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▲5.爆破压力：≥18.0MPa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▲6.单位长度质量：≤140g/m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▲7.延伸率：≤1.0%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▲8.膨胀率：≤3.0%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▲9.附着强度 织物与衬里：≥80N/25mm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10.耐磨性能：水带试验后，水带在相应的设计工作压力下，不应发生渗漏或破裂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11.每卷长度为30米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12.水带两头均配有25口径的锻造铝镁合金快速接口</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13.内衬材质采用优质聚氨酯（耐寒耐高温）</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14.双层，外层材质采用高强度涤纶长丝线，工艺采用经圆织机环形编织而成，且耐压、耐磨、耐磨蚀、耐高低温、轻便柔软、易于清洗，使用寿命长。</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▲15.提供省级产品质量监督检验中心出具的检验报告及厂家出具的针对此项目的质量保证函（提供原件备查，第5-9项需在检验报告中体现并满足）</w:t>
            </w:r>
          </w:p>
          <w:p>
            <w:pPr>
              <w:keepNext w:val="0"/>
              <w:keepLines w:val="0"/>
              <w:pageBreakBefore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kern w:val="2"/>
                <w:sz w:val="21"/>
                <w:szCs w:val="21"/>
                <w:highlight w:val="none"/>
                <w:lang w:val="en-US" w:eastAsia="zh-CN" w:bidi="ar-SA"/>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便携森林消防水泵组</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1.泵组由二冲程风冷汽油发动机和三级离心水泵组成</w:t>
            </w:r>
          </w:p>
          <w:p>
            <w:pPr>
              <w:keepNext w:val="0"/>
              <w:keepLines w:val="0"/>
              <w:pageBreakBefore w:val="0"/>
              <w:kinsoku/>
              <w:wordWrap/>
              <w:overflowPunct/>
              <w:topLinePunct w:val="0"/>
              <w:autoSpaceDE/>
              <w:autoSpaceDN/>
              <w:bidi w:val="0"/>
              <w:adjustRightInd/>
              <w:snapToGrid/>
              <w:spacing w:line="300" w:lineRule="exact"/>
              <w:textAlignment w:val="auto"/>
              <w:rPr>
                <w:rFonts w:hint="eastAsia"/>
                <w:highlight w:val="none"/>
                <w:lang w:val="en-US" w:eastAsia="zh-CN"/>
              </w:rPr>
            </w:pPr>
            <w:r>
              <w:rPr>
                <w:rFonts w:hint="eastAsia" w:ascii="宋体" w:hAnsi="宋体" w:eastAsia="宋体" w:cs="宋体"/>
                <w:sz w:val="21"/>
                <w:szCs w:val="21"/>
                <w:highlight w:val="none"/>
                <w:lang w:val="en-US" w:eastAsia="zh-CN"/>
              </w:rPr>
              <w:t>2.单缸，二冲程，强制空气冷却</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3.排量≥130mL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4.功率≥6kw（8马力）</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5.重量小于18公斤。</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6.发动机应有防水装置和防超速功能。</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7.发动机相关要求：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（1）最大扭矩≥9.5N·m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（2）机械安全性满足GB/T20651.2-2014要求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（3）防火满足GB4556-2001要求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（4）高温防护满GB/T20651.2-2014要求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8.启动方式有手拉启动、电启动两种启动方式</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9.启动时间：</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（1）常温起动时间≤6秒</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（2）热机起动时间≤5秒</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10.最少可连续运转24小时</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▲11.可在倾斜90°的情况下正常工作</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▲12.工况</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①在流量≥180升/分时，压力≥0.8MPa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②流量≥90升/分时，压力≥1.2MPa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③流量≥40升/分时，压力≥1.3MPa</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▲13.吸程≥8米</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▲14.最大流量≥380升/分</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▲15.水泵出口最大压力＞1.6MPa</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▲16.射程≥30m</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▲17.泵组满足GB6245-2006 中 10.5和10.6的强度测试要求。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二、附件及相关要求：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1.电启动装置，1套。含移动充电宝式应急启动电源1个。多功能充电宝，一物多用，可用于设备充电，夜间照明，汽车应急启动和摩托车应急启动等。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2.油箱容量≥20L，含油管，油箱背包，1套</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3.修理工具，1套</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4.引水泵，1个</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5.吸水管1条，长3米。相关要求：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（1）测试压力≥5.5MPa，无渗漏、无损坏</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（2）重量≤2.8公斤</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（3）最小弯曲半径≤40厘米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（4）接头用扩张式铜环固定</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（5）储存温度-50 ≤温度值≤60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6.底阀，单向阀，G1.5” 内X快速接头，G1.5” 外X快速接头，G2” 内XG1.5” 内接头，止水钳，水雾喷枪，水带扳手2个，水带修补环2个</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▲7.DN40直流喷枪，1个相关要求：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（1）经密封性能测试，枪体及各密封部位不允许渗漏</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（2）水枪抗跌落试验后应能正常操作使用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（3）经耐水压强度测试，水枪不应出现裂纹、断裂或影响正常使用的残余变形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▲8.三通阀，1个相关要求：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（1）密封试验。试验压力≥2.4MPa，保压60s,无可见泄漏</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（2）壳体实验。试验压力≥3MPa，保压15s，无可见泄漏，无结构上的损坏</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▲9.提供有CMA认证标志的第三方检测机构出具的检验报告及厂家出具的针对此项目的质量保证函（提供原件备查，第11-17项、第7-8项（二、附件及相关要求）需在检验报告中体现并满足）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sz w:val="21"/>
                <w:szCs w:val="21"/>
                <w:highlight w:val="none"/>
                <w:lang w:val="en-US" w:eastAsia="zh-CN"/>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手抬机动消防泵组</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检验依据GB 6245-2006《消防泵》CCCF-CPRZ-26:2019《消防类产品认证实施规则灭火设备产品消防给水设备产品》</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主要技术参数：</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额定流量(L/s)≥9.50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额定压力(MPa)≥0.550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流量(L/s)≥4.75</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出口压力(MPa)≥0.550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启动性能s≤30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.发动机：配备单风冷二冲程汽油机，发动机燃油采用自动混合比例供应，绳拉式手动起动或电起动，自动反冲系统。</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.发动机排量≥198cc，主轴转速6000转/分钟，输出功率不小于15PS（12KW）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.水泵：单泵单程离心泵，进水口尺寸65mm，出水口尺寸65mm.配备快速球阀出水开关，出水口阀门可转动90°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.真空泵：碳纤维活片无油式真空泵，手动操作吸水，最大吸程7m；引水时间不大于13s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.标准水量时流量/压力不小于510L/min/0.6MPa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.高压时流量/压力不小于240L/min/0.8MPa。560m×475mm×530m±5mm，油箱容积5.95L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.标准耗油量每小时≤ 5.4升/小时</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9.重量：干重量（未加油状态）≤46KG。整机重量（加满油状态）≤55KG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10.手抬机动泵吸深3m时，额定流量≥8.5L/S，额定压力≥0.55MPa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11.燃油系统：采用电控燃油喷射系统 EFI</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12.检查系统: 电子检测系统，可作发动机主部件自主检测</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13.配件包括：火花塞套筒1个，备用火花塞1个，照明灯1个、三角灯架1个，充电器1个，电瓶1个，电瓶水1支，机油（TCW-3）1支，出水口1个，2.5寸滤网1个，过滤篓1个，2.5寸吸水管1条</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▲14.提供国家消防装备质量监督检验中心出具的检验报告及厂家出具的针对此项目的质量保证函（提供原件备查，第1项需在检验报告中体现并满足）</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pStyle w:val="11"/>
              <w:keepNext w:val="0"/>
              <w:keepLines w:val="0"/>
              <w:pageBreakBefore w:val="0"/>
              <w:kinsoku/>
              <w:wordWrap/>
              <w:overflowPunct/>
              <w:topLinePunct w:val="0"/>
              <w:autoSpaceDE/>
              <w:autoSpaceDN/>
              <w:bidi w:val="0"/>
              <w:adjustRightInd w:val="0"/>
              <w:snapToGrid/>
              <w:spacing w:line="360" w:lineRule="auto"/>
              <w:ind w:firstLine="0" w:firstLineChars="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修剪</w:t>
            </w:r>
            <w:r>
              <w:rPr>
                <w:rFonts w:hint="eastAsia" w:ascii="宋体" w:hAnsi="宋体" w:eastAsia="宋体" w:cs="宋体"/>
                <w:color w:val="auto"/>
                <w:sz w:val="21"/>
                <w:szCs w:val="21"/>
                <w:highlight w:val="none"/>
              </w:rPr>
              <w:t>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1.发动机形式：单缸、风冷、二冲程</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▲2.排放要求：达到非道路移动机械用小型点燃发动机排气污染物排放限制第二阶段要求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3.采用镁合金材质传动箱</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▲4.额定功率：≥0.65kw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▲5.耳旁噪声:≤95dB(A)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▲6.排量≤22.5ml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▲7.提供省级检验中心出具的检验报告（提供原件备查，第4-6项需在报告中体现并满足）；提供型式核准证书扫描件（提供原件备查，第2项需在证书中体现并满足）</w:t>
            </w:r>
          </w:p>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sz w:val="21"/>
                <w:szCs w:val="21"/>
                <w:highlight w:val="none"/>
                <w:lang w:val="en-US" w:eastAsia="zh-CN"/>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w:t>
            </w:r>
          </w:p>
        </w:tc>
        <w:tc>
          <w:tcPr>
            <w:tcW w:w="1496" w:type="dxa"/>
            <w:shd w:val="clear" w:color="auto" w:fill="auto"/>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安全帽</w:t>
            </w:r>
          </w:p>
        </w:tc>
        <w:tc>
          <w:tcPr>
            <w:tcW w:w="3501" w:type="dxa"/>
            <w:shd w:val="clear" w:color="auto" w:fill="auto"/>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1.符合GB2811-2019《头部防护 安全帽》，下颌带宽度18mm，联接点位于安全帽的中间，佩戴更舒适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2.下颌带强度在发生破坏时的力值应介于150N-250N之间,下颏带断开，最大载荷:236N</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3.冲击吸收性能在高温情况下2499N、低温情况下3015N、浸水情况下2674N，帽壳均无碎片脱落</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4.耐穿刺性能良好，钢锥不得接触头模，帽壳不得有碎片</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.具有电绝缘性能，有完整的永久标识</w:t>
            </w:r>
          </w:p>
        </w:tc>
        <w:tc>
          <w:tcPr>
            <w:tcW w:w="1725" w:type="dxa"/>
            <w:shd w:val="clear" w:color="auto" w:fill="auto"/>
            <w:noWrap w:val="0"/>
            <w:vAlign w:val="center"/>
          </w:tcPr>
          <w:p>
            <w:pPr>
              <w:pStyle w:val="3"/>
              <w:tabs>
                <w:tab w:val="left" w:pos="562"/>
                <w:tab w:val="left" w:pos="3372"/>
                <w:tab w:val="left" w:pos="3653"/>
              </w:tabs>
              <w:bidi w:val="0"/>
              <w:rPr>
                <w:rFonts w:hint="eastAsia" w:ascii="宋体" w:hAnsi="宋体" w:cs="宋体"/>
                <w:sz w:val="21"/>
                <w:szCs w:val="21"/>
                <w:highlight w:val="none"/>
                <w:lang w:val="en-US" w:eastAsia="zh-CN"/>
              </w:rPr>
            </w:pPr>
          </w:p>
        </w:tc>
        <w:tc>
          <w:tcPr>
            <w:tcW w:w="1149" w:type="dxa"/>
            <w:shd w:val="clear" w:color="auto" w:fill="auto"/>
            <w:noWrap w:val="0"/>
            <w:vAlign w:val="center"/>
          </w:tcPr>
          <w:p>
            <w:pPr>
              <w:pStyle w:val="3"/>
              <w:tabs>
                <w:tab w:val="left" w:pos="562"/>
                <w:tab w:val="left" w:pos="3372"/>
                <w:tab w:val="left" w:pos="3653"/>
              </w:tabs>
              <w:bidi w:val="0"/>
              <w:rPr>
                <w:rFonts w:hint="eastAsia" w:ascii="宋体" w:hAnsi="宋体" w:cs="宋体"/>
                <w:sz w:val="21"/>
                <w:szCs w:val="21"/>
                <w:highlight w:val="none"/>
                <w:lang w:val="en-US" w:eastAsia="zh-CN"/>
              </w:rPr>
            </w:pPr>
          </w:p>
        </w:tc>
        <w:tc>
          <w:tcPr>
            <w:tcW w:w="1332" w:type="dxa"/>
            <w:shd w:val="clear" w:color="auto" w:fill="auto"/>
            <w:noWrap w:val="0"/>
            <w:vAlign w:val="center"/>
          </w:tcPr>
          <w:p>
            <w:pPr>
              <w:pStyle w:val="3"/>
              <w:tabs>
                <w:tab w:val="left" w:pos="562"/>
                <w:tab w:val="left" w:pos="3372"/>
                <w:tab w:val="left" w:pos="3653"/>
              </w:tabs>
              <w:bidi w:val="0"/>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19</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反光背心</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1.高亮反光安全背心，颜色：荧光绿</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2.根据客户需求印字</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20</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安全带</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1.材质:涤纶高强丝/7075铝合金</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2.全身安全吊带由织带、前部拉环、后背拉环、后背衬垫、带扣和胸式上升器等零部件组成。有5 个挂点，具背部、胸部、腹部各一个、腰部 D 型环两个，并附有工具挂环</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3.安全吊带的承重织带宽度43mm；厚度：1.5mm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4.金属拉环厚度：10mm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5.重量：2kg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6.耐高温性能：经 204℃±5℃的耐高温性能试验后，安全吊带的织带和缝线不出现熔融、焦化现象、金属零件的耐腐蚀性能：</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7.经 48h 中性盐雾试验后，外观符合 GB/T 6461-2002 外观等级评定轻微级的要求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8.腰环周长65cm-130cm 脚环周长40cm-75cm</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雨衣</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1.莹光绿，采用150D牛津面料，布与胶的接触为1.5KG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▲2.抗静水压性能≥154.4KPa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▲3.PH值≥6.9</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▲4.接缝处抗水压性能≥181.3KPa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5.符合QB/T4999-2016日用防雨品雨披雨衣标准。</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6.耐老化性：QB/T4999-2016产品在高温条件下不应有粘连、变色或水波皱纹现象，产品在低温条件不应有裂纹现象</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7.规格型号：大/中/小码</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8.根据客户需求印字</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▲9.提供国家认可的检测机构出具的具有CMA和CNAS认证的有效检测报告扫描件（提供原件备查，第2-4项需在检验报告中体现并满足）</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22</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雨鞋</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1.材质：外-天然橡胶 内-棉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2.颜色：蓝黄、红黑、黑</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3.尺码范围39-46</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4.特性：防水防滑耐磨舒适透气</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5.规格型号：37码-44码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23</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哨子</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1.材质：不绣钢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2.规格：48mm×21mm×15mm</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24</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救生衣圈</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1.采用高密度聚乙烯为売体，内充高密度聚氨酯闭孔泡沬塑料颜色稳定、抗老化</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2.救生圈配有四条反光带，方便夜晚救援时显示救援位置</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3.外径720mm 内径440mm 厚度110mm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4.浮力：≧120N(适合体重240斤的人使用)</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25</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救灾应急包</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1.内主要装备有剪刀、塑料镊子、碘伏棉签、纱布片、说明书、PBT绷带、无纺布胶带、卡扣止血带、风油精、防蚊虫湿布、消毒片、创可贴、无纺布三角绷带、安全别针、指南针、口哨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2.单兵急救盒（个人急救盒）外观整洁，体积小，质量轻，可直接装入衣服口袋内，携带和取拿方便，使用、操作简单</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26</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消防过滤式自救呼吸器</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1.佩戴质量：500g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2.透光率：5%</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3.防毒时间：30分钟</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4.CO透过浓度：在额定防护时间内任何单个5min过程中，CO透过浓底的时间加权平均值200mL/M³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5.吸气阻力：800Pa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6.呼气阻力：300Pa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7.油雾透过系数3.4%</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27</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四合一便携式有毒气体检测仪</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1.气体种类: EX、H2S、CO、02</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2.量程: (0-100)%LEL、(0-100)ppm、(0-1000)ppm、(0-30%）vol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3.低报警点: 20%LEL、10ppm、50ppm、19.5%vol报警点: 50%LEL、35ppm、150ppm、23.5%vol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4.分辨率: 1%LEL、1ppm、1ppm、0.1%vol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5.显示误差:≤±5%FS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6.显应时间:T&lt;30s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7.工作环境:温度-20度、-50度:湿度&lt;95%RH结露</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8.工作电压:DC3.7V(锂电池容量1800mAh)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9.充电时间:4h-6h</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10.待机时间:满电状态下可连接使用20小时以上</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11.防护等级:ip65</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28</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防汛沙袋</w:t>
            </w:r>
          </w:p>
        </w:tc>
        <w:tc>
          <w:tcPr>
            <w:tcW w:w="3501" w:type="dxa"/>
            <w:noWrap w:val="0"/>
            <w:vAlign w:val="center"/>
          </w:tcPr>
          <w:p>
            <w:pPr>
              <w:pStyle w:val="3"/>
              <w:keepNext w:val="0"/>
              <w:keepLines w:val="0"/>
              <w:pageBreakBefore w:val="0"/>
              <w:numPr>
                <w:ilvl w:val="0"/>
                <w:numId w:val="0"/>
              </w:numPr>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尺寸：30*70；重量:吸水前0.42Kg±5％吸水后20Kg±5％材料使用:外袋：加厚帆布 使用环境:淡水酸碱环境8&gt;PH&gt;4</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2.保质期限:4年</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3.膨胀膨胀时间快:2-3分钟(水温环境≥20℃)，耐压强度:≥150Kg</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29</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救生绳</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1.规格：通用型12.5㎜－16㎜</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2.结构：为夹心绳，承重部分由连续纤维材料制成，强度高、延伸率小、抗冲击性能好、耐高温</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3.破断强度：轻型≥20KN  通用型≥40K，N高温性能：载温度204℃时间5MIN环境下，不融熔、焦化</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30</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应急长梯</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1.材质：不绣钢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2.尺寸:直梯5.9米(靠墙)</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3.尺寸:49*8*110cm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4.重量15.4KG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5.步距:40cm</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1.信道数量:128 个信道</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2.外形尺寸(HxWxD):116x57x32mm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3.供电电压:7.4V DC±10%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4.重量(近似):约262克(包括 FNB-Z162LI 锂电池信道间隔:天线和皮带夹)25/12.5 kHz</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5.电池使用时间(5-5-90工作模式)12小时(1600mAH 电池)输出功率(额定值)低/高:FNB-Z162LI 1600mAh 锂离子电池长达12小时续航，满足一线工作需求坚固耐用 抗震防尘.</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6.IP54防护等级具备基础的防尘和防水能力，适合户外工作，胜任各种恶劣的工作环境.</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32</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扩音器</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1.输出阻抗：4Ω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2.工作电压：6-9V</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3.失真度：2%</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4.峰值功率：35W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5.峰值分贝：110dB</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6.传输距离：600m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7.尺寸：330*203（毫米）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8.重量：980g（含能140g锂电池)</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33</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锥形事故柱</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1.材质：塑料</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2.反光膜：PE高感反光膜</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3.规格：72*40*40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4.重量: 约3 kg</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34</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隔离警示带</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1.材料：PE</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2.规格：宽度40mm，长度100m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3.颜 色：红白相间</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警示牌</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1.材质：焊接支架</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2.稳固可靠，三角支架，稳固性强，耐晒防雨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3.反光膜：工程膜</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36</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医用急救箱</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1.材质：铝合金，里面为绒布制作，有背带</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2.尺寸：（14寸）长约38cm、宽约20cm、高约18cm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3.颜色：银白色</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内配急救用品清单：云南白药1盒、、藿香正气液1盒、跌打万花油、斧标驱风油1瓶、驱护液1支、医用冰敷冰袋3袋、消肿止痛酊1支、消毒酒精1瓶、过氧化氢溶夜3瓶、万福灭菌棉签1包、医用透气胶带2卷、医用纱布绷带2卷、创口贴2盒、脱脂棉球1包、包绷带剪刀1把、求生哨2个</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37</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二氧化碳灭火器</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1.剂量2L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2.喷射距离≥2m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3.喷射时间≥8s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4.灭火级别 21B</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5.使用温度-10~+55℃</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6.二氧化碳灭火器流动性好、喷射率高、不腐蚀容器和不易变质等优良性能，主要用来扑灭图书，档案，贵重设备，精密仪器、600伏以下电气设备及油类的初起火灾</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38</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泡沫灭火器</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1.型号：3公斤</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2.产品名称:水基灭火器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3.使用温度:5°C-+55°C</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4.瓶体材质:碳钢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5.灭火剂:S-3-AB</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39</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灭火毯</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1.型号：1.5mX1.5m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2.材质：玻璃纤维，双面涂层</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3.规格：1.5mX1.5m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4.重量：1.05KG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5.厚度：0.43mm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6.耐高温：550℃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7.热值 MJ/kg：≤2.0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8.质量损失率%：≤50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9.炉内温升℃：≤30</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10.持续火焰时间S：0（无持续燃烧）性能：防火、隔热、绝缘、耐高温</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40</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铁锹</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1.采用优质钢材料制作，带木柄。总长120CM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2.带圆头手把，方便铲沙、泥土等，重1KG～1.2KG</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砍刀</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1.材质；弹簧钢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2.刀刃长度：≥30cm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3.刀刃宽度：≥5.5cm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4.手柄长度：≥65cm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5.重量：≤1.5kg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6.采用优质钢材制作而成，轻巧、刃利</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42</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电锯</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1.12寸无刷电链锯</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2.无刷电机</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3.喷油系统:自动喷油</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4.切割直径:305mm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5.导板尺寸:12寸</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6.链条速度:9m/s</w:t>
            </w:r>
          </w:p>
          <w:p>
            <w:pPr>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东文宋体" w:hAnsi="东文宋体" w:eastAsia="东文宋体" w:cs="东文宋体"/>
                <w:sz w:val="21"/>
                <w:szCs w:val="21"/>
                <w:highlight w:val="none"/>
                <w:lang w:val="en-US" w:eastAsia="zh-CN"/>
              </w:rPr>
              <w:t>■</w:t>
            </w:r>
            <w:r>
              <w:rPr>
                <w:rFonts w:hint="eastAsia" w:ascii="宋体" w:hAnsi="宋体" w:eastAsia="宋体" w:cs="宋体"/>
                <w:sz w:val="21"/>
                <w:szCs w:val="21"/>
                <w:highlight w:val="none"/>
                <w:lang w:val="en-US" w:eastAsia="zh-CN"/>
              </w:rPr>
              <w:t>提供样品</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43</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抽水泵</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1.发动机型号：192F</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2.发动机型式：单缸、四冲程、风冷</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3.最大输出功率≥9.0/3600 kw/rpm</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lang w:val="en-US" w:eastAsia="zh-CN"/>
              </w:rPr>
            </w:pPr>
            <w:r>
              <w:rPr>
                <w:rFonts w:hint="eastAsia" w:ascii="宋体" w:hAnsi="宋体" w:eastAsia="宋体" w:cs="宋体"/>
                <w:sz w:val="21"/>
                <w:szCs w:val="21"/>
                <w:highlight w:val="none"/>
                <w:lang w:val="en-US" w:eastAsia="zh-CN"/>
              </w:rPr>
              <w:t>4.排气量≥439 cm³</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5.起动系统：手拉启动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6.机油容量 ≥1.1 L</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7.油箱容量 ≥ 6.0 L</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8.燃油：汽油</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9.出/入水口径：150mm（6寸）</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▲10.最高扬程≥30m</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▲11.自吸高度≥7m</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▲12.最大流量≥168 m³/h</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13.机组带有2个移动轮子方便路面移动</w:t>
            </w:r>
          </w:p>
          <w:p>
            <w:pPr>
              <w:pStyle w:val="3"/>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14.每台汽油水泵配6寸6米进水钢丝软管一卷和6寸20米帆布水带（带快速接头）一卷</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▲15.提供省级机电产品专业质检机构检测的检测报告扫描件（提供原件备查，第10-12项需在检验报告中体现并满足）</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44</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斧头</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1.斧头材质：45#碳结钢、带木柄</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2.重量：1.2-1.8kg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3.长度70-90cm</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45</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液压剪</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1.材质：合金钢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2.重量：6.2KG</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3.工作行程：4-22mm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4.工作压力：14T</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46</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千斤顶</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1.型号：10吨</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2.升级立式千斤顶</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3.材质:优质无缝钢材</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4.性质:手动起重工具</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5.安全便捷操作简单，十字条纹凹痕 增加了车辆接触面的摩擦力</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47</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镐头</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1.材质：高碳钢</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2.镐头长度：490CM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3.全长:940MM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4.重量:2.1</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48</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棉手套</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1..材质：棉纱</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2..白色线手套</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49</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手摇发电应急收音机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材质：ABS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太阳能板输出：5.0V 55MA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手摇发电输出：5V 450MA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手机充电输出：5.2V 400MA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输入功率：5v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产品尺寸：242*136*73MM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收音机频率：AM/FM/SW</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充电池：2000mAh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手电筒：LED*1pCS</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干电池：五号电池*3</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50</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便携式太阳能应急收音机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照明:LED灯珠</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照明档位:三档调光，强光1W、弱光0.5W、SOS频闪</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台灯模式:强光、弱光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SOS警报器:有，90DB以上</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锂电池容量:18650电池3.7V，2000mAh毫安</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AAA电池:支持3节干电池供电</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USB充电时间:约4.5小时</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电量使用时长:弱光模式约40小时</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3种充电方式:手摇充电、太阳能充电、USB充电 DC5.OV 1.2A</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手摇充电1分钟:供电约15分钟</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尺寸:155*94*49mm</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重量:275g</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keepNext w:val="0"/>
              <w:keepLines w:val="0"/>
              <w:widowControl/>
              <w:suppressLineNumbers w:val="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51</w:t>
            </w:r>
          </w:p>
        </w:tc>
        <w:tc>
          <w:tcPr>
            <w:tcW w:w="1496" w:type="dxa"/>
            <w:noWrap w:val="0"/>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应急救援多功能手摇收音机</w:t>
            </w:r>
          </w:p>
        </w:tc>
        <w:tc>
          <w:tcPr>
            <w:tcW w:w="3501" w:type="dxa"/>
            <w:noWrap w:val="0"/>
            <w:vAlign w:val="center"/>
          </w:tcPr>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电源方式：充电-USB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最大流明：200-500lm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最长续航：5-10h   </w:t>
            </w:r>
          </w:p>
          <w:p>
            <w:pPr>
              <w:pStyle w:val="3"/>
              <w:keepNext w:val="0"/>
              <w:keepLines w:val="0"/>
              <w:pageBreakBefore w:val="0"/>
              <w:tabs>
                <w:tab w:val="left" w:pos="562"/>
                <w:tab w:val="left" w:pos="3372"/>
                <w:tab w:val="left" w:pos="3653"/>
              </w:tabs>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功能：手机充电、收音机、照明、SOS救援</w:t>
            </w:r>
          </w:p>
        </w:tc>
        <w:tc>
          <w:tcPr>
            <w:tcW w:w="1725"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149"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c>
          <w:tcPr>
            <w:tcW w:w="1332" w:type="dxa"/>
            <w:noWrap w:val="0"/>
            <w:vAlign w:val="center"/>
          </w:tcPr>
          <w:p>
            <w:pPr>
              <w:pStyle w:val="3"/>
              <w:tabs>
                <w:tab w:val="left" w:pos="562"/>
                <w:tab w:val="left" w:pos="3372"/>
                <w:tab w:val="left" w:pos="3653"/>
              </w:tabs>
              <w:bidi w:val="0"/>
              <w:rPr>
                <w:rFonts w:hint="eastAsia" w:ascii="宋体" w:hAnsi="宋体" w:eastAsia="宋体" w:cs="宋体"/>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highlight w:val="none"/>
          <w:lang w:eastAsia="zh-CN"/>
        </w:rPr>
      </w:pPr>
      <w:r>
        <w:rPr>
          <w:rFonts w:hint="eastAsia" w:ascii="宋体" w:hAnsi="宋体" w:eastAsia="宋体" w:cs="宋体"/>
          <w:b/>
          <w:color w:val="auto"/>
          <w:sz w:val="24"/>
          <w:szCs w:val="24"/>
          <w:highlight w:val="none"/>
          <w:lang w:eastAsia="zh-CN"/>
        </w:rPr>
        <w:t>未</w:t>
      </w:r>
      <w:r>
        <w:rPr>
          <w:rFonts w:hint="eastAsia" w:ascii="宋体" w:hAnsi="宋体" w:eastAsia="宋体" w:cs="宋体"/>
          <w:b/>
          <w:color w:val="auto"/>
          <w:sz w:val="24"/>
          <w:szCs w:val="24"/>
          <w:highlight w:val="none"/>
        </w:rPr>
        <w:t>带</w:t>
      </w:r>
      <w:r>
        <w:rPr>
          <w:rFonts w:hint="eastAsia" w:ascii="宋体" w:hAnsi="宋体" w:eastAsia="宋体" w:cs="宋体"/>
          <w:b/>
          <w:color w:val="auto"/>
          <w:sz w:val="24"/>
          <w:szCs w:val="24"/>
          <w:highlight w:val="none"/>
          <w:lang w:eastAsia="zh-CN"/>
        </w:rPr>
        <w:t>“</w:t>
      </w:r>
      <w:r>
        <w:rPr>
          <w:rFonts w:hint="eastAsia" w:ascii="东文宋体" w:hAnsi="东文宋体" w:eastAsia="东文宋体" w:cs="东文宋体"/>
          <w:sz w:val="21"/>
          <w:szCs w:val="21"/>
          <w:highlight w:val="none"/>
          <w:lang w:val="en-US" w:eastAsia="zh-CN"/>
        </w:rPr>
        <w:t>■</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指标项为一般技术参数</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带“</w:t>
      </w:r>
      <w:r>
        <w:rPr>
          <w:rFonts w:hint="eastAsia" w:ascii="东文宋体" w:hAnsi="东文宋体" w:eastAsia="东文宋体" w:cs="东文宋体"/>
          <w:sz w:val="21"/>
          <w:szCs w:val="21"/>
          <w:highlight w:val="none"/>
          <w:lang w:val="en-US" w:eastAsia="zh-CN"/>
        </w:rPr>
        <w:t>■</w:t>
      </w:r>
      <w:r>
        <w:rPr>
          <w:rFonts w:hint="eastAsia" w:ascii="宋体" w:hAnsi="宋体" w:eastAsia="宋体" w:cs="宋体"/>
          <w:b/>
          <w:color w:val="auto"/>
          <w:sz w:val="24"/>
          <w:szCs w:val="24"/>
          <w:highlight w:val="none"/>
          <w:lang w:eastAsia="zh-CN"/>
        </w:rPr>
        <w:t>”指需要提供样品，</w:t>
      </w:r>
      <w:r>
        <w:rPr>
          <w:rFonts w:hint="eastAsia" w:ascii="宋体" w:hAnsi="宋体" w:eastAsia="宋体" w:cs="宋体"/>
          <w:b/>
          <w:color w:val="auto"/>
          <w:sz w:val="24"/>
          <w:szCs w:val="24"/>
          <w:highlight w:val="none"/>
        </w:rPr>
        <w:t>带“▲”指标项为重要参数</w:t>
      </w:r>
      <w:r>
        <w:rPr>
          <w:rFonts w:hint="eastAsia" w:ascii="宋体" w:hAnsi="宋体" w:eastAsia="宋体" w:cs="宋体"/>
          <w:b/>
          <w:color w:val="auto"/>
          <w:sz w:val="24"/>
          <w:szCs w:val="24"/>
          <w:highlight w:val="none"/>
          <w:lang w:eastAsia="zh-CN"/>
        </w:rPr>
        <w:t>，需提供相关检测报告佐证，</w:t>
      </w:r>
      <w:r>
        <w:rPr>
          <w:rFonts w:hint="eastAsia" w:ascii="宋体" w:hAnsi="宋体" w:eastAsia="宋体" w:cs="宋体"/>
          <w:b/>
          <w:color w:val="auto"/>
          <w:sz w:val="24"/>
          <w:szCs w:val="24"/>
          <w:highlight w:val="none"/>
        </w:rPr>
        <w:t>负偏离时依相关评分准则内容作重点扣分处理。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《技术要求偏离表》填写指引：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1、“投标技术响应”一栏必须一一对照“招标技术要求”，详细填写投标人自身投标货物的具体参数，而不能不合理照搬照抄招标文件的技术要求，以体现具体响应情况。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color w:val="auto"/>
          <w:sz w:val="24"/>
          <w:szCs w:val="24"/>
          <w:highlight w:val="none"/>
          <w:lang w:val="en-US" w:eastAsia="zh-CN"/>
        </w:rPr>
      </w:pPr>
      <w:r>
        <w:rPr>
          <w:rFonts w:hint="default" w:ascii="宋体" w:hAnsi="宋体" w:eastAsia="宋体" w:cs="宋体"/>
          <w:b/>
          <w:color w:val="auto"/>
          <w:sz w:val="24"/>
          <w:szCs w:val="24"/>
          <w:highlight w:val="none"/>
          <w:lang w:val="en-US" w:eastAsia="zh-CN"/>
        </w:rPr>
        <w:t>3、未要求提供证明资料的招标技术要求，可以不提供证明资料（如实响应即可）。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18030">
    <w:panose1 w:val="02000500000000000000"/>
    <w:charset w:val="86"/>
    <w:family w:val="auto"/>
    <w:pitch w:val="default"/>
    <w:sig w:usb0="A00002BF" w:usb1="38CF7CFA"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C729A6"/>
    <w:rsid w:val="1B7C8A29"/>
    <w:rsid w:val="1DBF44C3"/>
    <w:rsid w:val="1EF7DA8C"/>
    <w:rsid w:val="23FEC7DB"/>
    <w:rsid w:val="2A63F08F"/>
    <w:rsid w:val="2DFF34CA"/>
    <w:rsid w:val="2F370BB9"/>
    <w:rsid w:val="2FD3E83C"/>
    <w:rsid w:val="2FDF840E"/>
    <w:rsid w:val="31AF252B"/>
    <w:rsid w:val="33F0076D"/>
    <w:rsid w:val="387B6928"/>
    <w:rsid w:val="39DF8523"/>
    <w:rsid w:val="3D77EA2D"/>
    <w:rsid w:val="3EE94D6A"/>
    <w:rsid w:val="3FDC6920"/>
    <w:rsid w:val="3FDD8699"/>
    <w:rsid w:val="3FFF71D3"/>
    <w:rsid w:val="3FFF7E32"/>
    <w:rsid w:val="44FFDBFC"/>
    <w:rsid w:val="45ED92F0"/>
    <w:rsid w:val="47FF78A9"/>
    <w:rsid w:val="4A1947CF"/>
    <w:rsid w:val="4F3D47F5"/>
    <w:rsid w:val="4FAD7B3B"/>
    <w:rsid w:val="4FBEE25F"/>
    <w:rsid w:val="50B5D8A3"/>
    <w:rsid w:val="53EC926E"/>
    <w:rsid w:val="57CF0433"/>
    <w:rsid w:val="57FDD6CE"/>
    <w:rsid w:val="57FE0952"/>
    <w:rsid w:val="5BFE3281"/>
    <w:rsid w:val="5C7D98EF"/>
    <w:rsid w:val="5CFA3D0A"/>
    <w:rsid w:val="5DED8B7D"/>
    <w:rsid w:val="5EC99769"/>
    <w:rsid w:val="5EF4724F"/>
    <w:rsid w:val="657FB435"/>
    <w:rsid w:val="67F78B6F"/>
    <w:rsid w:val="67FFD5C1"/>
    <w:rsid w:val="6A7F1EE5"/>
    <w:rsid w:val="6BDC0E62"/>
    <w:rsid w:val="6BFFE9F2"/>
    <w:rsid w:val="6DCD318F"/>
    <w:rsid w:val="6F4F096E"/>
    <w:rsid w:val="6FF1585D"/>
    <w:rsid w:val="76EE1906"/>
    <w:rsid w:val="76FFED07"/>
    <w:rsid w:val="77BE0720"/>
    <w:rsid w:val="77DB134A"/>
    <w:rsid w:val="77DD3B9C"/>
    <w:rsid w:val="77EB6E3E"/>
    <w:rsid w:val="77FD3EF3"/>
    <w:rsid w:val="77FF3C6F"/>
    <w:rsid w:val="7977E74E"/>
    <w:rsid w:val="79D3F137"/>
    <w:rsid w:val="79FB5C74"/>
    <w:rsid w:val="7AFF3618"/>
    <w:rsid w:val="7B1F0156"/>
    <w:rsid w:val="7BCFC16B"/>
    <w:rsid w:val="7BDB0EC5"/>
    <w:rsid w:val="7BDD6CD3"/>
    <w:rsid w:val="7BE39C65"/>
    <w:rsid w:val="7BF7F57B"/>
    <w:rsid w:val="7BF9135F"/>
    <w:rsid w:val="7CDF7285"/>
    <w:rsid w:val="7DAFA6AD"/>
    <w:rsid w:val="7DE7674B"/>
    <w:rsid w:val="7E4F5A13"/>
    <w:rsid w:val="7EAF976C"/>
    <w:rsid w:val="7F3380D5"/>
    <w:rsid w:val="7F4F64D1"/>
    <w:rsid w:val="7F5E83A7"/>
    <w:rsid w:val="7FBFAA11"/>
    <w:rsid w:val="7FDBEF67"/>
    <w:rsid w:val="7FEFC2EF"/>
    <w:rsid w:val="7FF6BDD2"/>
    <w:rsid w:val="7FF8D248"/>
    <w:rsid w:val="7FFF9E9C"/>
    <w:rsid w:val="7FFFD304"/>
    <w:rsid w:val="8E8F57C4"/>
    <w:rsid w:val="97CF8B6C"/>
    <w:rsid w:val="9BDF3F05"/>
    <w:rsid w:val="A2FFFEAB"/>
    <w:rsid w:val="AF7F4E53"/>
    <w:rsid w:val="AFF559D1"/>
    <w:rsid w:val="B3FFE484"/>
    <w:rsid w:val="B5FF8692"/>
    <w:rsid w:val="B6F7E3E2"/>
    <w:rsid w:val="B7FF054E"/>
    <w:rsid w:val="BBFF1CA1"/>
    <w:rsid w:val="BC785221"/>
    <w:rsid w:val="BDDF584F"/>
    <w:rsid w:val="BE7FE493"/>
    <w:rsid w:val="BEDB44CC"/>
    <w:rsid w:val="BEFA8E5F"/>
    <w:rsid w:val="BFB59350"/>
    <w:rsid w:val="BFB7CE23"/>
    <w:rsid w:val="BFBF977B"/>
    <w:rsid w:val="BFBF97FD"/>
    <w:rsid w:val="BFE6573E"/>
    <w:rsid w:val="C7FD3E78"/>
    <w:rsid w:val="CBBB2EE1"/>
    <w:rsid w:val="CDBE7132"/>
    <w:rsid w:val="CEFFB0DF"/>
    <w:rsid w:val="D3FFE14D"/>
    <w:rsid w:val="D6EFF54E"/>
    <w:rsid w:val="D7EC4A33"/>
    <w:rsid w:val="DBBE87B0"/>
    <w:rsid w:val="DC790F3C"/>
    <w:rsid w:val="DD7BD2B5"/>
    <w:rsid w:val="DEF76B67"/>
    <w:rsid w:val="DEF7D202"/>
    <w:rsid w:val="DEFA1E76"/>
    <w:rsid w:val="DFD7E4EB"/>
    <w:rsid w:val="DFF754CE"/>
    <w:rsid w:val="E6FFEB54"/>
    <w:rsid w:val="EBB7AB02"/>
    <w:rsid w:val="ECF52D7D"/>
    <w:rsid w:val="ED6FF048"/>
    <w:rsid w:val="ED7DE735"/>
    <w:rsid w:val="EE6FB7FA"/>
    <w:rsid w:val="EFBD62F3"/>
    <w:rsid w:val="EFCF2CE7"/>
    <w:rsid w:val="EFD548F4"/>
    <w:rsid w:val="EFF7BF77"/>
    <w:rsid w:val="EFF7F580"/>
    <w:rsid w:val="F3CF4451"/>
    <w:rsid w:val="F3F9AD2F"/>
    <w:rsid w:val="F5AF706F"/>
    <w:rsid w:val="F79F4499"/>
    <w:rsid w:val="F7BF1A23"/>
    <w:rsid w:val="F7F71DFA"/>
    <w:rsid w:val="FA7F0125"/>
    <w:rsid w:val="FCD7EF2F"/>
    <w:rsid w:val="FCFF7DCA"/>
    <w:rsid w:val="FD7B0AD5"/>
    <w:rsid w:val="FDBDE21D"/>
    <w:rsid w:val="FDED8C53"/>
    <w:rsid w:val="FDF62630"/>
    <w:rsid w:val="FDF72A2A"/>
    <w:rsid w:val="FE1CF762"/>
    <w:rsid w:val="FE7BF896"/>
    <w:rsid w:val="FE7F6005"/>
    <w:rsid w:val="FEEDA6FD"/>
    <w:rsid w:val="FEF38233"/>
    <w:rsid w:val="FF7C6B1D"/>
    <w:rsid w:val="FF7DC68B"/>
    <w:rsid w:val="FFB8E6D9"/>
    <w:rsid w:val="FFDAE95C"/>
    <w:rsid w:val="FFEF0C56"/>
    <w:rsid w:val="FFEF0D85"/>
    <w:rsid w:val="FFEF9742"/>
    <w:rsid w:val="FFFB75A8"/>
    <w:rsid w:val="FFFF2BD3"/>
    <w:rsid w:val="FFFF497D"/>
    <w:rsid w:val="FFFFB848"/>
    <w:rsid w:val="FFFFD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paragraph" w:styleId="2">
    <w:name w:val="heading 3"/>
    <w:basedOn w:val="1"/>
    <w:next w:val="1"/>
    <w:qFormat/>
    <w:uiPriority w:val="0"/>
    <w:pPr>
      <w:keepNext/>
      <w:keepLines/>
      <w:numPr>
        <w:ilvl w:val="0"/>
        <w:numId w:val="0"/>
      </w:numPr>
      <w:outlineLvl w:val="2"/>
    </w:p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sz w:val="3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1"/>
    <w:basedOn w:val="1"/>
    <w:qFormat/>
    <w:uiPriority w:val="0"/>
    <w:pPr>
      <w:spacing w:line="560" w:lineRule="exact"/>
      <w:jc w:val="center"/>
    </w:pPr>
    <w:rPr>
      <w:rFonts w:ascii="方正小标宋简体" w:eastAsia="方正小标宋简体"/>
      <w:sz w:val="44"/>
    </w:rPr>
  </w:style>
  <w:style w:type="paragraph" w:styleId="11">
    <w:name w:val="List Paragraph"/>
    <w:basedOn w:val="1"/>
    <w:qFormat/>
    <w:uiPriority w:val="34"/>
    <w:pPr>
      <w:ind w:firstLine="420" w:firstLineChars="200"/>
    </w:pPr>
  </w:style>
  <w:style w:type="paragraph" w:customStyle="1" w:styleId="12">
    <w:name w:val="Table Text"/>
    <w:basedOn w:val="1"/>
    <w:semiHidden/>
    <w:qFormat/>
    <w:uiPriority w:val="0"/>
    <w:rPr>
      <w:rFonts w:ascii="仿宋_GB2312" w:hAnsi="仿宋_GB2312" w:eastAsia="仿宋_GB2312" w:cs="仿宋_GB2312"/>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2018-07-18T07:11:00Z</dcterms:created>
  <dc:creator>d</dc:creator>
  <cp:lastModifiedBy>yantian</cp:lastModifiedBy>
  <cp:lastPrinted>2024-11-03T17:56:00Z</cp:lastPrinted>
  <dcterms:modified xsi:type="dcterms:W3CDTF">2024-11-06T14:29:57Z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426BA39D2747C29BD41B2267BC24092E</vt:lpwstr>
  </property>
</Properties>
</file>