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1"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rPr>
          <w:rFonts w:ascii="Calibri" w:hAnsi="Calibri"/>
          <w:szCs w:val="22"/>
        </w:rPr>
      </w:pPr>
    </w:p>
    <w:p>
      <w:pPr>
        <w:pBdr>
          <w:top w:val="none" w:color="auto" w:sz="0" w:space="1"/>
          <w:left w:val="none" w:color="auto" w:sz="0" w:space="4"/>
          <w:bottom w:val="none" w:color="auto" w:sz="0" w:space="1"/>
          <w:right w:val="none" w:color="auto" w:sz="0" w:space="4"/>
        </w:pBdr>
        <w:ind w:firstLine="421"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pPr>
        <w:ind w:firstLine="400" w:firstLineChars="200"/>
        <w:rPr>
          <w:rFonts w:ascii="宋体" w:hAnsi="宋体"/>
          <w:color w:val="FF0000"/>
          <w:sz w:val="20"/>
          <w:szCs w:val="20"/>
        </w:rPr>
        <w:sectPr>
          <w:headerReference r:id="rId3" w:type="default"/>
          <w:footerReference r:id="rId4" w:type="default"/>
          <w:pgSz w:w="12240" w:h="15840"/>
          <w:pgMar w:top="1440" w:right="1800" w:bottom="1440" w:left="1800" w:header="720" w:footer="720" w:gutter="0"/>
          <w:pgNumType w:fmt="decimal"/>
          <w:cols w:space="720" w:num="1"/>
        </w:sectPr>
      </w:pPr>
    </w:p>
    <w:p>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YTZXCG-2025-00078</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eastAsia"/>
                <w:sz w:val="30"/>
                <w:szCs w:val="30"/>
                <w:highlight w:val="none"/>
              </w:rPr>
              <w:t>深圳市盐田区智慧城管信息系统运维服务项目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rFonts w:hint="eastAsia" w:eastAsia="宋体"/>
                <w:sz w:val="30"/>
                <w:szCs w:val="30"/>
                <w:lang w:eastAsia="zh-CN"/>
              </w:rPr>
            </w:pPr>
            <w:r>
              <w:rPr>
                <w:rFonts w:ascii="宋体" w:hAnsi="宋体" w:cs="宋体"/>
                <w:kern w:val="0"/>
                <w:sz w:val="30"/>
                <w:szCs w:val="30"/>
                <w:highlight w:val="none"/>
                <w:lang w:bidi="ar"/>
              </w:rPr>
              <w:t>公开</w:t>
            </w:r>
            <w:r>
              <w:rPr>
                <w:rFonts w:hint="eastAsia" w:ascii="宋体" w:hAnsi="宋体" w:cs="宋体"/>
                <w:kern w:val="0"/>
                <w:sz w:val="30"/>
                <w:szCs w:val="30"/>
                <w:highlight w:val="none"/>
                <w:lang w:eastAsia="zh-CN" w:bidi="ar"/>
              </w:rPr>
              <w:t>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
      <w:pPr>
        <w:pStyle w:val="37"/>
        <w:jc w:val="center"/>
        <w:outlineLvl w:val="1"/>
        <w:rPr>
          <w:rFonts w:ascii="黑体" w:hAnsi="黑体" w:eastAsia="黑体"/>
          <w:sz w:val="40"/>
          <w:szCs w:val="40"/>
        </w:rPr>
        <w:sectPr>
          <w:headerReference r:id="rId5" w:type="first"/>
          <w:footerReference r:id="rId6" w:type="default"/>
          <w:footerReference r:id="rId7" w:type="even"/>
          <w:pgSz w:w="11907" w:h="16840"/>
          <w:pgMar w:top="1440" w:right="1417" w:bottom="1440" w:left="1417" w:header="851" w:footer="992" w:gutter="0"/>
          <w:pgNumType w:fmt="decimal"/>
          <w:cols w:space="425" w:num="1"/>
          <w:titlePg/>
          <w:docGrid w:linePitch="462" w:charSpace="0"/>
        </w:sectPr>
      </w:pPr>
    </w:p>
    <w:p>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rPr>
              <w:t>法律、法规、规章、规范性文件规定的其他情形。</w:t>
            </w:r>
          </w:p>
        </w:tc>
      </w:tr>
    </w:tbl>
    <w:p/>
    <w:p>
      <w:pPr>
        <w:pStyle w:val="37"/>
        <w:jc w:val="center"/>
        <w:outlineLvl w:val="1"/>
        <w:rPr>
          <w:rFonts w:ascii="黑体" w:hAnsi="黑体" w:eastAsia="黑体"/>
          <w:sz w:val="40"/>
          <w:szCs w:val="40"/>
        </w:rPr>
        <w:sectPr>
          <w:headerReference r:id="rId8" w:type="first"/>
          <w:footerReference r:id="rId9" w:type="default"/>
          <w:pgSz w:w="11907" w:h="16840"/>
          <w:pgMar w:top="1440" w:right="1417" w:bottom="1440" w:left="1417" w:header="851" w:footer="992" w:gutter="0"/>
          <w:pgNumType w:fmt="decimal"/>
          <w:cols w:space="425" w:num="1"/>
          <w:titlePg/>
          <w:docGrid w:linePitch="462" w:charSpace="0"/>
        </w:sectPr>
      </w:pPr>
    </w:p>
    <w:p>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rPr>
            </w:pPr>
            <w:r>
              <w:rPr>
                <w:b/>
                <w:bCs/>
              </w:rPr>
              <w:t>评标方法：综合评分法</w:t>
            </w:r>
          </w:p>
        </w:tc>
        <w:tc>
          <w:tcPr>
            <w:tcW w:w="240" w:type="dxa"/>
            <w:shd w:val="clear" w:color="auto" w:fill="auto"/>
            <w:vAlign w:val="center"/>
          </w:tcPr>
          <w:p>
            <w:pPr>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blCellSpacing w:w="0" w:type="dxa"/>
          <w:jc w:val="center"/>
        </w:trPr>
        <w:tc>
          <w:tcPr>
            <w:tcW w:w="9113" w:type="dxa"/>
            <w:gridSpan w:val="2"/>
            <w:shd w:val="clear" w:color="auto" w:fill="auto"/>
            <w:vAlign w:val="center"/>
          </w:tcPr>
          <w:p>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pPr>
              <w:ind w:firstLine="420"/>
              <w:rPr>
                <w:szCs w:val="21"/>
              </w:rPr>
            </w:pPr>
            <w:r>
              <w:rPr>
                <w:szCs w:val="21"/>
              </w:rPr>
              <w:t>价格分计算方法：</w:t>
            </w:r>
          </w:p>
          <w:p>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pPr>
              <w:widowControl/>
              <w:ind w:left="420"/>
              <w:jc w:val="left"/>
              <w:rPr>
                <w:szCs w:val="21"/>
              </w:rPr>
            </w:pPr>
            <w:r>
              <w:rPr>
                <w:szCs w:val="21"/>
              </w:rPr>
              <w:t xml:space="preserve">投标报价得分=(评标基准价／投标报价)×100 </w:t>
            </w:r>
          </w:p>
          <w:p>
            <w:pPr>
              <w:widowControl/>
              <w:ind w:left="420"/>
              <w:jc w:val="left"/>
              <w:rPr>
                <w:szCs w:val="21"/>
              </w:rPr>
            </w:pPr>
            <w:r>
              <w:rPr>
                <w:szCs w:val="21"/>
              </w:rPr>
              <w:t xml:space="preserve">评标总得分＝F1×A1＋F2×A2＋……＋Fn×An </w:t>
            </w:r>
          </w:p>
          <w:p>
            <w:pPr>
              <w:widowControl/>
              <w:ind w:left="420"/>
              <w:jc w:val="left"/>
              <w:rPr>
                <w:szCs w:val="21"/>
              </w:rPr>
            </w:pPr>
            <w:r>
              <w:rPr>
                <w:szCs w:val="21"/>
              </w:rPr>
              <w:t xml:space="preserve">F1、F2……Fn分别为各项评审因素的得分； </w:t>
            </w:r>
          </w:p>
          <w:p>
            <w:pPr>
              <w:widowControl/>
              <w:ind w:left="420"/>
              <w:jc w:val="left"/>
              <w:rPr>
                <w:szCs w:val="21"/>
              </w:rPr>
            </w:pPr>
            <w:r>
              <w:rPr>
                <w:szCs w:val="21"/>
              </w:rPr>
              <w:t xml:space="preserve">A1、A2、……An 分别为各项评审因素所占的权重(A1＋A2＋……＋An＝1)。 </w:t>
            </w:r>
          </w:p>
          <w:p>
            <w:pPr>
              <w:widowControl/>
              <w:ind w:left="420"/>
              <w:jc w:val="left"/>
              <w:rPr>
                <w:szCs w:val="21"/>
              </w:rPr>
            </w:pPr>
            <w:r>
              <w:rPr>
                <w:szCs w:val="21"/>
              </w:rPr>
              <w:t>评标过程中，不得去掉报价中的最高报价和最低报价。</w:t>
            </w:r>
          </w:p>
          <w:p>
            <w:pPr>
              <w:widowControl/>
              <w:ind w:left="420"/>
              <w:jc w:val="left"/>
              <w:rPr>
                <w:szCs w:val="21"/>
              </w:rPr>
            </w:pPr>
            <w:r>
              <w:rPr>
                <w:rFonts w:hint="eastAsia"/>
                <w:szCs w:val="21"/>
              </w:rPr>
              <w:t>因落实政府采购政策进行价格调整的，以调整后的价格计算评标基准价和投标报价。</w:t>
            </w:r>
          </w:p>
          <w:p>
            <w:pPr>
              <w:ind w:firstLine="421"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pPr>
        <w:rPr>
          <w:vanish/>
        </w:rPr>
      </w:pPr>
    </w:p>
    <w:tbl>
      <w:tblPr>
        <w:tblStyle w:val="42"/>
        <w:tblW w:w="90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2"/>
        <w:gridCol w:w="682"/>
        <w:gridCol w:w="2843"/>
        <w:gridCol w:w="683"/>
        <w:gridCol w:w="42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420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420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7"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1</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价格</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eastAsia="宋体" w:cs="宋体"/>
                <w:b/>
                <w:bCs/>
                <w:color w:val="0000FF"/>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42"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2</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18"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imes New Roman" w:hAnsi="Times New Roman" w:cs="Times New Roman" w:eastAsiaTheme="minorEastAsia"/>
                <w:lang w:val="en-US" w:eastAsia="zh-CN"/>
              </w:rPr>
              <w:t>项目实施方案评价</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10</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left"/>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lang w:val="en-US" w:eastAsia="zh-CN"/>
              </w:rPr>
              <w:t>：</w:t>
            </w:r>
          </w:p>
          <w:p>
            <w:pPr>
              <w:wordWrap w:val="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此项重点考察投标人为本项目设计的运维服务方案的整体性、前瞻性及可操作性。具体内容涵盖：</w:t>
            </w:r>
          </w:p>
          <w:p>
            <w:pPr>
              <w:wordWrap w:val="0"/>
              <w:jc w:val="left"/>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项目概述与理解：阐述对智慧城管信息系统运维项目背景、目标与服务原则的理解</w:t>
            </w:r>
            <w:r>
              <w:rPr>
                <w:rFonts w:hint="default" w:cs="Times New Roman"/>
                <w:lang w:val="en-US" w:eastAsia="zh-CN"/>
              </w:rPr>
              <w:t>,</w:t>
            </w:r>
            <w:r>
              <w:rPr>
                <w:rFonts w:hint="eastAsia" w:ascii="Times New Roman" w:hAnsi="Times New Roman" w:eastAsia="宋体" w:cs="Times New Roman"/>
                <w:lang w:val="en-US" w:eastAsia="zh-CN"/>
              </w:rPr>
              <w:t>分析项目的核心运维需求与潜在挑战。</w:t>
            </w:r>
          </w:p>
          <w:p>
            <w:pPr>
              <w:wordWrap w:val="0"/>
              <w:jc w:val="left"/>
              <w:rPr>
                <w:rFonts w:hint="eastAsia" w:ascii="Times New Roman" w:hAnsi="Times New Roman" w:eastAsia="宋体" w:cs="Times New Roman"/>
                <w:lang w:val="en-US" w:eastAsia="zh-CN"/>
              </w:rPr>
            </w:pPr>
            <w:r>
              <w:rPr>
                <w:rFonts w:hint="eastAsia" w:cs="Times New Roman"/>
                <w:lang w:val="en-US" w:eastAsia="zh-CN"/>
              </w:rPr>
              <w:t>2.</w:t>
            </w:r>
            <w:r>
              <w:rPr>
                <w:rFonts w:hint="eastAsia" w:ascii="Times New Roman" w:hAnsi="Times New Roman" w:eastAsia="宋体" w:cs="Times New Roman"/>
                <w:lang w:val="en-US" w:eastAsia="zh-CN"/>
              </w:rPr>
              <w:t>运行维护服务方案：详细描述运维服务体系，包括但不限于日常监控、故障处理、系统升级、安全保障等服务的目标、内容、流程和交付成果。方案应体现主动预防和持续优化的思路。</w:t>
            </w:r>
          </w:p>
          <w:p>
            <w:pPr>
              <w:wordWrap w:val="0"/>
              <w:jc w:val="left"/>
              <w:rPr>
                <w:rFonts w:hint="eastAsia" w:ascii="Times New Roman" w:hAnsi="Times New Roman" w:eastAsia="宋体" w:cs="Times New Roman"/>
                <w:lang w:eastAsia="zh-CN"/>
              </w:rPr>
            </w:pPr>
            <w:r>
              <w:rPr>
                <w:rFonts w:hint="eastAsia" w:cs="Times New Roman"/>
                <w:lang w:val="en-US" w:eastAsia="zh-CN"/>
              </w:rPr>
              <w:t>3.</w:t>
            </w:r>
            <w:r>
              <w:rPr>
                <w:rFonts w:hint="eastAsia" w:ascii="Times New Roman" w:hAnsi="Times New Roman" w:eastAsia="宋体" w:cs="Times New Roman"/>
                <w:lang w:val="en-US" w:eastAsia="zh-CN"/>
              </w:rPr>
              <w:t>运维保障措施：说明为保障服务质量和连续性所采取的措施，例如人员配备与管理制度、应急响应机制、知识管理体系、质量控制和持续改进方法等。</w:t>
            </w:r>
          </w:p>
          <w:p>
            <w:pPr>
              <w:wordWrap w:val="0"/>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二</w:t>
            </w:r>
            <w:r>
              <w:rPr>
                <w:rFonts w:hint="eastAsia" w:ascii="Times New Roman" w:hAnsi="Times New Roman" w:eastAsia="宋体" w:cs="Times New Roman"/>
                <w:lang w:eastAsia="zh-CN"/>
              </w:rPr>
              <w:t>）</w:t>
            </w:r>
            <w:r>
              <w:rPr>
                <w:rFonts w:hint="eastAsia" w:ascii="Times New Roman" w:hAnsi="Times New Roman" w:eastAsia="宋体" w:cs="Times New Roman"/>
              </w:rPr>
              <w:t>评分标准</w:t>
            </w:r>
            <w:r>
              <w:rPr>
                <w:rFonts w:hint="eastAsia" w:ascii="Times New Roman" w:hAnsi="Times New Roman" w:eastAsia="宋体" w:cs="Times New Roman"/>
                <w:lang w:eastAsia="zh-CN"/>
              </w:rPr>
              <w:t>：</w:t>
            </w:r>
          </w:p>
          <w:p>
            <w:pPr>
              <w:wordWrap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本项最高得100分，从两个维度进行评价。</w:t>
            </w:r>
          </w:p>
          <w:p>
            <w:pPr>
              <w:pStyle w:val="7"/>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1.基础要求（</w:t>
            </w:r>
            <w:r>
              <w:rPr>
                <w:rFonts w:hint="default" w:asciiTheme="minorEastAsia" w:hAnsiTheme="minorEastAsia" w:eastAsiaTheme="minorEastAsia" w:cstheme="minorEastAsia"/>
                <w:sz w:val="21"/>
                <w:szCs w:val="21"/>
                <w:lang w:val="en-US" w:eastAsia="zh-CN"/>
              </w:rPr>
              <w:t>60</w:t>
            </w:r>
            <w:r>
              <w:rPr>
                <w:rFonts w:hint="eastAsia" w:asciiTheme="minorEastAsia" w:hAnsiTheme="minorEastAsia" w:eastAsiaTheme="minorEastAsia" w:cstheme="minorEastAsia"/>
                <w:sz w:val="21"/>
                <w:szCs w:val="21"/>
                <w:lang w:val="en-US" w:eastAsia="zh-CN"/>
              </w:rPr>
              <w:t>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考察以上三项评审内容的覆盖情况：</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方案完全覆盖三项内容，结构完整。</w:t>
            </w:r>
            <w:r>
              <w:rPr>
                <w:rFonts w:hint="eastAsia" w:asciiTheme="minorEastAsia" w:hAnsiTheme="minorEastAsia" w:eastAsiaTheme="minorEastAsia" w:cstheme="minorEastAsia"/>
                <w:sz w:val="21"/>
                <w:szCs w:val="21"/>
                <w:lang w:val="en-US" w:eastAsia="zh-CN"/>
              </w:rPr>
              <w:t>得60分；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方案覆盖其中两项内容</w:t>
            </w:r>
            <w:r>
              <w:rPr>
                <w:rFonts w:hint="eastAsia" w:asciiTheme="minorEastAsia" w:hAnsiTheme="minorEastAsia" w:eastAsiaTheme="minorEastAsia" w:cstheme="minorEastAsia"/>
                <w:sz w:val="21"/>
                <w:szCs w:val="21"/>
                <w:lang w:val="en-US" w:eastAsia="zh-CN"/>
              </w:rPr>
              <w:t>，得40分；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val="en-US" w:eastAsia="zh-CN"/>
              </w:rPr>
              <w:t>方案仅覆盖其中一项内容</w:t>
            </w:r>
            <w:r>
              <w:rPr>
                <w:rFonts w:hint="eastAsia" w:asciiTheme="minorEastAsia" w:hAnsiTheme="minorEastAsia" w:eastAsiaTheme="minorEastAsia" w:cstheme="minorEastAsia"/>
                <w:sz w:val="21"/>
                <w:szCs w:val="21"/>
                <w:lang w:val="en-US" w:eastAsia="zh-CN"/>
              </w:rPr>
              <w:t>，得20分；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val="en-US" w:eastAsia="zh-CN"/>
              </w:rPr>
              <w:t>未提供方案或内容完全不符</w:t>
            </w:r>
            <w:r>
              <w:rPr>
                <w:rFonts w:hint="eastAsia" w:asciiTheme="minorEastAsia" w:hAnsiTheme="minorEastAsia" w:eastAsiaTheme="minorEastAsia" w:cstheme="minorEastAsia"/>
                <w:sz w:val="21"/>
                <w:szCs w:val="21"/>
                <w:lang w:val="en-US" w:eastAsia="zh-CN"/>
              </w:rPr>
              <w:t>，不得分。</w:t>
            </w:r>
          </w:p>
          <w:p>
            <w:pPr>
              <w:pStyle w:val="7"/>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2.方案质量（40分）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在满足基础要求后，专家从方案的严谨性、针对性及可操作性进行综合评价分级：</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default" w:asciiTheme="minorEastAsia" w:hAnsiTheme="minorEastAsia" w:eastAsiaTheme="minorEastAsia" w:cstheme="minorEastAsia"/>
                <w:sz w:val="21"/>
                <w:szCs w:val="21"/>
                <w:lang w:val="en-US" w:eastAsia="zh-CN"/>
              </w:rPr>
              <w:t>方案内容严谨全面，对项目目标理解深刻；运维体系设计科学，流程清晰；保障措施具体得力，针对性强，可操作性极高</w:t>
            </w:r>
            <w:r>
              <w:rPr>
                <w:rFonts w:hint="eastAsia" w:asciiTheme="minorEastAsia" w:hAnsiTheme="minorEastAsia" w:eastAsiaTheme="minorEastAsia" w:cstheme="minorEastAsia"/>
                <w:sz w:val="21"/>
                <w:szCs w:val="21"/>
                <w:lang w:val="en-US" w:eastAsia="zh-CN"/>
              </w:rPr>
              <w:t>，得40分；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default" w:asciiTheme="minorEastAsia" w:hAnsiTheme="minorEastAsia" w:eastAsiaTheme="minorEastAsia" w:cstheme="minorEastAsia"/>
                <w:sz w:val="21"/>
                <w:szCs w:val="21"/>
                <w:lang w:val="en-US" w:eastAsia="zh-CN"/>
              </w:rPr>
              <w:t>方案内容较严谨，对项目目标理解较准确；运维体系设计合理；保障措施较为具体，针对性和可操作性良好</w:t>
            </w:r>
            <w:r>
              <w:rPr>
                <w:rFonts w:hint="eastAsia" w:asciiTheme="minorEastAsia" w:hAnsiTheme="minorEastAsia" w:eastAsiaTheme="minorEastAsia" w:cstheme="minorEastAsia"/>
                <w:sz w:val="21"/>
                <w:szCs w:val="21"/>
                <w:lang w:val="en-US" w:eastAsia="zh-CN"/>
              </w:rPr>
              <w:t>，得20分；</w:t>
            </w:r>
          </w:p>
          <w:p>
            <w:pPr>
              <w:pStyle w:val="7"/>
              <w:ind w:left="0" w:leftChars="0" w:firstLine="0" w:firstLineChars="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default" w:asciiTheme="minorEastAsia" w:hAnsiTheme="minorEastAsia" w:eastAsiaTheme="minorEastAsia" w:cstheme="minorEastAsia"/>
                <w:sz w:val="21"/>
                <w:szCs w:val="21"/>
                <w:lang w:val="en-US" w:eastAsia="zh-CN"/>
              </w:rPr>
              <w:t>方案内容基本完整，但对项目目标理解一般；运维体系设计和保障措施较为常规，针对性和可操作性一般</w:t>
            </w:r>
            <w:r>
              <w:rPr>
                <w:rFonts w:hint="eastAsia" w:asciiTheme="minorEastAsia" w:hAnsiTheme="minorEastAsia" w:eastAsiaTheme="minorEastAsia" w:cstheme="minorEastAsia"/>
                <w:sz w:val="21"/>
                <w:szCs w:val="21"/>
                <w:lang w:val="en-US" w:eastAsia="zh-CN"/>
              </w:rPr>
              <w:t>，得10分；</w:t>
            </w:r>
          </w:p>
          <w:p>
            <w:pPr>
              <w:wordWrap w:val="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default" w:asciiTheme="minorEastAsia" w:hAnsiTheme="minorEastAsia" w:eastAsiaTheme="minorEastAsia" w:cstheme="minorEastAsia"/>
                <w:sz w:val="21"/>
                <w:szCs w:val="21"/>
                <w:lang w:val="en-US" w:eastAsia="zh-CN"/>
              </w:rPr>
              <w:t>方案内容空洞、逻辑混乱，或与项目需求严重不符，缺乏实际可操作性</w:t>
            </w:r>
            <w:r>
              <w:rPr>
                <w:rFonts w:hint="eastAsia" w:asciiTheme="minorEastAsia" w:hAnsiTheme="minorEastAsia" w:eastAsiaTheme="minorEastAsia" w:cstheme="minorEastAsia"/>
                <w:sz w:val="21"/>
                <w:szCs w:val="21"/>
                <w:lang w:val="en-US" w:eastAsia="zh-CN"/>
              </w:rPr>
              <w:t>，不得分。</w:t>
            </w:r>
          </w:p>
          <w:p>
            <w:pPr>
              <w:wordWrap w:val="0"/>
              <w:jc w:val="left"/>
              <w:rPr>
                <w:rFonts w:ascii="宋体" w:hAnsi="宋体" w:cs="宋体"/>
                <w:szCs w:val="21"/>
              </w:rPr>
            </w:pPr>
            <w:r>
              <w:rPr>
                <w:rFonts w:hint="default" w:asciiTheme="minorEastAsia" w:hAnsiTheme="minorEastAsia" w:eastAsiaTheme="minorEastAsia" w:cstheme="minorEastAsia"/>
                <w:b w:val="0"/>
                <w:bCs w:val="0"/>
                <w:sz w:val="21"/>
                <w:szCs w:val="21"/>
                <w:lang w:val="en-US" w:eastAsia="zh-CN"/>
              </w:rPr>
              <w:t>若评审为</w:t>
            </w:r>
            <w:r>
              <w:rPr>
                <w:rFonts w:hint="eastAsia" w:asciiTheme="minorEastAsia" w:hAnsiTheme="minorEastAsia" w:eastAsiaTheme="minorEastAsia" w:cstheme="minorEastAsia"/>
                <w:b w:val="0"/>
                <w:bCs w:val="0"/>
                <w:sz w:val="21"/>
                <w:szCs w:val="21"/>
                <w:lang w:val="en-US" w:eastAsia="zh-CN"/>
              </w:rPr>
              <w:t>不得分</w:t>
            </w:r>
            <w:r>
              <w:rPr>
                <w:rFonts w:hint="default" w:asciiTheme="minorEastAsia" w:hAnsiTheme="minorEastAsia" w:eastAsiaTheme="minorEastAsia" w:cstheme="minorEastAsia"/>
                <w:b w:val="0"/>
                <w:bCs w:val="0"/>
                <w:sz w:val="21"/>
                <w:szCs w:val="21"/>
                <w:lang w:val="en-US" w:eastAsia="zh-CN"/>
              </w:rPr>
              <w:t>，专家需书面说明具体理由并记录在案。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heme="minorEastAsia" w:hAnsiTheme="minorEastAsia" w:eastAsiaTheme="minorEastAsia" w:cstheme="minorEastAsia"/>
                <w:sz w:val="21"/>
                <w:szCs w:val="21"/>
              </w:rPr>
              <w:t>项目重点难点分析、应对措施及相关的合理化建议</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left"/>
              <w:rPr>
                <w:rFonts w:hint="eastAsia" w:ascii="Times New Roman" w:hAnsi="Times New Roman" w:eastAsia="宋体" w:cs="Times New Roman"/>
              </w:rPr>
            </w:pPr>
            <w:r>
              <w:rPr>
                <w:rFonts w:hint="eastAsia" w:ascii="Times New Roman" w:hAnsi="Times New Roman" w:eastAsia="宋体" w:cs="Times New Roma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pPr>
              <w:wordWrap w:val="0"/>
              <w:jc w:val="left"/>
              <w:rPr>
                <w:rFonts w:hint="eastAsia" w:ascii="Times New Roman" w:hAnsi="Times New Roman" w:eastAsia="宋体" w:cs="Times New Roman"/>
              </w:rPr>
            </w:pPr>
            <w:r>
              <w:rPr>
                <w:rFonts w:hint="eastAsia" w:ascii="Times New Roman" w:hAnsi="Times New Roman" w:eastAsia="宋体" w:cs="Times New Roman"/>
              </w:rPr>
              <w:t>1.投标人在运维服务期间对系统安全性</w:t>
            </w:r>
            <w:r>
              <w:rPr>
                <w:rFonts w:hint="eastAsia" w:ascii="Times New Roman" w:hAnsi="Times New Roman" w:eastAsia="宋体" w:cs="Times New Roman"/>
                <w:lang w:eastAsia="zh-CN"/>
              </w:rPr>
              <w:t>的</w:t>
            </w:r>
            <w:r>
              <w:rPr>
                <w:rFonts w:hint="eastAsia" w:ascii="Times New Roman" w:hAnsi="Times New Roman" w:eastAsia="宋体" w:cs="Times New Roman"/>
              </w:rPr>
              <w:t>分析情况（包括但不限于系统安全性提升方案、措施等）；</w:t>
            </w:r>
          </w:p>
          <w:p>
            <w:pPr>
              <w:wordWrap w:val="0"/>
              <w:jc w:val="left"/>
              <w:rPr>
                <w:rFonts w:hint="eastAsia" w:ascii="Times New Roman" w:hAnsi="Times New Roman" w:eastAsia="宋体" w:cs="Times New Roman"/>
              </w:rPr>
            </w:pPr>
            <w:r>
              <w:rPr>
                <w:rFonts w:hint="eastAsia" w:ascii="Times New Roman" w:hAnsi="Times New Roman" w:eastAsia="宋体" w:cs="Times New Roman"/>
              </w:rPr>
              <w:t>2.投标人在运维服务期间对系统</w:t>
            </w:r>
            <w:r>
              <w:rPr>
                <w:rFonts w:hint="eastAsia" w:ascii="Times New Roman" w:hAnsi="Times New Roman" w:eastAsia="宋体" w:cs="Times New Roman"/>
                <w:lang w:eastAsia="zh-CN"/>
              </w:rPr>
              <w:t>重</w:t>
            </w:r>
            <w:r>
              <w:rPr>
                <w:rFonts w:hint="eastAsia" w:ascii="Times New Roman" w:hAnsi="Times New Roman" w:eastAsia="宋体" w:cs="Times New Roman"/>
              </w:rPr>
              <w:t>难点分析情况（包括但不限于阐述系统难点的应对措施、解决思路等）；</w:t>
            </w:r>
          </w:p>
          <w:p>
            <w:pPr>
              <w:wordWrap w:val="0"/>
              <w:jc w:val="left"/>
              <w:rPr>
                <w:rFonts w:hint="eastAsia" w:ascii="Times New Roman" w:hAnsi="Times New Roman" w:eastAsia="宋体" w:cs="Times New Roman"/>
              </w:rPr>
            </w:pPr>
            <w:r>
              <w:rPr>
                <w:rFonts w:hint="eastAsia" w:ascii="Times New Roman" w:hAnsi="Times New Roman" w:eastAsia="宋体" w:cs="Times New Roman"/>
              </w:rPr>
              <w:t>3.投标人在运维服务期间对系统应对措施及相关建议情况。</w:t>
            </w:r>
          </w:p>
          <w:p>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pPr>
              <w:wordWrap w:val="0"/>
              <w:jc w:val="left"/>
              <w:rPr>
                <w:rFonts w:hint="eastAsia" w:ascii="Times New Roman" w:hAnsi="Times New Roman" w:eastAsia="宋体" w:cs="Times New Roman"/>
              </w:rPr>
            </w:pPr>
            <w:r>
              <w:rPr>
                <w:rFonts w:hint="eastAsia" w:ascii="Times New Roman" w:hAnsi="Times New Roman" w:eastAsia="宋体" w:cs="Times New Roman"/>
              </w:rPr>
              <w:t>满足</w:t>
            </w:r>
            <w:r>
              <w:rPr>
                <w:rFonts w:hint="eastAsia" w:ascii="Times New Roman" w:hAnsi="Times New Roman" w:cs="Times New Roman"/>
                <w:lang w:val="en-US" w:eastAsia="zh-CN"/>
              </w:rPr>
              <w:t>以上</w:t>
            </w:r>
            <w:r>
              <w:rPr>
                <w:rFonts w:hint="eastAsia" w:ascii="Times New Roman" w:hAnsi="Times New Roman" w:eastAsia="宋体" w:cs="Times New Roman"/>
              </w:rPr>
              <w:t>三点得40分，满足任意两点得20分，满足任意一点得10分，未满足不得分；在此基础上，根据投标人的具体响应内容按照以下评审因素指标进一步评审：</w:t>
            </w:r>
          </w:p>
          <w:p>
            <w:pPr>
              <w:wordWrap w:val="0"/>
              <w:jc w:val="left"/>
              <w:rPr>
                <w:rFonts w:hint="eastAsia" w:ascii="Times New Roman" w:hAnsi="Times New Roman" w:eastAsia="宋体" w:cs="Times New Roman"/>
              </w:rPr>
            </w:pPr>
            <w:r>
              <w:rPr>
                <w:rFonts w:hint="eastAsia" w:ascii="Times New Roman" w:hAnsi="Times New Roman" w:eastAsia="宋体" w:cs="Times New Roman"/>
              </w:rPr>
              <w:t>1.从前瞻性、系统性等角度研判重难点，且重难点分析不少于3点；</w:t>
            </w:r>
          </w:p>
          <w:p>
            <w:pPr>
              <w:wordWrap w:val="0"/>
              <w:jc w:val="left"/>
              <w:rPr>
                <w:rFonts w:hint="eastAsia" w:ascii="Times New Roman" w:hAnsi="Times New Roman" w:eastAsia="宋体" w:cs="Times New Roman"/>
              </w:rPr>
            </w:pPr>
            <w:r>
              <w:rPr>
                <w:rFonts w:hint="eastAsia" w:ascii="Times New Roman" w:hAnsi="Times New Roman" w:eastAsia="宋体" w:cs="Times New Roman"/>
              </w:rPr>
              <w:t>2.从可实施、可操作的角度提出应对措施，且应对措施不少于3点；</w:t>
            </w:r>
          </w:p>
          <w:p>
            <w:pPr>
              <w:wordWrap w:val="0"/>
              <w:jc w:val="left"/>
              <w:rPr>
                <w:rFonts w:hint="eastAsia" w:ascii="Times New Roman" w:hAnsi="Times New Roman" w:eastAsia="宋体" w:cs="Times New Roman"/>
              </w:rPr>
            </w:pPr>
            <w:r>
              <w:rPr>
                <w:rFonts w:hint="eastAsia" w:ascii="Times New Roman" w:hAnsi="Times New Roman" w:eastAsia="宋体" w:cs="Times New Roman"/>
              </w:rPr>
              <w:t>3.多角度、有针对性的提出操作指引；</w:t>
            </w:r>
          </w:p>
          <w:p>
            <w:pPr>
              <w:wordWrap w:val="0"/>
              <w:jc w:val="left"/>
              <w:rPr>
                <w:rFonts w:hint="eastAsia" w:ascii="Times New Roman" w:hAnsi="Times New Roman" w:eastAsia="宋体" w:cs="Times New Roman"/>
              </w:rPr>
            </w:pPr>
            <w:r>
              <w:rPr>
                <w:rFonts w:hint="eastAsia" w:ascii="Times New Roman" w:hAnsi="Times New Roman" w:eastAsia="宋体" w:cs="Times New Roman"/>
              </w:rPr>
              <w:t>每体现一点内容加20分，最多加60分。</w:t>
            </w:r>
          </w:p>
          <w:p>
            <w:pPr>
              <w:wordWrap w:val="0"/>
              <w:jc w:val="left"/>
              <w:rPr>
                <w:rFonts w:ascii="宋体" w:hAnsi="宋体" w:cs="宋体"/>
                <w:szCs w:val="21"/>
              </w:rPr>
            </w:pPr>
            <w:r>
              <w:rPr>
                <w:rFonts w:hint="eastAsia" w:ascii="Times New Roman" w:hAnsi="Times New Roman" w:eastAsia="宋体" w:cs="Times New Roman"/>
              </w:rPr>
              <w:t>以上累计得分，本项最高得100分。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heme="minorEastAsia" w:hAnsiTheme="minorEastAsia" w:eastAsiaTheme="minorEastAsia" w:cstheme="minorEastAsia"/>
                <w:sz w:val="21"/>
                <w:szCs w:val="21"/>
              </w:rPr>
              <w:t>质量保障措施及方案</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left"/>
              <w:rPr>
                <w:rFonts w:hint="eastAsia" w:ascii="Times New Roman" w:hAnsi="Times New Roman" w:eastAsia="宋体" w:cs="Times New Roman"/>
              </w:rPr>
            </w:pPr>
            <w:r>
              <w:rPr>
                <w:rFonts w:hint="eastAsia" w:ascii="Times New Roman" w:hAnsi="Times New Roman" w:eastAsia="宋体" w:cs="Times New Roman"/>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pPr>
              <w:wordWrap w:val="0"/>
              <w:jc w:val="left"/>
              <w:rPr>
                <w:rFonts w:hint="eastAsia" w:ascii="Times New Roman" w:hAnsi="Times New Roman" w:eastAsia="宋体" w:cs="Times New Roman"/>
              </w:rPr>
            </w:pPr>
            <w:r>
              <w:rPr>
                <w:rFonts w:hint="eastAsia" w:ascii="Times New Roman" w:hAnsi="Times New Roman" w:eastAsia="宋体" w:cs="Times New Roman"/>
              </w:rPr>
              <w:t>1.投标人对运维团队的管理机制；</w:t>
            </w:r>
          </w:p>
          <w:p>
            <w:pPr>
              <w:wordWrap w:val="0"/>
              <w:jc w:val="left"/>
              <w:rPr>
                <w:rFonts w:hint="eastAsia" w:ascii="Times New Roman" w:hAnsi="Times New Roman" w:eastAsia="宋体" w:cs="Times New Roman"/>
              </w:rPr>
            </w:pPr>
            <w:r>
              <w:rPr>
                <w:rFonts w:hint="eastAsia" w:ascii="Times New Roman" w:hAnsi="Times New Roman" w:eastAsia="宋体" w:cs="Times New Roman"/>
              </w:rPr>
              <w:t>2.投标人对突发情况的应急机制；</w:t>
            </w:r>
          </w:p>
          <w:p>
            <w:pPr>
              <w:wordWrap w:val="0"/>
              <w:jc w:val="left"/>
              <w:rPr>
                <w:rFonts w:hint="eastAsia" w:ascii="Times New Roman" w:hAnsi="Times New Roman" w:eastAsia="宋体" w:cs="Times New Roman"/>
              </w:rPr>
            </w:pPr>
            <w:r>
              <w:rPr>
                <w:rFonts w:hint="eastAsia" w:ascii="Times New Roman" w:hAnsi="Times New Roman" w:eastAsia="宋体" w:cs="Times New Roman"/>
              </w:rPr>
              <w:t>3.投标人对运维故障率的管控机制。</w:t>
            </w:r>
          </w:p>
          <w:p>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pPr>
              <w:wordWrap w:val="0"/>
              <w:jc w:val="left"/>
              <w:rPr>
                <w:rFonts w:hint="eastAsia" w:ascii="Times New Roman" w:hAnsi="Times New Roman" w:eastAsia="宋体" w:cs="Times New Roman"/>
              </w:rPr>
            </w:pPr>
            <w:r>
              <w:rPr>
                <w:rFonts w:hint="eastAsia" w:ascii="Times New Roman" w:hAnsi="Times New Roman" w:eastAsia="宋体" w:cs="Times New Roman"/>
              </w:rPr>
              <w:t>满足</w:t>
            </w:r>
            <w:r>
              <w:rPr>
                <w:rFonts w:hint="eastAsia" w:ascii="Times New Roman" w:hAnsi="Times New Roman" w:cs="Times New Roman"/>
                <w:lang w:val="en-US" w:eastAsia="zh-CN"/>
              </w:rPr>
              <w:t>以上</w:t>
            </w:r>
            <w:r>
              <w:rPr>
                <w:rFonts w:hint="eastAsia" w:ascii="Times New Roman" w:hAnsi="Times New Roman" w:eastAsia="宋体" w:cs="Times New Roman"/>
              </w:rPr>
              <w:t>三点得40分，满足任意两点得20分，满足任意一点得10分，未满足不得分；在此基础上，根据投标人的具体响应内容按照以下评审因素指标进一步评审：</w:t>
            </w:r>
          </w:p>
          <w:p>
            <w:pPr>
              <w:wordWrap w:val="0"/>
              <w:jc w:val="left"/>
              <w:rPr>
                <w:rFonts w:hint="eastAsia" w:ascii="Times New Roman" w:hAnsi="Times New Roman" w:eastAsia="宋体" w:cs="Times New Roman"/>
              </w:rPr>
            </w:pPr>
            <w:r>
              <w:rPr>
                <w:rFonts w:hint="eastAsia" w:ascii="Times New Roman" w:hAnsi="Times New Roman" w:eastAsia="宋体" w:cs="Times New Roman"/>
              </w:rPr>
              <w:t>1.投标人对运维团队的管理机制（需要包含人员管理制度说明、项目管理机制说明）。</w:t>
            </w:r>
          </w:p>
          <w:p>
            <w:pPr>
              <w:wordWrap w:val="0"/>
              <w:jc w:val="left"/>
              <w:rPr>
                <w:rFonts w:hint="eastAsia" w:ascii="Times New Roman" w:hAnsi="Times New Roman" w:eastAsia="宋体" w:cs="Times New Roman"/>
              </w:rPr>
            </w:pPr>
            <w:r>
              <w:rPr>
                <w:rFonts w:hint="eastAsia" w:ascii="Times New Roman" w:hAnsi="Times New Roman" w:eastAsia="宋体" w:cs="Times New Roman"/>
              </w:rPr>
              <w:t>2.投标人对突发情况的应急机制（需要对可能出现的风险情况进行预测并罗列，且对应说明防控措施）。</w:t>
            </w:r>
          </w:p>
          <w:p>
            <w:pPr>
              <w:wordWrap w:val="0"/>
              <w:jc w:val="left"/>
              <w:rPr>
                <w:rFonts w:hint="eastAsia" w:ascii="Times New Roman" w:hAnsi="Times New Roman" w:eastAsia="宋体" w:cs="Times New Roman"/>
              </w:rPr>
            </w:pPr>
            <w:r>
              <w:rPr>
                <w:rFonts w:hint="eastAsia" w:ascii="Times New Roman" w:hAnsi="Times New Roman" w:eastAsia="宋体" w:cs="Times New Roman"/>
              </w:rPr>
              <w:t>3.投标人对运维故障率的管控机制（需要分别对人员、时间等内容进行详细描述）。</w:t>
            </w:r>
          </w:p>
          <w:p>
            <w:pPr>
              <w:wordWrap w:val="0"/>
              <w:jc w:val="left"/>
              <w:rPr>
                <w:rFonts w:hint="eastAsia" w:ascii="Times New Roman" w:hAnsi="Times New Roman" w:eastAsia="宋体" w:cs="Times New Roman"/>
              </w:rPr>
            </w:pPr>
            <w:r>
              <w:rPr>
                <w:rFonts w:hint="eastAsia" w:ascii="Times New Roman" w:hAnsi="Times New Roman" w:eastAsia="宋体" w:cs="Times New Roman"/>
              </w:rPr>
              <w:t>每体现一点内容加20分，最多加60分。</w:t>
            </w:r>
          </w:p>
          <w:p>
            <w:pPr>
              <w:wordWrap w:val="0"/>
              <w:jc w:val="left"/>
              <w:rPr>
                <w:rFonts w:ascii="宋体" w:hAnsi="宋体" w:cs="宋体"/>
                <w:szCs w:val="21"/>
              </w:rPr>
            </w:pPr>
            <w:r>
              <w:rPr>
                <w:rFonts w:hint="eastAsia" w:ascii="Times New Roman" w:hAnsi="Times New Roman" w:eastAsia="宋体" w:cs="Times New Roman"/>
              </w:rPr>
              <w:t>以上累计得分，本项最高得100分。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4</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heme="minorEastAsia" w:hAnsiTheme="minorEastAsia" w:eastAsiaTheme="minorEastAsia" w:cstheme="minorEastAsia"/>
                <w:sz w:val="21"/>
                <w:szCs w:val="21"/>
              </w:rPr>
              <w:t>项目完成（服务期满）后的服务承诺</w:t>
            </w:r>
            <w:r>
              <w:rPr>
                <w:rFonts w:hint="eastAsia" w:asciiTheme="minorEastAsia" w:hAnsiTheme="minorEastAsia" w:eastAsiaTheme="minorEastAsia" w:cstheme="minorEastAsia"/>
                <w:sz w:val="21"/>
                <w:szCs w:val="21"/>
                <w:lang w:eastAsia="zh-CN"/>
              </w:rPr>
              <w:t>及违约承诺</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（一）</w:t>
            </w:r>
            <w:r>
              <w:rPr>
                <w:rFonts w:hint="eastAsia" w:ascii="Times New Roman" w:hAnsi="Times New Roman" w:eastAsia="宋体" w:cs="Times New Roman"/>
                <w:lang w:eastAsia="zh-CN"/>
              </w:rPr>
              <w:t>评分内容</w:t>
            </w:r>
            <w:r>
              <w:rPr>
                <w:rFonts w:hint="eastAsia" w:ascii="Times New Roman" w:hAnsi="Times New Roman" w:eastAsia="宋体" w:cs="Times New Roman"/>
              </w:rPr>
              <w:t>：</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1.根据投标人提供的项目完成（服务期满）后的服务承诺函（格式自拟）承诺响应情况进行评分。</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（1）服务期满后主动离岗。 </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（2）与后续服务公司进行交接。 </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（3）服务期满，后续服务公司未到位前仍按原合同服务承诺提供服务。</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2.根据投标人提供的违约承诺（格式自定）响应情况进行评审。</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（1）人员严格按照采购文件配置。</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（2）服务质量达到采购文件要求。</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（3）对未能达到的管理要求承担管理责任。</w:t>
            </w:r>
          </w:p>
          <w:p>
            <w:pPr>
              <w:wordWrap w:val="0"/>
              <w:jc w:val="left"/>
              <w:rPr>
                <w:rFonts w:hint="eastAsia" w:ascii="Times New Roman" w:hAnsi="Times New Roman" w:eastAsia="宋体" w:cs="Times New Roman"/>
              </w:rPr>
            </w:pPr>
            <w:r>
              <w:rPr>
                <w:rFonts w:hint="eastAsia" w:ascii="Times New Roman" w:hAnsi="Times New Roman" w:eastAsia="宋体" w:cs="Times New Roman"/>
              </w:rPr>
              <w:t>（二）评分标准：</w:t>
            </w:r>
          </w:p>
          <w:p>
            <w:pPr>
              <w:wordWrap w:val="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1.第一项提供项目完成（服务期满）后的服务承诺函（格式自拟）加盖投标人公章，满足上述三项并按要求提供得50分，否则不得分。</w:t>
            </w:r>
          </w:p>
          <w:p>
            <w:pPr>
              <w:wordWrap w:val="0"/>
              <w:jc w:val="left"/>
              <w:rPr>
                <w:rFonts w:ascii="宋体" w:hAnsi="宋体" w:cs="宋体"/>
                <w:szCs w:val="21"/>
              </w:rPr>
            </w:pPr>
            <w:r>
              <w:rPr>
                <w:rFonts w:hint="eastAsia" w:asciiTheme="minorEastAsia" w:hAnsiTheme="minorEastAsia" w:eastAsiaTheme="minorEastAsia" w:cstheme="minorEastAsia"/>
                <w:kern w:val="2"/>
                <w:sz w:val="21"/>
                <w:szCs w:val="21"/>
                <w:lang w:val="en-US" w:eastAsia="zh-CN" w:bidi="ar-SA"/>
              </w:rPr>
              <w:t>2.第二项提供违约承诺（格式自定）加盖供投标人公章，满足上述三项并按要求提供得50分，否则不得分。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5</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heme="minorEastAsia" w:hAnsiTheme="minorEastAsia" w:eastAsiaTheme="minorEastAsia" w:cstheme="minorEastAsia"/>
                <w:sz w:val="21"/>
                <w:szCs w:val="21"/>
                <w:lang w:eastAsia="zh-CN"/>
              </w:rPr>
              <w:t>拟派本项目的团队人员情况</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Theme="minorEastAsia" w:hAnsiTheme="minorEastAsia" w:eastAsiaTheme="minorEastAsia" w:cstheme="minorEastAsia"/>
                <w:sz w:val="21"/>
                <w:szCs w:val="21"/>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（一）评分内容：</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lang w:val="en-US" w:eastAsia="zh-CN" w:bidi="ar-SA"/>
              </w:rPr>
              <w:t>拟派本项目的团队人员须为投标人自有员工(以社保为准)，且投标人承诺(格式自拟)项目团队成员不少于5人(含项目经理)</w:t>
            </w:r>
            <w:r>
              <w:rPr>
                <w:rFonts w:hint="eastAsia" w:asciiTheme="minorEastAsia" w:hAnsiTheme="minorEastAsia" w:eastAsiaTheme="minorEastAsia" w:cstheme="minorEastAsia"/>
                <w:kern w:val="2"/>
                <w:sz w:val="21"/>
                <w:szCs w:val="21"/>
                <w:highlight w:val="none"/>
                <w:lang w:val="en-US" w:eastAsia="zh-CN" w:bidi="ar-SA"/>
              </w:rPr>
              <w:t>，其中需配备1名项目经理和1名现场服务技术人员（不可兼任），否则本项0分。</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1.项目经理（25分）。</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（1）学历（10分）：具备大学本科及以上学历，得10分。</w:t>
            </w:r>
          </w:p>
          <w:p>
            <w:pPr>
              <w:keepNext w:val="0"/>
              <w:keepLines w:val="0"/>
              <w:widowControl/>
              <w:suppressLineNumbers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（2）技术认证（5分）：持有与软硬件运维和业务支撑本项目运维服务核心内容相关的国际或国内广泛认可的专业认证，如项目管理PMP、ITSS服务项目经理/应用经理、ITIL 高级认证、信息安全专业人员CISP、认证信息安全经理CISM等，每提供1个得1分，最高得5分。</w:t>
            </w:r>
          </w:p>
          <w:p>
            <w:pPr>
              <w:wordWrap w:val="0"/>
              <w:jc w:val="left"/>
              <w:rPr>
                <w:rFonts w:hint="eastAsia"/>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（3）工作经验（10分）：具有8年及以上IT运维管理工作经验的，得10分；具有</w:t>
            </w:r>
            <w:r>
              <w:rPr>
                <w:rFonts w:hint="default" w:asciiTheme="minorEastAsia" w:hAnsiTheme="minorEastAsia" w:eastAsiaTheme="minorEastAsia" w:cstheme="minorEastAsia"/>
                <w:kern w:val="2"/>
                <w:sz w:val="21"/>
                <w:szCs w:val="21"/>
                <w:highlight w:val="none"/>
                <w:lang w:val="en-US" w:eastAsia="zh-CN" w:bidi="ar-SA"/>
              </w:rPr>
              <w:t>5</w:t>
            </w:r>
            <w:r>
              <w:rPr>
                <w:rFonts w:hint="eastAsia" w:asciiTheme="minorEastAsia" w:hAnsiTheme="minorEastAsia" w:eastAsiaTheme="minorEastAsia" w:cstheme="minorEastAsia"/>
                <w:kern w:val="2"/>
                <w:sz w:val="21"/>
                <w:szCs w:val="21"/>
                <w:highlight w:val="none"/>
                <w:lang w:val="en-US" w:eastAsia="zh-CN" w:bidi="ar-SA"/>
              </w:rPr>
              <w:t>年（含）至8年IT运维管理工作经验的，得5分；</w:t>
            </w:r>
            <w:r>
              <w:rPr>
                <w:rFonts w:hint="default" w:asciiTheme="minorEastAsia" w:hAnsiTheme="minorEastAsia" w:eastAsiaTheme="minorEastAsia" w:cstheme="minorEastAsia"/>
                <w:kern w:val="2"/>
                <w:sz w:val="21"/>
                <w:szCs w:val="21"/>
                <w:highlight w:val="none"/>
                <w:lang w:val="en-US" w:eastAsia="zh-CN" w:bidi="ar-SA"/>
              </w:rPr>
              <w:t>5</w:t>
            </w:r>
            <w:r>
              <w:rPr>
                <w:rFonts w:hint="eastAsia" w:asciiTheme="minorEastAsia" w:hAnsiTheme="minorEastAsia" w:eastAsiaTheme="minorEastAsia" w:cstheme="minorEastAsia"/>
                <w:kern w:val="2"/>
                <w:sz w:val="21"/>
                <w:szCs w:val="21"/>
                <w:highlight w:val="none"/>
                <w:lang w:val="en-US" w:eastAsia="zh-CN" w:bidi="ar-SA"/>
              </w:rPr>
              <w:t>年以下的，不得分。</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2.项目现场技术服务人员（45分）</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（1）学历（15分）：具备大学本科或以上学历，得5分。</w:t>
            </w:r>
          </w:p>
          <w:p>
            <w:pPr>
              <w:wordWrap w:val="0"/>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技术认证（15分）：在硬件、软件、数据、弱电、网络5个领域，每提供一个中级或以上专业技术资格认证证书（工信部等相关政府机构颁发的认证），得5分，本项最高15分。（同一领域多个证书不重复计分）。</w:t>
            </w:r>
          </w:p>
          <w:p>
            <w:pPr>
              <w:wordWrap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（3）IT运维工作经验（15分）：具有5年及以上经验的，得15分；具有3年（含）至5年经验的，得10分；具有2年（含）至3年经验的，得5分；不足2年的，得0分。</w:t>
            </w:r>
          </w:p>
          <w:p>
            <w:pPr>
              <w:wordWrap w:val="0"/>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3.团队其他成员（30分）</w:t>
            </w:r>
          </w:p>
          <w:p>
            <w:pPr>
              <w:pStyle w:val="7"/>
              <w:ind w:left="0" w:leftChars="0" w:firstLine="0" w:firstLineChars="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（1）团队经验结构（20分）：</w:t>
            </w:r>
            <w:r>
              <w:rPr>
                <w:rFonts w:hint="eastAsia" w:asciiTheme="minorEastAsia" w:hAnsiTheme="minorEastAsia" w:eastAsiaTheme="minorEastAsia" w:cstheme="minorEastAsia"/>
                <w:kern w:val="2"/>
                <w:sz w:val="21"/>
                <w:szCs w:val="21"/>
                <w:highlight w:val="none"/>
                <w:lang w:val="en-US" w:eastAsia="zh-CN" w:bidi="ar-SA"/>
              </w:rPr>
              <w:t>为本项目配置的团队成员（不含项目经理和现场服务技术人员）中，具有3年及以上IT运维服务工作经验的人员比例达到80%以上的，得20分；达到50%（含）至80%的，得10分；低于50%的，不得分。（投标人应将拟投入的团队其他成员的工作经验评分依据整理成表格形式，并展示达标占比）</w:t>
            </w:r>
          </w:p>
          <w:p>
            <w:pPr>
              <w:pStyle w:val="7"/>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（2）团队学历水平（10分）：具备大学本科或以上学历的技术人员比例达到100%的，得10分；达到80%及以上的，得5分；低于80%的，不得分。</w:t>
            </w:r>
            <w:r>
              <w:rPr>
                <w:rFonts w:hint="eastAsia" w:asciiTheme="minorEastAsia" w:hAnsiTheme="minorEastAsia" w:eastAsiaTheme="minorEastAsia" w:cstheme="minorEastAsia"/>
                <w:kern w:val="2"/>
                <w:sz w:val="21"/>
                <w:szCs w:val="21"/>
                <w:highlight w:val="none"/>
                <w:lang w:val="en-US" w:eastAsia="zh-CN" w:bidi="ar-SA"/>
              </w:rPr>
              <w:t>（投标人应将拟投入的团队其他成员的学历评分依据整理成表格形式，并展示达标占比）</w:t>
            </w:r>
          </w:p>
          <w:p>
            <w:pPr>
              <w:pStyle w:val="7"/>
              <w:ind w:firstLine="0"/>
              <w:rPr>
                <w:rFonts w:hint="default"/>
                <w:lang w:val="en-US" w:eastAsia="zh-CN"/>
              </w:rPr>
            </w:pPr>
            <w:r>
              <w:rPr>
                <w:rFonts w:hint="eastAsia" w:asciiTheme="minorEastAsia" w:hAnsiTheme="minorEastAsia" w:eastAsiaTheme="minorEastAsia" w:cstheme="minorEastAsia"/>
                <w:color w:val="auto"/>
                <w:kern w:val="2"/>
                <w:sz w:val="21"/>
                <w:szCs w:val="21"/>
                <w:lang w:val="en-US" w:eastAsia="zh-CN" w:bidi="ar-SA"/>
              </w:rPr>
              <w:t>以上三项累计积分，本项</w:t>
            </w:r>
            <w:r>
              <w:rPr>
                <w:rFonts w:hint="eastAsia" w:asciiTheme="minorEastAsia" w:hAnsiTheme="minorEastAsia" w:eastAsiaTheme="minorEastAsia" w:cstheme="minorEastAsia"/>
                <w:kern w:val="2"/>
                <w:sz w:val="21"/>
                <w:szCs w:val="21"/>
                <w:lang w:val="en-US" w:eastAsia="zh-CN" w:bidi="ar-SA"/>
              </w:rPr>
              <w:t>最高100分。</w:t>
            </w:r>
          </w:p>
          <w:p>
            <w:pPr>
              <w:rPr>
                <w:b w:val="0"/>
                <w:bCs/>
              </w:rPr>
            </w:pPr>
            <w:r>
              <w:rPr>
                <w:rFonts w:hint="eastAsia"/>
                <w:b w:val="0"/>
                <w:bCs/>
              </w:rPr>
              <w:t>（二）评分依据：</w:t>
            </w:r>
          </w:p>
          <w:p>
            <w:r>
              <w:rPr>
                <w:rFonts w:hint="eastAsia"/>
              </w:rPr>
              <w:t>1.</w:t>
            </w:r>
            <w:r>
              <w:t xml:space="preserve"> </w:t>
            </w:r>
            <w:r>
              <w:rPr>
                <w:rFonts w:hint="eastAsia"/>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r>
              <w:rPr>
                <w:rFonts w:hint="eastAsia"/>
              </w:rPr>
              <w:t>2.涉及考察人员工作经验的，要求提供项目合同关键信息作为得分依据，通过合同关键信息无法判断是否得分的，还须同时提供合同甲方出具的证明文件。</w:t>
            </w:r>
          </w:p>
          <w:p>
            <w:pPr>
              <w:rPr>
                <w:rFonts w:ascii="宋体" w:hAnsi="宋体"/>
                <w:bCs/>
                <w:szCs w:val="21"/>
              </w:rPr>
            </w:pPr>
            <w:r>
              <w:rPr>
                <w:rFonts w:hint="eastAsia"/>
              </w:rPr>
              <w:t>3.涉及人员社保的，</w:t>
            </w: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ordWrap w:val="0"/>
              <w:rPr>
                <w:rStyle w:val="49"/>
                <w:rFonts w:hint="default"/>
                <w:szCs w:val="24"/>
                <w:lang w:val="en-US"/>
              </w:rPr>
            </w:pPr>
            <w:r>
              <w:rPr>
                <w:rFonts w:hint="eastAsia" w:hAnsi="宋体"/>
              </w:rPr>
              <w:t>4.</w:t>
            </w:r>
            <w:r>
              <w:rPr>
                <w:rFonts w:hint="eastAsia" w:hAnsi="宋体"/>
                <w:lang w:val="en-US" w:eastAsia="zh-CN"/>
              </w:rPr>
              <w:t>提供相关证书作为得分依据。如证书为国外机构颁发，需提供中文译文。</w:t>
            </w:r>
          </w:p>
          <w:p>
            <w:pPr>
              <w:wordWrap w:val="0"/>
              <w:jc w:val="left"/>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27"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综合实力</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8"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投标人同类项目业绩情况</w:t>
            </w:r>
          </w:p>
          <w:p>
            <w:pPr>
              <w:wordWrap w:val="0"/>
              <w:jc w:val="center"/>
              <w:rPr>
                <w:rFonts w:ascii="宋体" w:hAnsi="宋体"/>
              </w:rPr>
            </w:pPr>
          </w:p>
          <w:p>
            <w:pPr>
              <w:widowControl/>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default" w:ascii="宋体" w:hAnsi="宋体" w:cs="宋体"/>
                <w:szCs w:val="21"/>
                <w:lang w:val="en-US" w:eastAsia="zh-CN"/>
              </w:rPr>
              <w:t>20</w:t>
            </w:r>
          </w:p>
        </w:tc>
        <w:tc>
          <w:tcPr>
            <w:tcW w:w="4208" w:type="dxa"/>
            <w:tcBorders>
              <w:top w:val="single" w:color="000000" w:sz="8" w:space="0"/>
              <w:left w:val="single" w:color="000000" w:sz="8" w:space="0"/>
              <w:bottom w:val="single" w:color="000000" w:sz="8" w:space="0"/>
              <w:right w:val="single" w:color="000000" w:sz="8" w:space="0"/>
            </w:tcBorders>
          </w:tcPr>
          <w:p>
            <w:pPr>
              <w:rPr>
                <w:b/>
                <w:color w:val="auto"/>
              </w:rPr>
            </w:pPr>
            <w:r>
              <w:rPr>
                <w:rFonts w:hint="eastAsia"/>
                <w:b/>
                <w:color w:val="auto"/>
              </w:rPr>
              <w:t>（一）评分内容：</w:t>
            </w:r>
          </w:p>
          <w:p>
            <w:pPr>
              <w:rPr>
                <w:color w:val="auto"/>
              </w:rPr>
            </w:pPr>
            <w:r>
              <w:rPr>
                <w:rFonts w:hint="eastAsia"/>
                <w:color w:val="auto"/>
              </w:rPr>
              <w:t>投标人自</w:t>
            </w:r>
            <w:r>
              <w:rPr>
                <w:rFonts w:hint="eastAsia" w:ascii="宋体" w:hAnsi="宋体" w:cs="宋体"/>
                <w:b/>
                <w:bCs/>
                <w:color w:val="auto"/>
                <w:kern w:val="0"/>
                <w:szCs w:val="21"/>
                <w:lang w:val="en-US" w:eastAsia="zh-CN" w:bidi="ar"/>
              </w:rPr>
              <w:t>2022</w:t>
            </w:r>
            <w:r>
              <w:rPr>
                <w:rFonts w:hint="eastAsia" w:ascii="宋体" w:hAnsi="宋体" w:cs="宋体"/>
                <w:b/>
                <w:bCs/>
                <w:color w:val="auto"/>
                <w:kern w:val="0"/>
                <w:szCs w:val="21"/>
                <w:lang w:bidi="ar"/>
              </w:rPr>
              <w:t>年</w:t>
            </w:r>
            <w:r>
              <w:rPr>
                <w:rFonts w:hint="eastAsia"/>
                <w:color w:val="auto"/>
              </w:rPr>
              <w:t>1月1日至本项目截标之日内所签订的</w:t>
            </w:r>
            <w:r>
              <w:rPr>
                <w:rFonts w:hint="eastAsia"/>
                <w:color w:val="auto"/>
                <w:lang w:eastAsia="zh-CN"/>
              </w:rPr>
              <w:t>政府部门或事业单位的</w:t>
            </w:r>
            <w:r>
              <w:rPr>
                <w:rFonts w:hint="eastAsia" w:eastAsia="宋体"/>
                <w:color w:val="auto"/>
                <w:lang w:eastAsia="zh-CN"/>
              </w:rPr>
              <w:t>信息化</w:t>
            </w:r>
            <w:r>
              <w:rPr>
                <w:rFonts w:hint="eastAsia" w:eastAsia="宋体"/>
                <w:color w:val="auto"/>
              </w:rPr>
              <w:t>项目</w:t>
            </w:r>
            <w:r>
              <w:rPr>
                <w:rFonts w:hint="eastAsia" w:eastAsia="宋体"/>
                <w:color w:val="auto"/>
                <w:lang w:eastAsia="zh-CN"/>
              </w:rPr>
              <w:t>运行维护服务</w:t>
            </w:r>
            <w:r>
              <w:rPr>
                <w:rFonts w:hint="eastAsia" w:eastAsia="宋体"/>
                <w:color w:val="auto"/>
              </w:rPr>
              <w:t>合同</w:t>
            </w:r>
            <w:r>
              <w:rPr>
                <w:rFonts w:hint="eastAsia"/>
                <w:color w:val="auto"/>
              </w:rPr>
              <w:t>（以合同签订日期为准），每提供1个同类业绩得</w:t>
            </w:r>
            <w:r>
              <w:rPr>
                <w:rFonts w:hint="eastAsia" w:ascii="宋体" w:hAnsi="宋体" w:cs="宋体"/>
                <w:b/>
                <w:bCs/>
                <w:color w:val="auto"/>
                <w:kern w:val="0"/>
                <w:szCs w:val="21"/>
                <w:lang w:val="en-US" w:eastAsia="zh-CN" w:bidi="ar"/>
              </w:rPr>
              <w:t>20</w:t>
            </w:r>
            <w:r>
              <w:rPr>
                <w:rFonts w:hint="eastAsia" w:ascii="宋体" w:hAnsi="宋体" w:cs="宋体"/>
                <w:b/>
                <w:bCs/>
                <w:color w:val="auto"/>
                <w:kern w:val="0"/>
                <w:szCs w:val="21"/>
                <w:lang w:bidi="ar"/>
              </w:rPr>
              <w:t>分</w:t>
            </w:r>
            <w:r>
              <w:rPr>
                <w:rFonts w:hint="eastAsia"/>
                <w:color w:val="auto"/>
              </w:rPr>
              <w:t>，最高得100分。</w:t>
            </w:r>
          </w:p>
          <w:p>
            <w:pPr>
              <w:rPr>
                <w:b/>
                <w:color w:val="auto"/>
              </w:rPr>
            </w:pPr>
            <w:r>
              <w:rPr>
                <w:rFonts w:hint="eastAsia"/>
                <w:b/>
                <w:color w:val="auto"/>
              </w:rPr>
              <w:t>（二）评分依据：</w:t>
            </w:r>
          </w:p>
          <w:p>
            <w:pPr>
              <w:rPr>
                <w:color w:val="auto"/>
              </w:rPr>
            </w:pPr>
            <w:r>
              <w:rPr>
                <w:rFonts w:hint="eastAsia"/>
                <w:color w:val="auto"/>
              </w:rPr>
              <w:t>要求提供合同关键信息</w:t>
            </w:r>
            <w:r>
              <w:rPr>
                <w:rFonts w:hint="eastAsia" w:ascii="宋体" w:hAnsi="宋体" w:cs="宋体"/>
                <w:color w:val="auto"/>
                <w:szCs w:val="21"/>
              </w:rPr>
              <w:t>（包括但不限于合同标的、签订时间、双方签章页）</w:t>
            </w:r>
            <w:r>
              <w:rPr>
                <w:rFonts w:hint="eastAsia"/>
                <w:color w:val="auto"/>
              </w:rPr>
              <w:t>作为得分依据，通过合同关键信息无法判断是否得分的，还须同时提供能证明得分的其它证明资料，如合同甲方出具的证明文件或项目报告。</w:t>
            </w:r>
          </w:p>
          <w:p>
            <w:pPr>
              <w:rPr>
                <w:rFonts w:ascii="宋体" w:hAnsi="宋体" w:cs="宋体"/>
                <w:color w:val="auto"/>
                <w:szCs w:val="21"/>
              </w:rPr>
            </w:pPr>
            <w:r>
              <w:rPr>
                <w:rFonts w:hint="eastAsia"/>
                <w:color w:val="auto"/>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2</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履约评价</w:t>
            </w:r>
          </w:p>
          <w:p>
            <w:pPr>
              <w:wordWrap w:val="0"/>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default" w:ascii="宋体" w:hAnsi="宋体" w:eastAsia="宋体" w:cs="宋体"/>
                <w:szCs w:val="21"/>
                <w:lang w:val="en-US" w:eastAsia="zh-CN"/>
              </w:rPr>
            </w:pPr>
            <w:r>
              <w:rPr>
                <w:rFonts w:hint="default" w:ascii="宋体" w:hAnsi="宋体" w:cs="宋体"/>
                <w:szCs w:val="21"/>
                <w:lang w:val="en-US" w:eastAsia="zh-CN"/>
              </w:rPr>
              <w:t>15</w:t>
            </w:r>
          </w:p>
        </w:tc>
        <w:tc>
          <w:tcPr>
            <w:tcW w:w="4208" w:type="dxa"/>
            <w:tcBorders>
              <w:top w:val="single" w:color="000000" w:sz="8" w:space="0"/>
              <w:left w:val="single" w:color="000000" w:sz="8" w:space="0"/>
              <w:bottom w:val="single" w:color="000000" w:sz="8" w:space="0"/>
              <w:right w:val="single" w:color="000000" w:sz="8" w:space="0"/>
            </w:tcBorders>
          </w:tcPr>
          <w:p>
            <w:pPr>
              <w:rPr>
                <w:b/>
                <w:color w:val="auto"/>
              </w:rPr>
            </w:pPr>
            <w:r>
              <w:rPr>
                <w:rFonts w:hint="eastAsia"/>
                <w:b/>
                <w:color w:val="auto"/>
              </w:rPr>
              <w:t>（一）评分内容：</w:t>
            </w:r>
          </w:p>
          <w:p>
            <w:pPr>
              <w:rPr>
                <w:color w:val="auto"/>
              </w:rPr>
            </w:pPr>
            <w:r>
              <w:rPr>
                <w:rFonts w:hint="eastAsia" w:ascii="宋体" w:hAnsi="宋体"/>
                <w:color w:val="auto"/>
              </w:rPr>
              <w:t>投标人提供符合“1.投标人同类项目业绩情况”合同甲方出具评价</w:t>
            </w:r>
            <w:r>
              <w:rPr>
                <w:rFonts w:hint="eastAsia"/>
                <w:color w:val="auto"/>
              </w:rPr>
              <w:t>为优/优秀/满意或最高评价的</w:t>
            </w:r>
            <w:r>
              <w:rPr>
                <w:rFonts w:hint="eastAsia"/>
                <w:color w:val="auto"/>
                <w:kern w:val="0"/>
              </w:rPr>
              <w:t>履约评价或验收合格证明文件</w:t>
            </w:r>
            <w:r>
              <w:rPr>
                <w:rFonts w:hint="eastAsia" w:ascii="宋体" w:hAnsi="宋体"/>
                <w:color w:val="auto"/>
              </w:rPr>
              <w:t>，</w:t>
            </w:r>
            <w:r>
              <w:rPr>
                <w:rFonts w:hint="eastAsia"/>
                <w:color w:val="auto"/>
              </w:rPr>
              <w:t>每提供一份得</w:t>
            </w:r>
            <w:r>
              <w:rPr>
                <w:rFonts w:hint="eastAsia" w:ascii="宋体" w:hAnsi="宋体" w:cs="宋体"/>
                <w:b/>
                <w:bCs/>
                <w:color w:val="auto"/>
                <w:kern w:val="0"/>
                <w:szCs w:val="21"/>
                <w:lang w:val="en-US" w:eastAsia="zh-CN" w:bidi="ar"/>
              </w:rPr>
              <w:t>20</w:t>
            </w:r>
            <w:r>
              <w:rPr>
                <w:rFonts w:hint="eastAsia" w:ascii="宋体" w:hAnsi="宋体" w:cs="宋体"/>
                <w:b/>
                <w:bCs/>
                <w:color w:val="auto"/>
                <w:kern w:val="0"/>
                <w:szCs w:val="21"/>
                <w:lang w:bidi="ar"/>
              </w:rPr>
              <w:t>分</w:t>
            </w:r>
            <w:r>
              <w:rPr>
                <w:rFonts w:hint="eastAsia"/>
                <w:color w:val="auto"/>
              </w:rPr>
              <w:t>，最高得100分。</w:t>
            </w:r>
          </w:p>
          <w:p>
            <w:pPr>
              <w:rPr>
                <w:b/>
                <w:color w:val="auto"/>
              </w:rPr>
            </w:pPr>
            <w:r>
              <w:rPr>
                <w:rFonts w:hint="eastAsia"/>
                <w:b/>
                <w:color w:val="auto"/>
              </w:rPr>
              <w:t>（二）评分依据：</w:t>
            </w:r>
          </w:p>
          <w:p>
            <w:pPr>
              <w:wordWrap w:val="0"/>
              <w:rPr>
                <w:color w:val="auto"/>
              </w:rPr>
            </w:pPr>
            <w:r>
              <w:rPr>
                <w:rFonts w:hint="eastAsia" w:ascii="宋体" w:hAnsi="宋体"/>
                <w:color w:val="auto"/>
              </w:rPr>
              <w:t>提供加盖合同甲方公章（或甲方业务章）项目</w:t>
            </w:r>
            <w:r>
              <w:rPr>
                <w:rFonts w:hint="eastAsia"/>
                <w:color w:val="auto"/>
                <w:kern w:val="0"/>
              </w:rPr>
              <w:t>履约评价或验收合格证明文件</w:t>
            </w:r>
            <w:r>
              <w:rPr>
                <w:rFonts w:hint="eastAsia"/>
                <w:color w:val="auto"/>
              </w:rPr>
              <w:t>清晰扫描件。</w:t>
            </w:r>
          </w:p>
          <w:p>
            <w:pPr>
              <w:wordWrap w:val="0"/>
              <w:rPr>
                <w:rFonts w:ascii="宋体" w:hAnsi="宋体" w:cs="宋体"/>
                <w:color w:val="auto"/>
                <w:szCs w:val="21"/>
              </w:rPr>
            </w:pPr>
            <w:r>
              <w:rPr>
                <w:rFonts w:hint="eastAsia"/>
                <w:color w:val="auto"/>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eastAsia="zh-CN"/>
              </w:rPr>
            </w:pPr>
            <w:r>
              <w:rPr>
                <w:rFonts w:hint="default" w:ascii="宋体" w:hAnsi="宋体" w:cs="宋体"/>
                <w:szCs w:val="21"/>
                <w:lang w:val="en-US" w:eastAsia="zh-CN"/>
              </w:rPr>
              <w:t>3</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rPr>
            </w:pPr>
            <w:r>
              <w:rPr>
                <w:rFonts w:hint="eastAsia" w:cs="宋体" w:asciiTheme="minorHAnsi" w:hAnsiTheme="minorHAnsi"/>
                <w:szCs w:val="22"/>
              </w:rPr>
              <w:t>本地化服务能力</w:t>
            </w:r>
          </w:p>
          <w:p>
            <w:pPr>
              <w:widowControl/>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pPr>
              <w:rPr>
                <w:b/>
              </w:rPr>
            </w:pPr>
            <w:r>
              <w:rPr>
                <w:rFonts w:hint="eastAsia"/>
                <w:b/>
              </w:rPr>
              <w:t>（一） 评分内容：</w:t>
            </w:r>
          </w:p>
          <w:p>
            <w:r>
              <w:rPr>
                <w:rFonts w:hint="eastAsia"/>
              </w:rPr>
              <w:t>投标人承诺中标后提供本地</w:t>
            </w:r>
            <w:r>
              <w:rPr>
                <w:rFonts w:hint="eastAsia"/>
                <w:lang w:eastAsia="zh-CN"/>
              </w:rPr>
              <w:t>（</w:t>
            </w:r>
            <w:r>
              <w:rPr>
                <w:rFonts w:hint="eastAsia"/>
                <w:lang w:val="en-US" w:eastAsia="zh-CN"/>
              </w:rPr>
              <w:t>深圳市</w:t>
            </w:r>
            <w:r>
              <w:rPr>
                <w:rFonts w:hint="eastAsia"/>
                <w:lang w:eastAsia="zh-CN"/>
              </w:rPr>
              <w:t>）</w:t>
            </w:r>
            <w:r>
              <w:rPr>
                <w:rFonts w:hint="eastAsia"/>
              </w:rPr>
              <w:t>化服务，得100分。</w:t>
            </w:r>
          </w:p>
          <w:p>
            <w:pPr>
              <w:rPr>
                <w:b/>
              </w:rPr>
            </w:pPr>
            <w:r>
              <w:rPr>
                <w:rFonts w:hint="eastAsia"/>
                <w:b/>
              </w:rPr>
              <w:t>（二）评分依据：</w:t>
            </w:r>
          </w:p>
          <w:p>
            <w:r>
              <w:rPr>
                <w:rFonts w:hint="eastAsia"/>
              </w:rPr>
              <w:t>投标人需提供承诺函（格式自拟）。</w:t>
            </w:r>
          </w:p>
          <w:p>
            <w:pPr>
              <w:widowControl/>
              <w:jc w:val="left"/>
              <w:rPr>
                <w:rFonts w:ascii="宋体" w:hAnsi="宋体" w:cs="宋体"/>
                <w:color w:val="FF0000"/>
                <w:szCs w:val="21"/>
              </w:rPr>
            </w:pPr>
            <w:r>
              <w:rPr>
                <w:rFonts w:hint="eastAsia"/>
              </w:rPr>
              <w:t>备注：以上资料均要求提供扫描件。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68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c>
          <w:tcPr>
            <w:tcW w:w="4208"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99" w:hRule="atLeast"/>
          <w:jc w:val="center"/>
        </w:trPr>
        <w:tc>
          <w:tcPr>
            <w:tcW w:w="682"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4</w:t>
            </w:r>
          </w:p>
        </w:tc>
        <w:tc>
          <w:tcPr>
            <w:tcW w:w="4208"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诚信情况</w:t>
            </w:r>
          </w:p>
        </w:tc>
        <w:tc>
          <w:tcPr>
            <w:tcW w:w="420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416"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38" w:hRule="atLeast"/>
          <w:jc w:val="center"/>
        </w:trPr>
        <w:tc>
          <w:tcPr>
            <w:tcW w:w="68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3"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20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2"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2"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84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诚信情况</w:t>
            </w:r>
          </w:p>
        </w:tc>
        <w:tc>
          <w:tcPr>
            <w:tcW w:w="683"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208" w:type="dxa"/>
            <w:tcBorders>
              <w:top w:val="single" w:color="000000" w:sz="8" w:space="0"/>
              <w:left w:val="single" w:color="000000" w:sz="8" w:space="0"/>
              <w:bottom w:val="single" w:color="000000" w:sz="8" w:space="0"/>
              <w:right w:val="single" w:color="000000" w:sz="8" w:space="0"/>
            </w:tcBorders>
          </w:tcPr>
          <w:p>
            <w:pPr>
              <w:pStyle w:val="18"/>
              <w:keepNext w:val="0"/>
              <w:keepLines w:val="0"/>
              <w:suppressLineNumbers w:val="0"/>
              <w:wordWrap w:val="0"/>
              <w:spacing w:before="0" w:beforeAutospacing="0" w:after="0" w:afterAutospacing="0" w:line="240" w:lineRule="auto"/>
              <w:ind w:left="0" w:right="0" w:firstLine="420" w:firstLineChars="200"/>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pPr>
        <w:sectPr>
          <w:pgSz w:w="11907" w:h="16840"/>
          <w:pgMar w:top="1440" w:right="1417" w:bottom="1440" w:left="1417" w:header="851" w:footer="992" w:gutter="0"/>
          <w:pgNumType w:fmt="decimal"/>
          <w:cols w:space="425" w:num="1"/>
          <w:docGrid w:linePitch="462" w:charSpace="0"/>
        </w:sectPr>
      </w:pPr>
    </w:p>
    <w:p>
      <w:pPr>
        <w:jc w:val="center"/>
        <w:rPr>
          <w:b/>
          <w:sz w:val="120"/>
          <w:szCs w:val="120"/>
        </w:rPr>
      </w:pPr>
    </w:p>
    <w:p>
      <w:pPr>
        <w:jc w:val="center"/>
        <w:rPr>
          <w:b/>
          <w:sz w:val="120"/>
          <w:szCs w:val="120"/>
        </w:rPr>
      </w:pPr>
    </w:p>
    <w:p>
      <w:pPr>
        <w:jc w:val="center"/>
        <w:rPr>
          <w:b/>
          <w:sz w:val="120"/>
          <w:szCs w:val="120"/>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w:t>
      </w:r>
      <w:bookmarkEnd w:id="0"/>
    </w:p>
    <w:p>
      <w:pPr>
        <w:ind w:firstLine="420" w:firstLineChars="200"/>
        <w:sectPr>
          <w:pgSz w:w="11907" w:h="16840"/>
          <w:pgMar w:top="1440" w:right="1797" w:bottom="1440" w:left="1797" w:header="851" w:footer="992" w:gutter="0"/>
          <w:pgNumType w:fmt="decimal"/>
          <w:cols w:space="425" w:num="1"/>
          <w:titlePg/>
          <w:docGrid w:linePitch="462" w:charSpace="0"/>
        </w:sectPr>
      </w:pPr>
    </w:p>
    <w:p>
      <w:pPr>
        <w:jc w:val="center"/>
        <w:rPr>
          <w:rFonts w:ascii="黑体" w:hAnsi="黑体" w:eastAsia="黑体"/>
          <w:b/>
          <w:sz w:val="28"/>
        </w:rPr>
      </w:pPr>
      <w:r>
        <w:rPr>
          <w:rFonts w:hint="eastAsia" w:ascii="黑体" w:hAnsi="黑体" w:eastAsia="黑体"/>
          <w:b/>
          <w:sz w:val="28"/>
        </w:rPr>
        <w:t>目   录</w:t>
      </w:r>
    </w:p>
    <w:p>
      <w:pPr>
        <w:rPr>
          <w:b/>
        </w:rPr>
      </w:pPr>
      <w:r>
        <w:rPr>
          <w:rFonts w:hint="eastAsia"/>
          <w:b/>
        </w:rPr>
        <w:t>第一册  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rPr>
          <w:b/>
        </w:rPr>
      </w:pPr>
      <w:r>
        <w:rPr>
          <w:rFonts w:hint="eastAsia"/>
          <w:b/>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b/>
          <w:sz w:val="24"/>
        </w:rPr>
      </w:pPr>
      <w:r>
        <w:rPr>
          <w:rFonts w:hint="eastAsia"/>
        </w:rPr>
        <w:t>第十一章  质疑处理</w:t>
      </w:r>
    </w:p>
    <w:p>
      <w:pPr>
        <w:spacing w:line="360" w:lineRule="auto"/>
        <w:ind w:firstLine="420" w:firstLineChars="200"/>
        <w:jc w:val="left"/>
        <w:rPr>
          <w:rFonts w:ascii="宋体" w:hAnsi="宋体"/>
          <w:szCs w:val="21"/>
        </w:rPr>
      </w:pPr>
    </w:p>
    <w:p>
      <w:pPr>
        <w:pStyle w:val="2"/>
        <w:rPr>
          <w:sz w:val="24"/>
        </w:rPr>
      </w:pPr>
      <w:r>
        <w:br w:type="page"/>
      </w:r>
      <w:bookmarkStart w:id="2" w:name="合同格式"/>
      <w:bookmarkEnd w:id="2"/>
      <w:bookmarkStart w:id="3" w:name="bt项目管理班子配备情况"/>
      <w:bookmarkEnd w:id="3"/>
      <w:bookmarkStart w:id="4" w:name="bt投标函"/>
      <w:bookmarkEnd w:id="4"/>
      <w:bookmarkStart w:id="5" w:name="bt合同条款"/>
      <w:bookmarkEnd w:id="5"/>
      <w:bookmarkStart w:id="6" w:name="bt投标报价汇总表"/>
      <w:bookmarkEnd w:id="6"/>
      <w:bookmarkStart w:id="7" w:name="bt开标一览表"/>
      <w:bookmarkEnd w:id="7"/>
      <w:bookmarkStart w:id="8" w:name="bt其他资料由投标人自定"/>
      <w:bookmarkEnd w:id="8"/>
      <w:bookmarkStart w:id="9" w:name="bt合同格式"/>
      <w:bookmarkEnd w:id="9"/>
      <w:bookmarkStart w:id="10" w:name="bt其他资料2"/>
      <w:bookmarkEnd w:id="10"/>
      <w:bookmarkStart w:id="11" w:name="bt本工程承诺书"/>
      <w:bookmarkEnd w:id="11"/>
      <w:bookmarkStart w:id="12" w:name="bt商务标投标文件格式"/>
      <w:bookmarkEnd w:id="12"/>
      <w:bookmarkStart w:id="13" w:name="bt技术标投标文件格式"/>
      <w:bookmarkEnd w:id="13"/>
      <w:bookmarkStart w:id="14" w:name="bt说明"/>
      <w:bookmarkEnd w:id="14"/>
      <w:bookmarkStart w:id="15" w:name="bt投标文件签署授权委托书"/>
      <w:bookmarkEnd w:id="15"/>
      <w:bookmarkStart w:id="16" w:name="bt合同条款及格式"/>
      <w:bookmarkEnd w:id="16"/>
      <w:bookmarkStart w:id="17" w:name="bt投标人情况介绍"/>
      <w:bookmarkEnd w:id="17"/>
      <w:bookmarkStart w:id="18" w:name="bt投标人须知"/>
      <w:bookmarkEnd w:id="18"/>
      <w:r>
        <w:rPr>
          <w:rFonts w:hint="eastAsia"/>
        </w:rPr>
        <w:t>第一册  专用条款</w:t>
      </w:r>
    </w:p>
    <w:p>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tblPrEx>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ind w:firstLine="632" w:firstLineChars="300"/>
                    <w:rPr>
                      <w:rFonts w:ascii="宋体" w:hAnsi="宋体" w:cs="宋体"/>
                      <w:b/>
                      <w:bCs/>
                      <w:kern w:val="0"/>
                      <w:szCs w:val="21"/>
                    </w:rPr>
                  </w:pPr>
                </w:p>
                <w:p>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pacing w:beforeAutospacing="1" w:afterAutospacing="1"/>
                    <w:ind w:firstLine="441" w:firstLineChars="200"/>
                    <w:rPr>
                      <w:rFonts w:ascii="宋体" w:hAnsi="宋体" w:cs="宋体"/>
                      <w:sz w:val="24"/>
                    </w:rPr>
                  </w:pPr>
                  <w:r>
                    <w:rPr>
                      <w:rFonts w:hint="eastAsia"/>
                      <w:b/>
                      <w:sz w:val="22"/>
                      <w:szCs w:val="18"/>
                    </w:rPr>
                    <w:t>完整公告内容详见：深圳</w:t>
                  </w:r>
                  <w:r>
                    <w:rPr>
                      <w:rFonts w:hint="eastAsia"/>
                      <w:b/>
                      <w:sz w:val="22"/>
                      <w:szCs w:val="18"/>
                      <w:lang w:val="en-US" w:eastAsia="zh-CN"/>
                    </w:rPr>
                    <w:t>交易集团官</w:t>
                  </w:r>
                  <w:r>
                    <w:rPr>
                      <w:rFonts w:hint="eastAsia"/>
                      <w:b/>
                      <w:sz w:val="22"/>
                      <w:szCs w:val="18"/>
                    </w:rPr>
                    <w:t>网（https://www.szexgrp.com/）</w:t>
                  </w:r>
                </w:p>
              </w:tc>
            </w:tr>
          </w:tbl>
          <w:p>
            <w:pPr>
              <w:rPr>
                <w:rFonts w:ascii="宋体" w:hAnsi="宋体" w:cs="宋体"/>
                <w:sz w:val="24"/>
              </w:rPr>
            </w:pPr>
          </w:p>
        </w:tc>
      </w:tr>
    </w:tbl>
    <w:p>
      <w:r>
        <w:rPr>
          <w:rFonts w:hint="eastAsia"/>
        </w:rPr>
        <w:br w:type="page"/>
      </w:r>
    </w:p>
    <w:p>
      <w:pPr>
        <w:pStyle w:val="5"/>
        <w:rPr>
          <w:sz w:val="28"/>
          <w:szCs w:val="28"/>
        </w:rPr>
      </w:pPr>
      <w:r>
        <w:rPr>
          <w:rFonts w:hint="eastAsia"/>
          <w:sz w:val="28"/>
          <w:szCs w:val="28"/>
        </w:rPr>
        <w:t>第二章 对通用条款的补充内容及其他关键信息</w:t>
      </w:r>
    </w:p>
    <w:p>
      <w:pPr>
        <w:pStyle w:val="5"/>
        <w:spacing w:before="120" w:beforeLines="50" w:after="120" w:afterLines="50"/>
        <w:rPr>
          <w:sz w:val="28"/>
          <w:szCs w:val="28"/>
        </w:rPr>
      </w:pPr>
      <w:bookmarkStart w:id="20" w:name="_Toc60560625"/>
      <w:bookmarkStart w:id="21" w:name="_Toc101074876"/>
      <w:bookmarkStart w:id="22" w:name="_Toc73517639"/>
      <w:bookmarkStart w:id="23" w:name="_Toc73521635"/>
      <w:bookmarkStart w:id="24" w:name="_Toc73518117"/>
      <w:bookmarkStart w:id="25" w:name="_Toc60631620"/>
      <w:bookmarkStart w:id="26" w:name="_Toc100052364"/>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left"/>
              <w:rPr>
                <w:rFonts w:ascii="宋体" w:hAnsi="宋体"/>
              </w:rPr>
            </w:pPr>
            <w:r>
              <w:rPr>
                <w:rFonts w:hint="eastAsia" w:ascii="宋体" w:hAnsi="宋体"/>
              </w:rPr>
              <w:t>深圳市盐田区城管监督指挥中心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left"/>
              <w:rPr>
                <w:rFonts w:ascii="宋体" w:hAnsi="宋体" w:cs="宋体"/>
                <w:kern w:val="0"/>
                <w:szCs w:val="21"/>
              </w:rPr>
            </w:pPr>
            <w:r>
              <w:rPr>
                <w:rFonts w:hint="eastAsia" w:ascii="宋体" w:hAnsi="宋体" w:cs="宋体"/>
                <w:kern w:val="0"/>
                <w:szCs w:val="21"/>
              </w:rPr>
              <w:t>深圳公共资源交易中心</w:t>
            </w:r>
          </w:p>
          <w:p>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left"/>
              <w:rPr>
                <w:rFonts w:ascii="宋体" w:hAnsi="宋体"/>
              </w:rPr>
            </w:pPr>
            <w:r>
              <w:rPr>
                <w:rFonts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left"/>
              <w:rPr>
                <w:rFonts w:ascii="宋体" w:hAnsi="宋体"/>
              </w:rPr>
            </w:pPr>
            <w:r>
              <w:rPr>
                <w:rFonts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left"/>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left"/>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left"/>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pPr>
              <w:jc w:val="left"/>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left"/>
              <w:rPr>
                <w:rFonts w:ascii="宋体" w:hAnsi="宋体"/>
              </w:rPr>
            </w:pPr>
            <w:r>
              <w:rPr>
                <w:rFonts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left"/>
              <w:rPr>
                <w:rFonts w:ascii="宋体" w:hAnsi="宋体"/>
              </w:rPr>
            </w:pPr>
            <w:r>
              <w:rPr>
                <w:rFonts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left"/>
              <w:rPr>
                <w:rFonts w:ascii="宋体" w:hAnsi="宋体"/>
              </w:rPr>
            </w:pPr>
            <w:r>
              <w:rPr>
                <w:rFonts w:hint="eastAsia" w:ascii="宋体" w:hAnsi="宋体"/>
                <w:color w:val="0000FF"/>
              </w:rPr>
              <w:t>本项目无需提供履约保证金。</w:t>
            </w:r>
          </w:p>
        </w:tc>
      </w:tr>
    </w:tbl>
    <w:p>
      <w:pPr>
        <w:rPr>
          <w:b/>
        </w:rPr>
      </w:pPr>
      <w:r>
        <w:rPr>
          <w:rFonts w:hint="eastAsia"/>
          <w:szCs w:val="21"/>
        </w:rPr>
        <w:t>备注：本表是通用条款相关条款的补充和明确，如与通用条款内容相冲突的，以本表为准。</w:t>
      </w:r>
    </w:p>
    <w:p>
      <w:pPr>
        <w:rPr>
          <w:b/>
        </w:rPr>
      </w:pPr>
    </w:p>
    <w:p>
      <w:pPr>
        <w:pStyle w:val="5"/>
        <w:spacing w:before="120" w:beforeLines="50" w:after="120" w:afterLines="50"/>
        <w:rPr>
          <w:szCs w:val="24"/>
        </w:rPr>
      </w:pPr>
      <w:r>
        <w:rPr>
          <w:rFonts w:hint="eastAsia"/>
          <w:szCs w:val="24"/>
        </w:rPr>
        <w:t>二、其他关键信息</w:t>
      </w:r>
    </w:p>
    <w:p>
      <w:pPr>
        <w:ind w:firstLine="421" w:firstLineChars="200"/>
        <w:rPr>
          <w:b/>
          <w:bCs/>
        </w:rPr>
      </w:pPr>
      <w:r>
        <w:rPr>
          <w:rFonts w:hint="eastAsia"/>
          <w:b/>
          <w:bCs/>
        </w:rPr>
        <w:t>（一）与“对通用条款的补充内容”章节相关的事项</w:t>
      </w:r>
    </w:p>
    <w:p>
      <w:pPr>
        <w:spacing w:line="276" w:lineRule="auto"/>
        <w:ind w:firstLine="421"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19"/>
      </w:pPr>
    </w:p>
    <w:bookmarkEnd w:id="29"/>
    <w:p>
      <w:pPr>
        <w:ind w:firstLine="421"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w:t>
      </w:r>
      <w:r>
        <w:rPr>
          <w:color w:val="FF0000"/>
          <w:u w:val="single"/>
        </w:rPr>
        <w:t>%</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numPr>
          <w:ilvl w:val="0"/>
          <w:numId w:val="7"/>
        </w:numPr>
        <w:ind w:firstLine="420" w:firstLineChars="200"/>
      </w:pPr>
      <w:r>
        <w:rPr>
          <w:rFonts w:hint="eastAsia"/>
        </w:rPr>
        <w:t>享受价格扣除获得政府采购合同的，小微企业不得将合同分包给大中型企业。</w:t>
      </w:r>
    </w:p>
    <w:p>
      <w:pPr>
        <w:ind w:firstLine="640" w:firstLineChars="200"/>
        <w:rPr>
          <w:b/>
        </w:rPr>
      </w:pPr>
      <w:bookmarkStart w:id="30" w:name="_Hlk72594729"/>
      <w:bookmarkStart w:id="31" w:name="_Hlk76855768"/>
      <w:r>
        <w:rPr>
          <w:rFonts w:hint="eastAsia"/>
          <w:sz w:val="32"/>
          <w:szCs w:val="40"/>
        </w:rPr>
        <w:sym w:font="Wingdings" w:char="00FE"/>
      </w:r>
      <w:r>
        <w:rPr>
          <w:rFonts w:hint="eastAsia"/>
          <w:b/>
        </w:rPr>
        <w:t>2、本项目为代理服务项目，将向中标（成交）供应商收取代理服务费。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pPr>
        <w:pStyle w:val="18"/>
      </w:pPr>
    </w:p>
    <w:p>
      <w:pPr>
        <w:pStyle w:val="19"/>
        <w:rPr>
          <w:b/>
        </w:rPr>
      </w:pPr>
    </w:p>
    <w:p>
      <w:pPr>
        <w:rPr>
          <w:b/>
        </w:rPr>
        <w:sectPr>
          <w:pgSz w:w="11907" w:h="16840"/>
          <w:pgMar w:top="1440" w:right="1797" w:bottom="1440" w:left="1797" w:header="851" w:footer="992" w:gutter="0"/>
          <w:pgNumType w:fmt="decimal"/>
          <w:cols w:space="425" w:num="1"/>
          <w:titlePg/>
          <w:docGrid w:linePitch="462" w:charSpace="0"/>
        </w:sectPr>
      </w:pPr>
    </w:p>
    <w:p>
      <w:pPr>
        <w:pStyle w:val="5"/>
        <w:rPr>
          <w:sz w:val="28"/>
          <w:szCs w:val="28"/>
        </w:rPr>
      </w:pPr>
      <w:bookmarkStart w:id="32" w:name="_Toc128884461"/>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2"/>
        <w:tblpPr w:leftFromText="180" w:rightFromText="180" w:vertAnchor="text" w:horzAnchor="page" w:tblpX="1781" w:tblpY="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9"/>
        <w:gridCol w:w="3596"/>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0" w:type="auto"/>
            <w:vAlign w:val="center"/>
          </w:tcPr>
          <w:p>
            <w:pPr>
              <w:jc w:val="center"/>
              <w:rPr>
                <w:rFonts w:hint="eastAsia" w:ascii="Times New Roman" w:hAnsi="Times New Roman" w:cs="Times New Roman"/>
                <w:szCs w:val="21"/>
              </w:rPr>
            </w:pPr>
            <w:r>
              <w:rPr>
                <w:rFonts w:hint="eastAsia" w:ascii="Times New Roman" w:hAnsi="Times New Roman" w:cs="Times New Roman"/>
                <w:szCs w:val="21"/>
              </w:rPr>
              <w:t>序号</w:t>
            </w:r>
          </w:p>
        </w:tc>
        <w:tc>
          <w:tcPr>
            <w:tcW w:w="2153" w:type="dxa"/>
            <w:vAlign w:val="center"/>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项目</w:t>
            </w:r>
            <w:r>
              <w:rPr>
                <w:rFonts w:hint="eastAsia" w:ascii="Times New Roman" w:hAnsi="Times New Roman" w:cs="Times New Roman"/>
                <w:szCs w:val="21"/>
              </w:rPr>
              <w:t>编号</w:t>
            </w:r>
          </w:p>
        </w:tc>
        <w:tc>
          <w:tcPr>
            <w:tcW w:w="3781" w:type="dxa"/>
            <w:vAlign w:val="center"/>
          </w:tcPr>
          <w:p>
            <w:pPr>
              <w:jc w:val="center"/>
              <w:rPr>
                <w:rFonts w:hint="eastAsia" w:ascii="Times New Roman" w:hAnsi="Times New Roman" w:cs="Times New Roman"/>
                <w:szCs w:val="21"/>
              </w:rPr>
            </w:pPr>
            <w:r>
              <w:rPr>
                <w:rFonts w:hint="eastAsia" w:ascii="Times New Roman" w:hAnsi="Times New Roman" w:cs="Times New Roman"/>
                <w:szCs w:val="21"/>
              </w:rPr>
              <w:t>采购项目名称</w:t>
            </w:r>
          </w:p>
        </w:tc>
        <w:tc>
          <w:tcPr>
            <w:tcW w:w="2141" w:type="dxa"/>
            <w:vAlign w:val="center"/>
          </w:tcPr>
          <w:p>
            <w:pPr>
              <w:jc w:val="center"/>
              <w:rPr>
                <w:rFonts w:hint="eastAsia" w:ascii="Times New Roman" w:hAnsi="Times New Roman" w:cs="Times New Roman"/>
                <w:szCs w:val="21"/>
              </w:rPr>
            </w:pPr>
            <w:r>
              <w:rPr>
                <w:rFonts w:hint="eastAsia" w:ascii="Times New Roman" w:hAnsi="Times New Roman"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0" w:type="auto"/>
            <w:vAlign w:val="center"/>
          </w:tcPr>
          <w:p>
            <w:pPr>
              <w:jc w:val="center"/>
              <w:rPr>
                <w:rFonts w:hint="eastAsia" w:ascii="Times New Roman" w:hAnsi="Times New Roman" w:cs="Times New Roman"/>
                <w:szCs w:val="21"/>
              </w:rPr>
            </w:pPr>
            <w:r>
              <w:rPr>
                <w:rFonts w:hint="eastAsia" w:ascii="Times New Roman" w:hAnsi="Times New Roman" w:cs="Times New Roman"/>
                <w:szCs w:val="21"/>
              </w:rPr>
              <w:t>1</w:t>
            </w:r>
          </w:p>
        </w:tc>
        <w:tc>
          <w:tcPr>
            <w:tcW w:w="2153" w:type="dxa"/>
            <w:vAlign w:val="center"/>
          </w:tcPr>
          <w:p>
            <w:pPr>
              <w:jc w:val="center"/>
              <w:rPr>
                <w:rFonts w:hint="eastAsia" w:ascii="Times New Roman" w:hAnsi="Times New Roman" w:cs="Times New Roman"/>
                <w:szCs w:val="21"/>
              </w:rPr>
            </w:pPr>
            <w:r>
              <w:rPr>
                <w:rFonts w:hint="eastAsia" w:ascii="Times New Roman" w:hAnsi="Times New Roman" w:cs="Times New Roman"/>
                <w:szCs w:val="21"/>
              </w:rPr>
              <w:t>YTZXCG-2025-00078</w:t>
            </w:r>
          </w:p>
        </w:tc>
        <w:tc>
          <w:tcPr>
            <w:tcW w:w="3781" w:type="dxa"/>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rPr>
              <w:t>深圳市盐田区智慧城管信息系统运维服务项目</w:t>
            </w:r>
          </w:p>
        </w:tc>
        <w:tc>
          <w:tcPr>
            <w:tcW w:w="2141" w:type="dxa"/>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527914.50</w:t>
            </w:r>
          </w:p>
        </w:tc>
      </w:tr>
    </w:tbl>
    <w:p>
      <w:pPr>
        <w:ind w:firstLine="421" w:firstLineChars="200"/>
        <w:rPr>
          <w:rFonts w:ascii="宋体" w:hAnsi="宋体"/>
          <w:b/>
          <w:snapToGrid w:val="0"/>
          <w:color w:val="FF0000"/>
          <w:kern w:val="0"/>
        </w:rPr>
      </w:pPr>
    </w:p>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r>
        <w:rPr>
          <w:rFonts w:hint="eastAsia"/>
          <w:szCs w:val="24"/>
        </w:rPr>
        <w:t>二、项目概况</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为贯彻落实《国务院关于积极推进“互联网+”行动的指导意见》精神，以及市委市政府关于打造国家新型智慧城市标杆市的战略部署，运用信息化技术，建设适应现代化城市管理要求、顺应“互联网+”电子政府发展的智慧城管系统，以加强我市城市管理、服务的精细化、科学化、智慧化，推动城市管理“治理”转型和“服务”转变，提升城市管理水平和公众服务能力，构建了以“一套标准体系、一个城市管理综合数据库、一个智慧城市管理监督指挥中心、六个平台应用，N项接入应用”组成的“1+1+1+6+N”智慧城市管理平台。</w:t>
      </w:r>
    </w:p>
    <w:p>
      <w:pPr>
        <w:rPr>
          <w:rFonts w:ascii="宋体" w:hAnsi="宋体"/>
          <w:b/>
          <w:color w:val="FF0000"/>
          <w:szCs w:val="21"/>
        </w:rPr>
      </w:pPr>
    </w:p>
    <w:p>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pPr>
              <w:jc w:val="center"/>
              <w:rPr>
                <w:bCs/>
                <w:szCs w:val="21"/>
              </w:rPr>
            </w:pPr>
            <w:r>
              <w:rPr>
                <w:rFonts w:hint="eastAsia"/>
                <w:bCs/>
                <w:szCs w:val="21"/>
              </w:rPr>
              <w:t>序号</w:t>
            </w:r>
          </w:p>
        </w:tc>
        <w:tc>
          <w:tcPr>
            <w:tcW w:w="1399" w:type="dxa"/>
            <w:vAlign w:val="center"/>
          </w:tcPr>
          <w:p>
            <w:pPr>
              <w:jc w:val="center"/>
              <w:rPr>
                <w:bCs/>
                <w:szCs w:val="21"/>
              </w:rPr>
            </w:pPr>
            <w:r>
              <w:rPr>
                <w:rFonts w:hint="eastAsia"/>
                <w:szCs w:val="21"/>
                <w:lang w:val="en-US" w:eastAsia="zh-CN"/>
              </w:rPr>
              <w:t>项目</w:t>
            </w:r>
            <w:r>
              <w:rPr>
                <w:rFonts w:hint="eastAsia"/>
                <w:szCs w:val="21"/>
              </w:rPr>
              <w:t>编号</w:t>
            </w:r>
          </w:p>
        </w:tc>
        <w:tc>
          <w:tcPr>
            <w:tcW w:w="2711" w:type="dxa"/>
            <w:vAlign w:val="center"/>
          </w:tcPr>
          <w:p>
            <w:pPr>
              <w:jc w:val="center"/>
              <w:rPr>
                <w:bCs/>
                <w:szCs w:val="21"/>
              </w:rPr>
            </w:pPr>
            <w:r>
              <w:rPr>
                <w:rFonts w:hint="eastAsia"/>
                <w:bCs/>
                <w:szCs w:val="21"/>
              </w:rPr>
              <w:t>服务需求名称（标的名称）</w:t>
            </w:r>
          </w:p>
        </w:tc>
        <w:tc>
          <w:tcPr>
            <w:tcW w:w="709" w:type="dxa"/>
            <w:vAlign w:val="center"/>
          </w:tcPr>
          <w:p>
            <w:pPr>
              <w:jc w:val="center"/>
              <w:rPr>
                <w:bCs/>
                <w:szCs w:val="21"/>
              </w:rPr>
            </w:pPr>
            <w:r>
              <w:rPr>
                <w:rFonts w:hint="eastAsia"/>
                <w:bCs/>
                <w:szCs w:val="21"/>
              </w:rPr>
              <w:t>数量</w:t>
            </w:r>
          </w:p>
        </w:tc>
        <w:tc>
          <w:tcPr>
            <w:tcW w:w="709" w:type="dxa"/>
            <w:vAlign w:val="center"/>
          </w:tcPr>
          <w:p>
            <w:pPr>
              <w:jc w:val="center"/>
              <w:rPr>
                <w:bCs/>
                <w:szCs w:val="21"/>
              </w:rPr>
            </w:pPr>
            <w:r>
              <w:rPr>
                <w:rFonts w:hint="eastAsia"/>
                <w:bCs/>
                <w:szCs w:val="21"/>
              </w:rPr>
              <w:t>单位</w:t>
            </w:r>
          </w:p>
        </w:tc>
        <w:tc>
          <w:tcPr>
            <w:tcW w:w="1135" w:type="dxa"/>
          </w:tcPr>
          <w:p>
            <w:pPr>
              <w:rPr>
                <w:rFonts w:hint="eastAsia"/>
                <w:b/>
                <w:color w:val="FF0000"/>
              </w:rPr>
            </w:pPr>
            <w:r>
              <w:rPr>
                <w:rFonts w:hint="eastAsia"/>
                <w:b/>
                <w:color w:val="FF0000"/>
              </w:rPr>
              <w:t>是否专门面向中小企业</w:t>
            </w:r>
          </w:p>
        </w:tc>
        <w:tc>
          <w:tcPr>
            <w:tcW w:w="993" w:type="dxa"/>
          </w:tcPr>
          <w:p>
            <w:pPr>
              <w:rPr>
                <w:b/>
                <w:color w:val="FF0000"/>
              </w:rPr>
            </w:pPr>
            <w:r>
              <w:rPr>
                <w:rFonts w:hint="eastAsia"/>
                <w:b/>
                <w:color w:val="FF0000"/>
              </w:rPr>
              <w:t xml:space="preserve">标的所属行业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pPr>
              <w:jc w:val="center"/>
              <w:rPr>
                <w:bCs/>
                <w:szCs w:val="21"/>
              </w:rPr>
            </w:pPr>
            <w:r>
              <w:rPr>
                <w:rFonts w:hint="eastAsia"/>
                <w:bCs/>
                <w:szCs w:val="21"/>
              </w:rPr>
              <w:t>1</w:t>
            </w:r>
          </w:p>
        </w:tc>
        <w:tc>
          <w:tcPr>
            <w:tcW w:w="1399" w:type="dxa"/>
            <w:vAlign w:val="center"/>
          </w:tcPr>
          <w:p>
            <w:pPr>
              <w:jc w:val="center"/>
              <w:rPr>
                <w:bCs/>
                <w:szCs w:val="21"/>
              </w:rPr>
            </w:pPr>
            <w:r>
              <w:rPr>
                <w:rFonts w:hint="eastAsia"/>
                <w:bCs/>
                <w:szCs w:val="21"/>
              </w:rPr>
              <w:t>YTZXCG-2025-00078</w:t>
            </w:r>
          </w:p>
        </w:tc>
        <w:tc>
          <w:tcPr>
            <w:tcW w:w="2711" w:type="dxa"/>
            <w:vAlign w:val="center"/>
          </w:tcPr>
          <w:p>
            <w:pPr>
              <w:jc w:val="center"/>
              <w:rPr>
                <w:bCs/>
                <w:szCs w:val="21"/>
              </w:rPr>
            </w:pPr>
            <w:r>
              <w:rPr>
                <w:rFonts w:hint="eastAsia"/>
                <w:bCs/>
                <w:szCs w:val="21"/>
              </w:rPr>
              <w:t>信息系统运行维护服务</w:t>
            </w:r>
          </w:p>
        </w:tc>
        <w:tc>
          <w:tcPr>
            <w:tcW w:w="709" w:type="dxa"/>
            <w:vAlign w:val="center"/>
          </w:tcPr>
          <w:p>
            <w:pPr>
              <w:jc w:val="center"/>
              <w:rPr>
                <w:bCs/>
                <w:szCs w:val="21"/>
              </w:rPr>
            </w:pPr>
            <w:r>
              <w:rPr>
                <w:rFonts w:hint="eastAsia"/>
                <w:lang w:val="en-US" w:eastAsia="zh-CN"/>
              </w:rPr>
              <w:t>1</w:t>
            </w:r>
          </w:p>
        </w:tc>
        <w:tc>
          <w:tcPr>
            <w:tcW w:w="709" w:type="dxa"/>
            <w:vAlign w:val="center"/>
          </w:tcPr>
          <w:p>
            <w:pPr>
              <w:jc w:val="center"/>
              <w:rPr>
                <w:bCs/>
                <w:szCs w:val="21"/>
              </w:rPr>
            </w:pPr>
            <w:r>
              <w:rPr>
                <w:rFonts w:hint="eastAsia"/>
                <w:bCs/>
                <w:szCs w:val="21"/>
                <w:lang w:eastAsia="zh-CN"/>
              </w:rPr>
              <w:t>项</w:t>
            </w:r>
          </w:p>
        </w:tc>
        <w:tc>
          <w:tcPr>
            <w:tcW w:w="1135" w:type="dxa"/>
            <w:vAlign w:val="center"/>
          </w:tcPr>
          <w:p>
            <w:pPr>
              <w:jc w:val="center"/>
              <w:rPr>
                <w:bCs/>
                <w:szCs w:val="21"/>
              </w:rPr>
            </w:pPr>
            <w:r>
              <w:rPr>
                <w:rFonts w:hint="eastAsia" w:ascii="Times New Roman" w:hAnsi="Times New Roman" w:eastAsia="宋体" w:cs="Times New Roman"/>
                <w:szCs w:val="21"/>
                <w:lang w:eastAsia="zh-CN"/>
              </w:rPr>
              <w:t>是</w:t>
            </w:r>
          </w:p>
        </w:tc>
        <w:tc>
          <w:tcPr>
            <w:tcW w:w="993" w:type="dxa"/>
            <w:vAlign w:val="center"/>
          </w:tcPr>
          <w:p>
            <w:pPr>
              <w:jc w:val="center"/>
              <w:rPr>
                <w:bCs/>
                <w:szCs w:val="21"/>
              </w:rPr>
            </w:pPr>
            <w:r>
              <w:rPr>
                <w:rFonts w:hint="eastAsia" w:ascii="Times New Roman" w:hAnsi="Times New Roman" w:eastAsia="宋体" w:cs="Times New Roman"/>
                <w:szCs w:val="21"/>
              </w:rPr>
              <w:t>软件和信息技术服务业</w:t>
            </w:r>
          </w:p>
        </w:tc>
      </w:tr>
    </w:tbl>
    <w:p>
      <w:pPr>
        <w:rPr>
          <w:rFonts w:ascii="宋体" w:hAnsi="宋体"/>
          <w:b/>
          <w:color w:val="FF0000"/>
          <w:szCs w:val="21"/>
        </w:rPr>
      </w:pPr>
    </w:p>
    <w:p>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pPr>
        <w:rPr>
          <w:b/>
        </w:rPr>
      </w:pPr>
      <w:r>
        <w:rPr>
          <w:rFonts w:hint="eastAsia"/>
          <w:b/>
        </w:rPr>
        <w:t>注：上表所列内容为不可负偏离条款，负偏离将视为未实质性满足招标文件要求作投标无效处理。</w:t>
      </w:r>
      <w:bookmarkEnd w:id="32"/>
    </w:p>
    <w:p>
      <w:pPr>
        <w:rPr>
          <w:b/>
          <w:bCs/>
          <w:sz w:val="24"/>
        </w:rPr>
      </w:pPr>
    </w:p>
    <w:p>
      <w:pPr>
        <w:pStyle w:val="5"/>
        <w:spacing w:before="120" w:beforeLines="50" w:after="120" w:afterLines="50"/>
        <w:rPr>
          <w:szCs w:val="24"/>
        </w:rPr>
      </w:pPr>
      <w:r>
        <w:rPr>
          <w:rFonts w:hint="eastAsia"/>
          <w:szCs w:val="24"/>
        </w:rPr>
        <w:t>五、技术要求</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（一）项目目标</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本项目旨在为盐田区已建成并投入运行的“1+1+1+6+N”体系智慧城管平台，提供全方位、全周期的运维保障服务。中标人需依托其专业技术能力，确保该平台及其关联的软硬件资产持续、稳定、安全、高效运行，并有效支撑城市管理业务的日常运作与创新发展。具体：</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一是持续性保障：实现平台核心业务系统7×24小时不间断稳定运行。</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二是安全性保障：构建完善的数据安全与隐私保护体系，具备可靠的数据备份与快速恢复能力。</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三是响应性保障：建立快速响应机制，确保故障与事件的预警、处理全流程高效顺畅。</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四是性能性保障：通过主动的性能监控与优化，使系统性能持续满足业务增长与技术进步的需求。</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五是业务性支撑：提供敏捷的技术支持与系统的知识传递，保障智慧城管各项业务应用顺畅开展。</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（二）服务范围</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中标人须负责包括但不限于智慧城管业务子系统、PMI子系统、监督员管理子系统、综合评价子系统、环卫精细化管理子系统、环卫日常巡查子系统、绿化精细化管理子系统等在内的盐田智慧城管信息系统所有应用软件及支撑其运行的服务器、存储、网络、安全等硬件设备和存储环境、单位配套使用的大屏幕、多功能会议系统、单兵设备等正常运行，提供日常运维服务，并负责系统漏洞修复、业务流程梳理优化、系统用户使用支持、知识库内容维护、专项数据分析、定期安全巡检以及应急演练等服务。</w:t>
      </w:r>
    </w:p>
    <w:tbl>
      <w:tblPr>
        <w:tblStyle w:val="42"/>
        <w:tblW w:w="8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408"/>
        <w:gridCol w:w="839"/>
        <w:gridCol w:w="1216"/>
        <w:gridCol w:w="859"/>
        <w:gridCol w:w="1408"/>
        <w:gridCol w:w="1117"/>
        <w:gridCol w:w="683"/>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46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运维资产</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品牌</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资产总价（元）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软件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城市管理综合数据库</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智能化核心系统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指挥调度系统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数据分析与挖掘平台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智慧城管行业应用平台</w:t>
            </w: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环卫精细化管理系统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￥440,000.00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121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绿化精细化管理系统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智慧城管统一支撑平台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城管指挥调度平台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接口</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10</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与市级数字城管系统的对接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与市环卫精细化管理系统的对接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与市绿化精细化管理系统的对接</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图元定制开发</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高清一体化视频会议终端</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华为</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HUAWEI TE20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LED显示屏控制软件</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LED显示屏控制软件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硬件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执法单兵</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大华</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DH-DSJ</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话筒</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国产</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LED大屏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UHP1.2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Style w:val="197"/>
                <w:rFonts w:hint="eastAsia" w:asciiTheme="minorEastAsia" w:hAnsiTheme="minorEastAsia" w:eastAsiaTheme="minorEastAsia" w:cstheme="minorEastAsia"/>
                <w:sz w:val="21"/>
                <w:szCs w:val="21"/>
                <w:lang w:val="en-US" w:eastAsia="zh-CN" w:bidi="ar"/>
              </w:rPr>
              <w:t>17.784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￥1,333,800.00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LED集成控制系统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洲明科技LED集成控制系统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配电系统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LED显示屏远程PLC自动控制系统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拼接处理器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洲明科技</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LED显示屏控制系统</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框架/钢结构</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洲明定制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屏体布线</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ups电源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￥55,000.00 </w:t>
            </w:r>
          </w:p>
        </w:tc>
      </w:tr>
    </w:tbl>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（三）技术服务内容</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1.系统运行保障</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（1）软件平台运维</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①运行状态监控：合约期内提供全天候系统平台运行监测，每周执行健康检查，涵盖服务进程、运行日志及资源利用率等关键指标。</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②定期现场巡查：每月实施不少于两次的全面巡检，核查软件系统、硬件设备、数据存储及配套设施的运行状态，完整记录运行日志与巡检台账。</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③日志管理分析：对操作系统、数据库及应用系统日志进行持续采集、关联分析与归档管理。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（2）故障应急处理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建立标准化故障响应流程，对系统运行中出现的各类异常事件进行快速诊断与处置。</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（3）系统优化升级</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①性能优化服务：定期开展系统功能与性能评估，提供优化建议；负责系统更新、版本升级、数据迁移等任务，制定详细的实施方案与应急预案；承担系统对接接口的升级改造及新增对接工作。</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②第三方软件维护：负责系统运行所需的支撑软件维护，包括操作系统补丁更新、防病毒软件升级、数据库版本迭代及GIS平台更新。</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③变更管理：系统版本或配置变更前需及时通知采购人，同步提供更新说明文档；建立完善的软件变更应急处理机制。</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（4）数据资源管理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①数据库性能优化：实施数据库运行监控、慢SQL分析与优化、索引维护及存储空间管理，确保数据访问效率。</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②数据备份保障：制定并执行数据备份策略，每周完成数据备份并验证备份有效性。</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（5）系统安全防护</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①安全运维服务：负责系统安全运行维护，定期开展漏洞扫描、安全加固、病毒防护及漏洞修补，协助安全事件处置并优化安全策略，保障政务外网环境下系统网络、主机及应用安全。</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②安全评估配合：根据采购人要求，配合完成信息安全风险评估、等级保护测评及密码应用安全评估。</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2.硬件设施维护</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（1）基础设施巡检</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定期对设备机房环境（供电、空调、消防、安防）及服务器、存储设备、核心网络交换机等硬件进行物理检查与运行状态评估。</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（2）设备故障处理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负责硬件设备维护保养，对故障设备进行技术诊断，协调原厂服务商或自主开展维修及部件更换。</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（3）网络系统维护</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保障网络系统稳定运行，及时处理网络中断、通信延迟等故障，配合完成网络配置优化。</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（四）运营支持服务</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1.用户技术支持</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（1）系统技术支持：提供系统相关的技术支撑服务，包括信息化建设咨询、数字城管系统培训、业务流程指导及系统推广应用。</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（2）技术咨询服务：为各系统使用单位及终端用户提供全天候业务咨询、操作指导与问题受理等咨询服务。</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2.培训体系建设</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每年组织不少于两次集中式系统操作培训（面向新入职员工或新功能模块），并根据需要开展现场操作指导；培训活动由采购人组织，中标人负责培训资料准备、讲师安排及培训效果评估。</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3.知识库管理</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建立系统常见问题知识库，编制并持续更新系统操作指南、运维手册，及时响应用户咨询。</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4.数据分析服务</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根据采购人需求，提供系统运行分析报告，包括故障统计、性能趋势、业务量分析等内容，支持管理决策。</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5.应急保障机制</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在重大活动、重要会议、敏感时期及法定节假日期间，安排专职运维人员现场值守，提供全天候保障服务，制定专项保障方案。</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6.环境治理支持</w:t>
      </w:r>
    </w:p>
    <w:p>
      <w:pPr>
        <w:pStyle w:val="7"/>
        <w:spacing w:before="60" w:beforeLines="25" w:after="60" w:afterLines="25"/>
        <w:ind w:firstLine="392" w:firstLineChars="187"/>
        <w:rPr>
          <w:rFonts w:hint="default" w:ascii="宋体" w:hAnsi="宋体" w:eastAsia="宋体"/>
          <w:szCs w:val="21"/>
          <w:lang w:val="en-US" w:eastAsia="zh-CN"/>
        </w:rPr>
      </w:pPr>
      <w:r>
        <w:rPr>
          <w:rFonts w:hint="eastAsia" w:ascii="宋体" w:hAnsi="宋体" w:eastAsia="宋体"/>
          <w:szCs w:val="21"/>
          <w:lang w:val="en-US" w:eastAsia="zh-CN"/>
        </w:rPr>
        <w:t>基于质量监测分析、工单闭环管理和人员巡查管理三大系统，构建数据驱动的城市环境治理体系，实现市容环境问题的智能识别、精准分析、快速处理与全程跟踪。</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7.流程优化服务</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配合业务部门梳理并优化智慧城管业务流程，提供技术解决方案与实施支持；建立标准化的事件管理、问题管理及变更管理流程，完整记录运维活动并形成可追溯的服务档案。</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（五）服务标准规范</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1.响应时效要求</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（1）提供全年不间断远程技术支持，通过电话指导、远程操控等方式处理服务请求与系统故障。</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（2）建立全天候应急响应机制，现场支援人员30分钟内抵达现场；软件系统故障30分钟内响应，2小时内修复，复杂问题24小时内提出解决方案；硬件故障24小时内完成维修或更换。</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2.事件处理原则</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遵循"业务优先、修复跟进"原则，优先确保业务连续性，后进行根本原因分析与预防措施制定；现场操作遵守采购人管理规范，重大变更操作前需提供技术分析并获得批准。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3.文档报告要求</w:t>
      </w:r>
    </w:p>
    <w:p>
      <w:pPr>
        <w:pStyle w:val="7"/>
        <w:spacing w:before="60" w:beforeLines="25" w:after="60" w:afterLines="25"/>
        <w:ind w:firstLine="392" w:firstLineChars="187"/>
        <w:rPr>
          <w:rFonts w:hint="eastAsia" w:ascii="宋体" w:hAnsi="宋体" w:eastAsia="宋体"/>
          <w:color w:val="auto"/>
          <w:szCs w:val="21"/>
          <w:lang w:val="en-US" w:eastAsia="zh-CN"/>
        </w:rPr>
      </w:pPr>
      <w:r>
        <w:rPr>
          <w:rFonts w:hint="eastAsia" w:ascii="宋体" w:hAnsi="宋体" w:eastAsia="宋体"/>
          <w:szCs w:val="21"/>
          <w:lang w:val="en-US" w:eastAsia="zh-CN"/>
        </w:rPr>
        <w:t>故障处理结束后两个</w:t>
      </w:r>
      <w:r>
        <w:rPr>
          <w:rFonts w:hint="eastAsia" w:ascii="宋体" w:hAnsi="宋体" w:eastAsia="宋体"/>
          <w:color w:val="auto"/>
          <w:szCs w:val="21"/>
          <w:lang w:val="en-US" w:eastAsia="zh-CN"/>
        </w:rPr>
        <w:t>工作日内提交故障分析报告，说明故障原因、处理过程、解决措施及预防方案；系统恢复后持续跟踪运行状态；所有处理过程均需记录归档</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（六）资源配备要求</w:t>
      </w:r>
    </w:p>
    <w:p>
      <w:pPr>
        <w:pStyle w:val="7"/>
        <w:spacing w:before="60" w:beforeLines="25" w:after="60" w:afterLines="25"/>
        <w:ind w:firstLine="392" w:firstLineChars="187"/>
        <w:rPr>
          <w:rFonts w:hint="eastAsia" w:ascii="宋体" w:hAnsi="宋体" w:eastAsia="宋体"/>
          <w:color w:val="auto"/>
          <w:szCs w:val="21"/>
          <w:lang w:val="en-US" w:eastAsia="zh-CN"/>
        </w:rPr>
      </w:pPr>
      <w:r>
        <w:rPr>
          <w:rFonts w:hint="eastAsia" w:ascii="宋体" w:hAnsi="宋体" w:eastAsia="宋体"/>
          <w:color w:val="auto"/>
          <w:szCs w:val="21"/>
          <w:lang w:val="en-US" w:eastAsia="zh-CN"/>
        </w:rPr>
        <w:t>★1.团队人员配置</w:t>
      </w:r>
    </w:p>
    <w:p>
      <w:pPr>
        <w:pStyle w:val="7"/>
        <w:spacing w:before="60" w:beforeLines="25" w:after="60" w:afterLines="25"/>
        <w:ind w:firstLine="392" w:firstLineChars="187"/>
        <w:rPr>
          <w:rFonts w:hint="eastAsia" w:ascii="宋体" w:hAnsi="宋体" w:eastAsia="宋体"/>
          <w:color w:val="auto"/>
          <w:szCs w:val="21"/>
          <w:lang w:val="en-US" w:eastAsia="zh-CN"/>
        </w:rPr>
      </w:pPr>
      <w:r>
        <w:rPr>
          <w:rFonts w:hint="eastAsia" w:ascii="宋体" w:hAnsi="宋体" w:eastAsia="宋体"/>
          <w:color w:val="auto"/>
          <w:szCs w:val="21"/>
          <w:lang w:val="en-US" w:eastAsia="zh-CN"/>
        </w:rPr>
        <w:t>（1）运维团队采用“核心岗位+弹性技术岗位”的构成模式，总人数不低于5人：</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color w:val="auto"/>
          <w:szCs w:val="21"/>
          <w:lang w:val="en-US" w:eastAsia="zh-CN"/>
        </w:rPr>
        <w:t>核心岗位（不可兼任）：</w:t>
      </w:r>
      <w:r>
        <w:rPr>
          <w:rFonts w:hint="eastAsia" w:ascii="宋体" w:hAnsi="宋体" w:eastAsia="宋体"/>
          <w:szCs w:val="21"/>
          <w:lang w:val="en-US" w:eastAsia="zh-CN"/>
        </w:rPr>
        <w:t>项目经理1名、现场服务技术人员1名。</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弹性技术岗位：其余成员负责提供硬件、软件、数据、弱电及网络等领域的全面技术支持。此部分岗位允许成员在具备相应专业认证的前提下兼任，以确保团队能力的完备性与配置的高效性。</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（2）紧急情况下根据工作需要增派技术人员。</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2.人员资质标准</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（1）项目经理需具备5年及以上IT运维管理经验，持有高级信息系统项目管理师、高级大数据分析师或信息安全保障人员认证资格证书，具备基础设施规划实施能力和沟通协调能力。</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（2）技术服务人员需具备2年及以上信息化领域工作经验。</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（3）所有服务人员需提供无犯罪记录证明。</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团队成员劳动关系（包括劳动合同及社会保险）必须全部隶属于中标人。严禁中标人安排任何不符合此劳动关系要求的人员（如挂靠、借用、外包人员等）参与项目实施。一经发现，即视为中标人严重违约。</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3.团队管理规范</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（1）未经采购人批准不得调整核心团队成员，确需调整需提前30天提交书面申请。</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（2）采购人可根据工作表现要求更换人员，中标人应在一个月内完成调整。</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（3）中标人对团队成员的人身安全及信息安全承担全部责任。</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（七）专项服务保障</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1.现场服务安排</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（1）为确保服务的即时性与有效性，中标人在采购人所在地提供现场技术支持的服务覆盖率，须覆盖全部工作日的标准服务时段（即上午9:00至12:00，下午14:00至18:00）。</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（2）现场服务人员需经采购人审核确认，未经许可不得擅自调整。</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（3）在标准服务时段内，中标人应确保其现场技术服务人员可随时响应现场服务请求。所有服务交付活动须遵从采购人的现场管理规范。</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（4）标准服务时段外，中标人应确保7×24小时即时远程支持，如遇故障，需在10分钟内赶至现场处置。特殊时期需提升保障要求，采购人发布指令后，中标人应启动增强服务预案，按需调配资源提供现场支持。</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2.重大活动保障</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（1）根据活动特点制定专项保障方案，明确责任分工与处置流程。</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（2）特殊时期前一周完成全面巡检并提交报告，按要求配备专职人员现场值守。</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（3）建立安全应急响应机制，涵盖网络攻击、应用安全等事件的诊断分析与处置。</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3.政策响应服务</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及时响应各级主管部门关于信息系统规范更新及政策调整的要求；对采购人提出的临时性维护及变更需求，及时提出响应措施。</w:t>
      </w:r>
    </w:p>
    <w:p>
      <w:pPr>
        <w:keepNext w:val="0"/>
        <w:keepLines w:val="0"/>
        <w:pageBreakBefore w:val="0"/>
        <w:widowControl w:val="0"/>
        <w:kinsoku/>
        <w:wordWrap/>
        <w:overflowPunct/>
        <w:topLinePunct w:val="0"/>
        <w:autoSpaceDE/>
        <w:autoSpaceDN/>
        <w:bidi w:val="0"/>
        <w:adjustRightInd/>
        <w:snapToGrid/>
        <w:ind w:firstLine="421" w:firstLineChars="200"/>
        <w:textAlignment w:val="auto"/>
        <w:outlineLvl w:val="3"/>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（八）交付成果清单</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1.方案文档</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编制完整的运维服务工作方案，包含基础设施配置、运维工具、组织体系、人员安排、管理制度等要素，提供各类应急预案。</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2.过程文档</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提交完整的运维服务过程记录，包括项目阶段报告、服务工单、故障记录、运维报告、巡查记录、安全扫描与修复报告、应急预案及演练记录、知识库更新日志等。</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3.培训资料</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提供完整的培训体系文档，包括培训计划、实施记录及培训材料。</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4.检测报告</w:t>
      </w:r>
    </w:p>
    <w:p>
      <w:pPr>
        <w:pStyle w:val="7"/>
        <w:spacing w:before="60" w:beforeLines="25" w:after="60" w:afterLines="25"/>
        <w:ind w:firstLine="392" w:firstLineChars="187"/>
        <w:rPr>
          <w:rFonts w:hint="eastAsia" w:ascii="宋体" w:hAnsi="宋体" w:eastAsia="宋体"/>
          <w:szCs w:val="21"/>
          <w:lang w:val="en-US" w:eastAsia="zh-CN"/>
        </w:rPr>
      </w:pPr>
      <w:r>
        <w:rPr>
          <w:rFonts w:hint="eastAsia" w:ascii="宋体" w:hAnsi="宋体" w:eastAsia="宋体"/>
          <w:szCs w:val="21"/>
          <w:lang w:val="en-US" w:eastAsia="zh-CN"/>
        </w:rPr>
        <w:t>服务合约到期前，按照采购人要求提供系统安全运维相关的检测报告或评估证明。</w:t>
      </w:r>
    </w:p>
    <w:p>
      <w:pPr>
        <w:rPr>
          <w:b/>
          <w:sz w:val="24"/>
        </w:rPr>
      </w:pPr>
    </w:p>
    <w:p>
      <w:pPr>
        <w:pStyle w:val="5"/>
        <w:rPr>
          <w:color w:val="auto"/>
        </w:rPr>
      </w:pPr>
      <w:r>
        <w:rPr>
          <w:rFonts w:hint="eastAsia"/>
          <w:color w:val="auto"/>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pPr>
              <w:jc w:val="center"/>
              <w:rPr>
                <w:rFonts w:ascii="宋体" w:hAnsi="宋体"/>
                <w:b/>
                <w:bCs/>
                <w:color w:val="auto"/>
                <w:szCs w:val="21"/>
              </w:rPr>
            </w:pPr>
            <w:bookmarkStart w:id="34" w:name="OLE_LINK68"/>
            <w:r>
              <w:rPr>
                <w:rFonts w:hint="eastAsia" w:ascii="宋体" w:hAnsi="宋体"/>
                <w:b/>
                <w:bCs/>
                <w:color w:val="auto"/>
                <w:szCs w:val="21"/>
              </w:rPr>
              <w:t>序号</w:t>
            </w:r>
          </w:p>
        </w:tc>
        <w:tc>
          <w:tcPr>
            <w:tcW w:w="993" w:type="dxa"/>
            <w:vAlign w:val="center"/>
          </w:tcPr>
          <w:p>
            <w:pPr>
              <w:jc w:val="center"/>
              <w:rPr>
                <w:rFonts w:ascii="宋体" w:hAnsi="宋体"/>
                <w:b/>
                <w:bCs/>
                <w:color w:val="auto"/>
                <w:szCs w:val="21"/>
              </w:rPr>
            </w:pPr>
            <w:r>
              <w:rPr>
                <w:rFonts w:hint="eastAsia" w:ascii="宋体" w:hAnsi="宋体"/>
                <w:b/>
                <w:bCs/>
                <w:color w:val="auto"/>
                <w:szCs w:val="21"/>
              </w:rPr>
              <w:t>商务需求项</w:t>
            </w:r>
          </w:p>
        </w:tc>
        <w:tc>
          <w:tcPr>
            <w:tcW w:w="6609" w:type="dxa"/>
            <w:vAlign w:val="center"/>
          </w:tcPr>
          <w:p>
            <w:pPr>
              <w:jc w:val="center"/>
              <w:rPr>
                <w:rFonts w:ascii="宋体" w:hAnsi="宋体"/>
                <w:b/>
                <w:bCs/>
                <w:color w:val="auto"/>
                <w:szCs w:val="21"/>
              </w:rPr>
            </w:pPr>
            <w:r>
              <w:rPr>
                <w:rFonts w:hint="eastAsia" w:ascii="宋体" w:hAnsi="宋体"/>
                <w:b/>
                <w:bCs/>
                <w:color w:val="auto"/>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75" w:type="dxa"/>
            <w:vMerge w:val="restart"/>
            <w:vAlign w:val="center"/>
          </w:tcPr>
          <w:p>
            <w:pPr>
              <w:rPr>
                <w:rFonts w:ascii="宋体" w:hAnsi="宋体"/>
                <w:b/>
                <w:bCs/>
                <w:color w:val="auto"/>
                <w:szCs w:val="21"/>
              </w:rPr>
            </w:pPr>
            <w:r>
              <w:rPr>
                <w:rFonts w:hint="eastAsia" w:ascii="宋体" w:hAnsi="宋体"/>
                <w:b/>
                <w:bCs/>
                <w:color w:val="auto"/>
                <w:szCs w:val="21"/>
              </w:rPr>
              <w:t>1</w:t>
            </w:r>
          </w:p>
          <w:p>
            <w:pPr>
              <w:rPr>
                <w:rFonts w:ascii="宋体" w:hAnsi="宋体"/>
                <w:b/>
                <w:bCs/>
                <w:color w:val="auto"/>
                <w:szCs w:val="21"/>
              </w:rPr>
            </w:pPr>
          </w:p>
        </w:tc>
        <w:tc>
          <w:tcPr>
            <w:tcW w:w="993" w:type="dxa"/>
            <w:vMerge w:val="restart"/>
            <w:vAlign w:val="center"/>
          </w:tcPr>
          <w:p>
            <w:pPr>
              <w:rPr>
                <w:rFonts w:ascii="宋体" w:hAnsi="宋体"/>
                <w:b/>
                <w:bCs/>
                <w:color w:val="auto"/>
                <w:szCs w:val="21"/>
              </w:rPr>
            </w:pPr>
            <w:r>
              <w:rPr>
                <w:rFonts w:hint="eastAsia" w:ascii="宋体" w:hAnsi="宋体"/>
                <w:b/>
                <w:color w:val="auto"/>
                <w:sz w:val="20"/>
                <w:szCs w:val="20"/>
              </w:rPr>
              <w:t>必备条款</w:t>
            </w:r>
          </w:p>
        </w:tc>
        <w:tc>
          <w:tcPr>
            <w:tcW w:w="6609" w:type="dxa"/>
            <w:vAlign w:val="center"/>
          </w:tcPr>
          <w:p>
            <w:pPr>
              <w:rPr>
                <w:rFonts w:ascii="宋体" w:hAnsi="宋体"/>
                <w:b/>
                <w:bCs/>
                <w:color w:val="auto"/>
                <w:szCs w:val="21"/>
              </w:rPr>
            </w:pPr>
            <w:r>
              <w:rPr>
                <w:rFonts w:hint="eastAsia" w:ascii="宋体" w:hAnsi="宋体"/>
                <w:color w:val="auto"/>
              </w:rPr>
              <w:t>★</w:t>
            </w:r>
            <w:r>
              <w:rPr>
                <w:rFonts w:hint="eastAsia" w:ascii="宋体" w:hAnsi="宋体"/>
                <w:b/>
                <w:bCs/>
                <w:color w:val="auto"/>
                <w:szCs w:val="21"/>
              </w:rPr>
              <w:t>1.1服务期要求：</w:t>
            </w:r>
          </w:p>
          <w:p>
            <w:pPr>
              <w:rPr>
                <w:rFonts w:hint="eastAsia" w:ascii="宋体" w:hAnsi="宋体" w:cs="Times New Roman"/>
                <w:bCs/>
                <w:color w:val="auto"/>
                <w:szCs w:val="21"/>
              </w:rPr>
            </w:pPr>
            <w:r>
              <w:rPr>
                <w:rFonts w:hint="eastAsia" w:ascii="宋体" w:hAnsi="宋体" w:cs="Times New Roman"/>
                <w:bCs/>
                <w:color w:val="auto"/>
                <w:szCs w:val="21"/>
              </w:rPr>
              <w:t>本项目为长期服务项目，合同实行一年一签，每满一年后根据项目需要和中标人的履约情况确定合同是否续签，最长不超过三年。第一年服务期限为2026年1月1日至2026年12月31日。</w:t>
            </w:r>
          </w:p>
          <w:p>
            <w:pPr>
              <w:rPr>
                <w:rFonts w:ascii="宋体" w:hAnsi="宋体"/>
                <w:bCs/>
                <w:color w:val="auto"/>
                <w:szCs w:val="21"/>
              </w:rPr>
            </w:pPr>
            <w:r>
              <w:rPr>
                <w:rFonts w:hint="eastAsia" w:ascii="宋体" w:hAnsi="宋体" w:cs="Times New Roman"/>
                <w:bCs/>
                <w:color w:val="auto"/>
                <w:szCs w:val="21"/>
              </w:rPr>
              <w:t>因行政管理需要、重大政策调整或项目变更等原因，需在合同期满前终止合作的，采购人有权提前终止合同，此行为不视为采购人违约，中标人不得因此向采购人提出任何索赔或要求经济赔偿。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pPr>
              <w:rPr>
                <w:rFonts w:ascii="宋体" w:hAnsi="宋体"/>
                <w:b/>
                <w:bCs/>
                <w:color w:val="auto"/>
                <w:szCs w:val="21"/>
              </w:rPr>
            </w:pPr>
          </w:p>
        </w:tc>
        <w:tc>
          <w:tcPr>
            <w:tcW w:w="993" w:type="dxa"/>
            <w:vMerge w:val="continue"/>
            <w:vAlign w:val="center"/>
          </w:tcPr>
          <w:p>
            <w:pPr>
              <w:rPr>
                <w:rFonts w:ascii="宋体" w:hAnsi="宋体"/>
                <w:b/>
                <w:bCs/>
                <w:color w:val="auto"/>
                <w:szCs w:val="21"/>
              </w:rPr>
            </w:pPr>
          </w:p>
        </w:tc>
        <w:tc>
          <w:tcPr>
            <w:tcW w:w="6609" w:type="dxa"/>
            <w:vAlign w:val="center"/>
          </w:tcPr>
          <w:p>
            <w:pPr>
              <w:rPr>
                <w:rFonts w:ascii="宋体" w:hAnsi="宋体"/>
                <w:b/>
                <w:bCs/>
                <w:color w:val="auto"/>
                <w:szCs w:val="21"/>
              </w:rPr>
            </w:pPr>
            <w:r>
              <w:rPr>
                <w:rFonts w:hint="eastAsia" w:ascii="宋体" w:hAnsi="宋体"/>
                <w:b/>
                <w:bCs/>
                <w:color w:val="auto"/>
                <w:szCs w:val="21"/>
              </w:rPr>
              <w:t>1.2服务地点：</w:t>
            </w:r>
            <w:r>
              <w:rPr>
                <w:rFonts w:hint="eastAsia" w:asciiTheme="minorEastAsia" w:hAnsiTheme="minorEastAsia" w:eastAsiaTheme="minorEastAsia" w:cstheme="minorEastAsia"/>
                <w:b w:val="0"/>
                <w:bCs w:val="0"/>
                <w:color w:val="auto"/>
                <w:sz w:val="21"/>
                <w:szCs w:val="21"/>
              </w:rPr>
              <w:t>深圳市盐田区沙头角街道建工大厦（恩上路一巷）9楼。投标人需向采购人</w:t>
            </w:r>
            <w:r>
              <w:rPr>
                <w:rFonts w:hint="eastAsia" w:asciiTheme="minorEastAsia" w:hAnsiTheme="minorEastAsia" w:eastAsiaTheme="minorEastAsia" w:cstheme="minorEastAsia"/>
                <w:b w:val="0"/>
                <w:bCs w:val="0"/>
                <w:color w:val="auto"/>
                <w:sz w:val="21"/>
                <w:szCs w:val="21"/>
                <w:lang w:eastAsia="zh-CN"/>
              </w:rPr>
              <w:t>提供现场</w:t>
            </w:r>
            <w:r>
              <w:rPr>
                <w:rFonts w:hint="eastAsia" w:asciiTheme="minorEastAsia" w:hAnsiTheme="minorEastAsia" w:eastAsiaTheme="minorEastAsia" w:cstheme="minorEastAsia"/>
                <w:b w:val="0"/>
                <w:bCs w:val="0"/>
                <w:color w:val="auto"/>
                <w:sz w:val="21"/>
                <w:szCs w:val="21"/>
              </w:rPr>
              <w:t>服务，服务团队所需的工作场所、费用由投标人自行解决。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pPr>
              <w:rPr>
                <w:rFonts w:ascii="宋体" w:hAnsi="宋体"/>
                <w:b/>
                <w:bCs/>
                <w:color w:val="auto"/>
                <w:szCs w:val="21"/>
              </w:rPr>
            </w:pPr>
            <w:bookmarkStart w:id="35" w:name="_Hlk107481613"/>
          </w:p>
        </w:tc>
        <w:tc>
          <w:tcPr>
            <w:tcW w:w="993" w:type="dxa"/>
            <w:vMerge w:val="continue"/>
            <w:vAlign w:val="center"/>
          </w:tcPr>
          <w:p>
            <w:pPr>
              <w:rPr>
                <w:rFonts w:ascii="宋体" w:hAnsi="宋体"/>
                <w:b/>
                <w:bCs/>
                <w:color w:val="auto"/>
                <w:szCs w:val="21"/>
              </w:rPr>
            </w:pPr>
          </w:p>
        </w:tc>
        <w:tc>
          <w:tcPr>
            <w:tcW w:w="6609" w:type="dxa"/>
            <w:vAlign w:val="center"/>
          </w:tcPr>
          <w:p>
            <w:pPr>
              <w:rPr>
                <w:rFonts w:asciiTheme="minorEastAsia" w:hAnsiTheme="minorEastAsia" w:eastAsiaTheme="minorEastAsia"/>
                <w:b/>
                <w:color w:val="auto"/>
              </w:rPr>
            </w:pPr>
            <w:r>
              <w:rPr>
                <w:rFonts w:hint="eastAsia" w:asciiTheme="minorEastAsia" w:hAnsiTheme="minorEastAsia" w:eastAsiaTheme="minorEastAsia"/>
                <w:b/>
                <w:color w:val="auto"/>
              </w:rPr>
              <w:t>1.3付款期限和方式：</w:t>
            </w:r>
          </w:p>
          <w:p>
            <w:pPr>
              <w:rPr>
                <w:rFonts w:hint="eastAsia" w:ascii="宋体" w:hAnsi="宋体"/>
                <w:bCs/>
                <w:color w:val="auto"/>
                <w:szCs w:val="21"/>
              </w:rPr>
            </w:pPr>
            <w:r>
              <w:rPr>
                <w:rFonts w:hint="eastAsia" w:ascii="宋体" w:hAnsi="宋体"/>
                <w:bCs/>
                <w:color w:val="auto"/>
                <w:szCs w:val="21"/>
              </w:rPr>
              <w:t>合同款项按季度进行付款，其中，第一季度支付合同总额的20%，第二季度支付合同总额的20%；第三季度支付合同总额的20%；第四季度支付合同总额的20%；项目验收后支付合同总额的20%。</w:t>
            </w:r>
          </w:p>
          <w:p>
            <w:pPr>
              <w:rPr>
                <w:rFonts w:ascii="宋体" w:hAnsi="宋体"/>
                <w:bCs/>
                <w:color w:val="auto"/>
                <w:szCs w:val="21"/>
              </w:rPr>
            </w:pPr>
            <w:r>
              <w:rPr>
                <w:rFonts w:hint="eastAsia" w:ascii="宋体" w:hAnsi="宋体"/>
                <w:color w:val="auto"/>
              </w:rPr>
              <w:t>★</w:t>
            </w:r>
            <w:r>
              <w:rPr>
                <w:rFonts w:hint="eastAsia" w:ascii="宋体" w:hAnsi="宋体"/>
                <w:bCs/>
                <w:color w:val="auto"/>
                <w:szCs w:val="21"/>
              </w:rPr>
              <w:t>服务商须提供合法有效的发票。采购人按财政资金支付程序办理付款，因中标人未及时提供发票或采购人财政拨款未及时到位、财政审批流程等原因导致延期付款的，不视为采购人违约，中标人不得以此为由拒绝履行合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pPr>
              <w:rPr>
                <w:rFonts w:ascii="宋体" w:hAnsi="宋体"/>
                <w:b/>
                <w:bCs/>
                <w:color w:val="auto"/>
                <w:szCs w:val="21"/>
              </w:rPr>
            </w:pPr>
          </w:p>
        </w:tc>
        <w:tc>
          <w:tcPr>
            <w:tcW w:w="993" w:type="dxa"/>
            <w:vMerge w:val="continue"/>
            <w:vAlign w:val="center"/>
          </w:tcPr>
          <w:p>
            <w:pPr>
              <w:rPr>
                <w:rFonts w:ascii="宋体" w:hAnsi="宋体"/>
                <w:b/>
                <w:bCs/>
                <w:color w:val="auto"/>
                <w:szCs w:val="21"/>
              </w:rPr>
            </w:pPr>
          </w:p>
        </w:tc>
        <w:tc>
          <w:tcPr>
            <w:tcW w:w="6609" w:type="dxa"/>
            <w:vAlign w:val="center"/>
          </w:tcPr>
          <w:p>
            <w:pPr>
              <w:rPr>
                <w:rFonts w:ascii="宋体" w:hAnsi="宋体"/>
                <w:b/>
                <w:bCs/>
                <w:color w:val="auto"/>
                <w:szCs w:val="21"/>
              </w:rPr>
            </w:pPr>
            <w:r>
              <w:rPr>
                <w:rFonts w:hint="eastAsia" w:ascii="宋体" w:hAnsi="宋体"/>
                <w:color w:val="auto"/>
              </w:rPr>
              <w:t>★</w:t>
            </w:r>
            <w:r>
              <w:rPr>
                <w:rFonts w:hint="eastAsia" w:ascii="宋体" w:hAnsi="宋体"/>
                <w:b/>
                <w:bCs/>
                <w:color w:val="auto"/>
                <w:szCs w:val="21"/>
              </w:rPr>
              <w:t>1.4</w:t>
            </w:r>
            <w:r>
              <w:rPr>
                <w:rFonts w:hint="eastAsia" w:asciiTheme="minorEastAsia" w:hAnsiTheme="minorEastAsia" w:eastAsiaTheme="minorEastAsia"/>
                <w:b/>
                <w:color w:val="auto"/>
              </w:rPr>
              <w:t>验收条件：</w:t>
            </w:r>
          </w:p>
          <w:p>
            <w:pPr>
              <w:rPr>
                <w:rFonts w:ascii="宋体" w:hAnsi="宋体"/>
                <w:color w:val="auto"/>
              </w:rPr>
            </w:pPr>
            <w:r>
              <w:rPr>
                <w:rFonts w:hint="eastAsia" w:ascii="宋体" w:hAnsi="宋体"/>
                <w:color w:val="auto"/>
              </w:rPr>
              <w:t>1.服务经过双方检验认可后，签署验收文件。</w:t>
            </w:r>
          </w:p>
          <w:p>
            <w:pPr>
              <w:rPr>
                <w:rFonts w:ascii="宋体" w:hAnsi="宋体"/>
                <w:color w:val="auto"/>
              </w:rPr>
            </w:pPr>
            <w:r>
              <w:rPr>
                <w:rFonts w:hint="eastAsia" w:ascii="宋体" w:hAnsi="宋体"/>
                <w:color w:val="auto"/>
              </w:rPr>
              <w:t>2.当满足以下条件时，采购人才向中标人签发验收文件：</w:t>
            </w:r>
          </w:p>
          <w:p>
            <w:pPr>
              <w:tabs>
                <w:tab w:val="left" w:pos="1260"/>
              </w:tabs>
              <w:rPr>
                <w:rFonts w:ascii="宋体" w:hAnsi="宋体"/>
                <w:color w:val="auto"/>
              </w:rPr>
            </w:pPr>
            <w:r>
              <w:rPr>
                <w:rFonts w:hint="eastAsia" w:ascii="宋体" w:hAnsi="宋体"/>
                <w:color w:val="auto"/>
              </w:rPr>
              <w:t>（1）中标人已按照合同规定提供了全部技术资料。</w:t>
            </w:r>
          </w:p>
          <w:p>
            <w:pPr>
              <w:tabs>
                <w:tab w:val="left" w:pos="1260"/>
              </w:tabs>
              <w:rPr>
                <w:rFonts w:ascii="宋体" w:hAnsi="宋体"/>
                <w:color w:val="auto"/>
              </w:rPr>
            </w:pPr>
            <w:r>
              <w:rPr>
                <w:rFonts w:hint="eastAsia" w:ascii="宋体" w:hAnsi="宋体"/>
                <w:color w:val="auto"/>
              </w:rPr>
              <w:t>（2）服务项目符合招标文件的服务要求。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pPr>
              <w:rPr>
                <w:rFonts w:ascii="宋体" w:hAnsi="宋体"/>
                <w:b/>
                <w:bCs/>
                <w:color w:val="auto"/>
                <w:szCs w:val="21"/>
              </w:rPr>
            </w:pPr>
          </w:p>
        </w:tc>
        <w:tc>
          <w:tcPr>
            <w:tcW w:w="993" w:type="dxa"/>
            <w:vMerge w:val="continue"/>
            <w:vAlign w:val="center"/>
          </w:tcPr>
          <w:p>
            <w:pPr>
              <w:rPr>
                <w:rFonts w:ascii="宋体" w:hAnsi="宋体"/>
                <w:b/>
                <w:bCs/>
                <w:color w:val="auto"/>
                <w:szCs w:val="21"/>
              </w:rPr>
            </w:pPr>
          </w:p>
        </w:tc>
        <w:tc>
          <w:tcPr>
            <w:tcW w:w="66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Cs/>
                <w:color w:val="auto"/>
                <w:sz w:val="21"/>
                <w:szCs w:val="21"/>
              </w:rPr>
            </w:pPr>
            <w:r>
              <w:rPr>
                <w:rFonts w:hint="eastAsia" w:ascii="宋体" w:hAnsi="宋体"/>
                <w:color w:val="auto"/>
              </w:rPr>
              <w:t>★</w:t>
            </w:r>
            <w:r>
              <w:rPr>
                <w:rFonts w:hint="eastAsia" w:asciiTheme="minorEastAsia" w:hAnsiTheme="minorEastAsia" w:eastAsiaTheme="minorEastAsia" w:cstheme="minorEastAsia"/>
                <w:b/>
                <w:bCs/>
                <w:color w:val="auto"/>
                <w:sz w:val="21"/>
                <w:szCs w:val="21"/>
              </w:rPr>
              <w:t>1.5</w:t>
            </w:r>
            <w:r>
              <w:rPr>
                <w:rFonts w:hint="eastAsia" w:asciiTheme="minorEastAsia" w:hAnsiTheme="minorEastAsia" w:eastAsiaTheme="minorEastAsia" w:cstheme="minorEastAsia"/>
                <w:b/>
                <w:color w:val="auto"/>
                <w:sz w:val="21"/>
                <w:szCs w:val="21"/>
              </w:rPr>
              <w:t>违约责任：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中标人若未按本合同约定履行义务，或如因中标人原因造成服务达不到采购人管理目标</w:t>
            </w:r>
            <w:r>
              <w:rPr>
                <w:rFonts w:hint="eastAsia" w:asciiTheme="minorEastAsia" w:hAnsiTheme="minorEastAsia" w:eastAsiaTheme="minorEastAsia" w:cstheme="minorEastAsia"/>
                <w:color w:val="auto"/>
                <w:sz w:val="21"/>
                <w:szCs w:val="21"/>
                <w:lang w:eastAsia="zh-CN"/>
              </w:rPr>
              <w:t>的，须按采购人要求无偿整改完善</w:t>
            </w:r>
            <w:r>
              <w:rPr>
                <w:rFonts w:hint="eastAsia" w:asciiTheme="minorEastAsia" w:hAnsiTheme="minorEastAsia" w:eastAsiaTheme="minorEastAsia" w:cstheme="minorEastAsia"/>
                <w:color w:val="auto"/>
                <w:sz w:val="21"/>
                <w:szCs w:val="21"/>
              </w:rPr>
              <w:t>。在限期时间内没有整改，采购人有权解除合同。如造成经济损失，采购人有权向中标人索赔。</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2.中标人在项目实施过程中发生侵犯第三方知识产权或其他权益、泄露保密信息造成重大影响、发生重大事故等情形，视为严重违约，采购人有权单方解约、追回已付款项并索赔全部损失。</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3.中标人未按时或按标准交付服务，每次扣除2000元；因运维不当导致系统故障造成恶劣影响的，每次扣除2000元；若实际损失超过违约金，需另行赔偿。</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因中标人运维不当（包括但不限于违规操作、未及时处置预警、未履行日常巡检义务等）导致系统发生故障，并对采购人业务运行、公众形象或数据安全造成重大负面影响的，每次均属违约行为。对此，采购人有权从合同价款中核减2000元作为违约金；若因此造成的直接损失超出该金额，中标人还须对超出部分承担全额赔偿责任。</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
                <w:color w:val="auto"/>
              </w:rPr>
            </w:pPr>
            <w:r>
              <w:rPr>
                <w:rFonts w:hint="eastAsia" w:asciiTheme="minorEastAsia" w:hAnsiTheme="minorEastAsia" w:eastAsiaTheme="minorEastAsia" w:cstheme="minorEastAsia"/>
                <w:color w:val="auto"/>
                <w:sz w:val="21"/>
                <w:szCs w:val="21"/>
                <w:lang w:val="en-US" w:eastAsia="zh-CN"/>
              </w:rPr>
              <w:t>5.若中标人提出的赔偿主张经确认不能成立，则应全额补偿采购人为此所支付的一切合理费用，包括但不限于诉讼费、律师费、差旅费等相关开支。此外，采购人采取的任何违约追责措施，均不解除中标人继续履行本合同项下全部义务的责任。无论合同是否终止，采购人行使要求支付违约金或赔偿金的权利，与其要求对方继续履行合同、采取补救措施或索赔其他未涵盖损失的权利互不排斥，均可并行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pPr>
              <w:rPr>
                <w:rFonts w:ascii="宋体" w:hAnsi="宋体"/>
                <w:b/>
                <w:bCs/>
                <w:color w:val="auto"/>
                <w:szCs w:val="21"/>
              </w:rPr>
            </w:pPr>
          </w:p>
        </w:tc>
        <w:tc>
          <w:tcPr>
            <w:tcW w:w="993" w:type="dxa"/>
            <w:vMerge w:val="continue"/>
            <w:vAlign w:val="center"/>
          </w:tcPr>
          <w:p>
            <w:pPr>
              <w:rPr>
                <w:rFonts w:ascii="宋体" w:hAnsi="宋体"/>
                <w:b/>
                <w:bCs/>
                <w:color w:val="auto"/>
                <w:szCs w:val="21"/>
              </w:rPr>
            </w:pPr>
          </w:p>
        </w:tc>
        <w:tc>
          <w:tcPr>
            <w:tcW w:w="6609" w:type="dxa"/>
            <w:vAlign w:val="center"/>
          </w:tcPr>
          <w:p>
            <w:pPr>
              <w:rPr>
                <w:rFonts w:asciiTheme="minorEastAsia" w:hAnsiTheme="minorEastAsia" w:eastAsiaTheme="minorEastAsia"/>
                <w:b/>
                <w:color w:val="auto"/>
              </w:rPr>
            </w:pPr>
            <w:bookmarkStart w:id="36" w:name="OLE_LINK54"/>
            <w:r>
              <w:rPr>
                <w:rFonts w:hint="eastAsia" w:ascii="宋体" w:hAnsi="宋体"/>
                <w:color w:val="auto"/>
              </w:rPr>
              <w:t>★</w:t>
            </w:r>
            <w:r>
              <w:rPr>
                <w:rFonts w:hint="eastAsia" w:ascii="宋体" w:hAnsi="宋体"/>
                <w:bCs/>
                <w:color w:val="auto"/>
                <w:szCs w:val="21"/>
              </w:rPr>
              <w:t>1.6</w:t>
            </w:r>
            <w:r>
              <w:rPr>
                <w:rFonts w:hint="eastAsia" w:asciiTheme="minorEastAsia" w:hAnsiTheme="minorEastAsia" w:eastAsiaTheme="minorEastAsia"/>
                <w:b/>
                <w:color w:val="auto"/>
              </w:rPr>
              <w:t>争议解决方法：</w:t>
            </w:r>
          </w:p>
          <w:bookmarkEnd w:id="36"/>
          <w:p>
            <w:pPr>
              <w:rPr>
                <w:rFonts w:asciiTheme="minorEastAsia" w:hAnsiTheme="minorEastAsia" w:eastAsiaTheme="minorEastAsia"/>
                <w:b/>
                <w:color w:val="auto"/>
              </w:rPr>
            </w:pPr>
            <w:r>
              <w:rPr>
                <w:rFonts w:hint="eastAsia" w:ascii="宋体" w:hAnsi="宋体"/>
                <w:color w:val="auto"/>
              </w:rPr>
              <w:t>如在服务履行过程中发生争议，双方本着友好合作原则协商解决，如不能通过协商解决争议时，双方同意在</w:t>
            </w:r>
            <w:r>
              <w:rPr>
                <w:rFonts w:hint="eastAsia" w:ascii="宋体" w:hAnsi="宋体"/>
                <w:color w:val="auto"/>
                <w:lang w:eastAsia="zh-CN"/>
              </w:rPr>
              <w:t>盐田区</w:t>
            </w:r>
            <w:r>
              <w:rPr>
                <w:rFonts w:hint="eastAsia" w:ascii="宋体" w:hAnsi="宋体"/>
                <w:color w:val="auto"/>
              </w:rPr>
              <w:t>人民法院诉讼解决。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pPr>
              <w:rPr>
                <w:rFonts w:ascii="宋体" w:hAnsi="宋体"/>
                <w:b/>
                <w:bCs/>
                <w:color w:val="auto"/>
                <w:szCs w:val="21"/>
              </w:rPr>
            </w:pPr>
            <w:r>
              <w:rPr>
                <w:rFonts w:hint="eastAsia" w:ascii="宋体" w:hAnsi="宋体"/>
                <w:b/>
                <w:bCs/>
                <w:color w:val="auto"/>
                <w:szCs w:val="21"/>
              </w:rPr>
              <w:t>2</w:t>
            </w:r>
          </w:p>
        </w:tc>
        <w:tc>
          <w:tcPr>
            <w:tcW w:w="993" w:type="dxa"/>
            <w:vAlign w:val="center"/>
          </w:tcPr>
          <w:p>
            <w:pPr>
              <w:rPr>
                <w:rFonts w:ascii="宋体" w:hAnsi="宋体"/>
                <w:b/>
                <w:bCs/>
                <w:color w:val="auto"/>
                <w:szCs w:val="21"/>
              </w:rPr>
            </w:pPr>
            <w:r>
              <w:rPr>
                <w:rFonts w:hint="eastAsia" w:ascii="宋体" w:hAnsi="宋体"/>
                <w:b/>
                <w:bCs/>
                <w:color w:val="auto"/>
                <w:szCs w:val="21"/>
              </w:rPr>
              <w:t>其他</w:t>
            </w:r>
          </w:p>
        </w:tc>
        <w:tc>
          <w:tcPr>
            <w:tcW w:w="660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宋体" w:hAnsi="宋体"/>
                <w:color w:val="auto"/>
              </w:rPr>
              <w:t>★</w:t>
            </w:r>
            <w:r>
              <w:rPr>
                <w:rFonts w:hint="eastAsia" w:asciiTheme="minorEastAsia" w:hAnsiTheme="minorEastAsia" w:eastAsiaTheme="minorEastAsia" w:cstheme="minorEastAsia"/>
                <w:b/>
                <w:bCs/>
                <w:color w:val="auto"/>
                <w:sz w:val="21"/>
                <w:szCs w:val="21"/>
                <w:lang w:val="en-US" w:eastAsia="zh-CN"/>
              </w:rPr>
              <w:t>2.1 知识产权：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1.执行本项目所产生的所有成果知识产权归采购人所有。中标人为采购人提供服务所依据的相关文件材料及载体，其知识产权、商业秘密及非公开信息等合法权益归中标人和相关知识产权方所有。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2.中标人须保证其使用的技术、服务不侵犯任何第三方知识产权，否则承担全部法律责任，并赔偿由此给采购人造成的一切损失。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color w:val="auto"/>
              </w:rPr>
              <w:t>★</w:t>
            </w:r>
            <w:r>
              <w:rPr>
                <w:rFonts w:hint="eastAsia" w:asciiTheme="minorEastAsia" w:hAnsiTheme="minorEastAsia" w:eastAsiaTheme="minorEastAsia" w:cstheme="minorEastAsia"/>
                <w:b/>
                <w:bCs/>
                <w:color w:val="auto"/>
                <w:sz w:val="21"/>
                <w:szCs w:val="21"/>
                <w:lang w:val="en-US" w:eastAsia="zh-CN"/>
              </w:rPr>
              <w:t>2.2 保密义务：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中标人必须对因本项目获悉的采购人一切保密信息承担严格保密责任，未经书面许可不得向任何第三方披露。具体保密约定由双方在签订合同时协商确定。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color w:val="auto"/>
                <w:sz w:val="21"/>
                <w:szCs w:val="21"/>
                <w:lang w:val="en-US" w:eastAsia="zh-CN"/>
              </w:rPr>
            </w:pPr>
            <w:r>
              <w:rPr>
                <w:rFonts w:hint="eastAsia" w:ascii="宋体" w:hAnsi="宋体"/>
                <w:color w:val="auto"/>
              </w:rPr>
              <w:t>★</w:t>
            </w:r>
            <w:r>
              <w:rPr>
                <w:rFonts w:hint="eastAsia" w:asciiTheme="minorEastAsia" w:hAnsiTheme="minorEastAsia" w:eastAsiaTheme="minorEastAsia" w:cstheme="minorEastAsia"/>
                <w:b/>
                <w:bCs/>
                <w:color w:val="auto"/>
                <w:sz w:val="21"/>
                <w:szCs w:val="21"/>
                <w:lang w:val="en-US" w:eastAsia="zh-CN"/>
              </w:rPr>
              <w:t>2.3其他要求：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1.中标人不得擅自分包或转包本项目；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2.中标人应确保投标信息真实有效，否则采购人有权终止合同并索赔。</w:t>
            </w:r>
          </w:p>
        </w:tc>
      </w:tr>
      <w:bookmarkEnd w:id="34"/>
      <w:bookmarkEnd w:id="35"/>
    </w:tbl>
    <w:p>
      <w:pPr>
        <w:ind w:firstLine="420" w:firstLineChars="200"/>
        <w:rPr>
          <w:rFonts w:asciiTheme="minorEastAsia" w:hAnsiTheme="minorEastAsia" w:eastAsiaTheme="minorEastAsia"/>
          <w:color w:val="auto"/>
        </w:rPr>
      </w:pPr>
    </w:p>
    <w:p>
      <w:pPr>
        <w:ind w:firstLine="420" w:firstLineChars="200"/>
        <w:rPr>
          <w:rFonts w:asciiTheme="minorEastAsia" w:hAnsiTheme="minorEastAsia" w:eastAsiaTheme="minorEastAsia"/>
        </w:rPr>
      </w:pPr>
    </w:p>
    <w:p/>
    <w:p>
      <w:pPr>
        <w:widowControl/>
        <w:jc w:val="left"/>
        <w:rPr>
          <w:rFonts w:ascii="宋体" w:hAnsi="宋体"/>
          <w:b/>
          <w:bCs/>
          <w:kern w:val="0"/>
          <w:sz w:val="24"/>
        </w:rPr>
      </w:pPr>
      <w:r>
        <w:br w:type="page"/>
      </w:r>
    </w:p>
    <w:p>
      <w:pPr>
        <w:pStyle w:val="5"/>
        <w:spacing w:before="120" w:beforeLines="50" w:after="120" w:afterLines="50"/>
        <w:rPr>
          <w:szCs w:val="24"/>
        </w:rPr>
      </w:pPr>
      <w:r>
        <w:rPr>
          <w:rFonts w:hint="eastAsia"/>
          <w:szCs w:val="24"/>
        </w:rPr>
        <w:t>七、其他重要条款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pPr>
        <w:pStyle w:val="7"/>
        <w:spacing w:before="60" w:beforeLines="25" w:after="60" w:afterLines="25"/>
        <w:ind w:firstLine="392" w:firstLineChars="187"/>
        <w:rPr>
          <w:rFonts w:ascii="宋体" w:hAnsi="宋体"/>
          <w:szCs w:val="21"/>
        </w:rPr>
      </w:pPr>
    </w:p>
    <w:p>
      <w:r>
        <w:rPr>
          <w:rFonts w:hint="eastAsia"/>
        </w:rPr>
        <w:br w:type="page"/>
      </w:r>
    </w:p>
    <w:p>
      <w:pPr>
        <w:pStyle w:val="5"/>
        <w:rPr>
          <w:kern w:val="2"/>
        </w:rPr>
      </w:pPr>
      <w:r>
        <w:rPr>
          <w:rFonts w:hint="eastAsia"/>
          <w:kern w:val="2"/>
        </w:rPr>
        <w:t>第四章 投标文件组成要求及格式</w:t>
      </w:r>
    </w:p>
    <w:p>
      <w:pPr>
        <w:rPr>
          <w:rStyle w:val="56"/>
          <w:sz w:val="24"/>
        </w:rPr>
      </w:pPr>
      <w:r>
        <w:rPr>
          <w:rStyle w:val="56"/>
          <w:rFonts w:hint="eastAsia"/>
          <w:sz w:val="24"/>
        </w:rPr>
        <w:t>特别提醒：</w:t>
      </w:r>
    </w:p>
    <w:p>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rPr>
      </w:pPr>
    </w:p>
    <w:p>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pPr>
        <w:ind w:firstLine="480" w:firstLineChars="200"/>
        <w:rPr>
          <w:rFonts w:ascii="仿宋_GB2312" w:eastAsia="仿宋_GB2312"/>
          <w:sz w:val="24"/>
        </w:rPr>
      </w:pPr>
    </w:p>
    <w:p>
      <w:pPr>
        <w:ind w:firstLine="481" w:firstLineChars="200"/>
        <w:rPr>
          <w:rFonts w:ascii="宋体" w:hAnsi="宋体"/>
          <w:b/>
          <w:sz w:val="24"/>
        </w:rPr>
      </w:pPr>
    </w:p>
    <w:p>
      <w:pPr>
        <w:widowControl/>
        <w:jc w:val="left"/>
        <w:rPr>
          <w:rFonts w:ascii="宋体" w:hAnsi="宋体"/>
          <w:sz w:val="24"/>
        </w:rPr>
      </w:pPr>
      <w:r>
        <w:rPr>
          <w:rFonts w:ascii="宋体" w:hAnsi="宋体"/>
          <w:sz w:val="24"/>
        </w:rPr>
        <w:br w:type="page"/>
      </w:r>
    </w:p>
    <w:p>
      <w:pPr>
        <w:rPr>
          <w:rFonts w:ascii="宋体" w:hAnsi="宋体"/>
          <w:sz w:val="24"/>
        </w:rPr>
      </w:pPr>
      <w:r>
        <w:rPr>
          <w:rFonts w:hint="eastAsia" w:ascii="宋体" w:hAnsi="宋体"/>
          <w:sz w:val="24"/>
        </w:rPr>
        <w:t>投标文件组成：</w:t>
      </w:r>
    </w:p>
    <w:p>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pPr>
        <w:ind w:left="718" w:leftChars="342" w:firstLine="1417" w:firstLineChars="675"/>
        <w:rPr>
          <w:szCs w:val="21"/>
        </w:rPr>
      </w:pPr>
      <w:r>
        <w:rPr>
          <w:rFonts w:hint="eastAsia"/>
          <w:szCs w:val="21"/>
        </w:rPr>
        <w:t>（1）</w:t>
      </w:r>
      <w:bookmarkStart w:id="37" w:name="_Hlk72070784"/>
      <w:r>
        <w:rPr>
          <w:rFonts w:hint="eastAsia"/>
          <w:szCs w:val="21"/>
        </w:rPr>
        <w:t>投标函</w:t>
      </w:r>
      <w:bookmarkEnd w:id="37"/>
    </w:p>
    <w:p>
      <w:pPr>
        <w:ind w:left="718" w:leftChars="342" w:firstLine="1417" w:firstLineChars="675"/>
        <w:rPr>
          <w:szCs w:val="21"/>
        </w:rPr>
      </w:pPr>
      <w:r>
        <w:rPr>
          <w:rFonts w:hint="eastAsia"/>
          <w:szCs w:val="21"/>
        </w:rPr>
        <w:t>（2）</w:t>
      </w:r>
      <w:bookmarkStart w:id="38" w:name="_Hlk72062521"/>
      <w:r>
        <w:rPr>
          <w:rFonts w:hint="eastAsia"/>
          <w:szCs w:val="21"/>
        </w:rPr>
        <w:t>政府采购投标及履约承诺函</w:t>
      </w:r>
      <w:bookmarkEnd w:id="38"/>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rFonts w:ascii="宋体" w:hAnsi="宋体"/>
          <w:szCs w:val="21"/>
        </w:rPr>
      </w:pPr>
      <w:bookmarkStart w:id="39" w:name="_Hlk72257201"/>
      <w:r>
        <w:rPr>
          <w:rFonts w:hint="eastAsia"/>
          <w:szCs w:val="21"/>
        </w:rPr>
        <w:t>（</w:t>
      </w:r>
      <w:r>
        <w:rPr>
          <w:szCs w:val="21"/>
        </w:rPr>
        <w:t>4</w:t>
      </w:r>
      <w:r>
        <w:rPr>
          <w:rFonts w:hint="eastAsia"/>
          <w:szCs w:val="21"/>
        </w:rPr>
        <w:t>）项目详细报价</w:t>
      </w:r>
      <w:bookmarkEnd w:id="39"/>
    </w:p>
    <w:p>
      <w:pPr>
        <w:ind w:left="718" w:leftChars="342" w:firstLine="1627" w:firstLineChars="775"/>
        <w:rPr>
          <w:szCs w:val="21"/>
        </w:rPr>
      </w:pPr>
      <w:r>
        <w:rPr>
          <w:rFonts w:hint="eastAsia" w:ascii="宋体" w:hAnsi="宋体"/>
          <w:szCs w:val="21"/>
        </w:rPr>
        <w:t>…………</w:t>
      </w:r>
    </w:p>
    <w:p>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pPr>
        <w:ind w:firstLine="2100" w:firstLineChars="1000"/>
        <w:rPr>
          <w:rFonts w:hint="eastAsia"/>
          <w:szCs w:val="21"/>
        </w:rPr>
      </w:pPr>
      <w:r>
        <w:rPr>
          <w:rFonts w:hint="eastAsia"/>
          <w:szCs w:val="21"/>
        </w:rPr>
        <w:t>（1）供应商基本情况表</w:t>
      </w:r>
    </w:p>
    <w:p>
      <w:pPr>
        <w:ind w:firstLine="2100" w:firstLineChars="1000"/>
        <w:rPr>
          <w:szCs w:val="21"/>
        </w:rPr>
      </w:pPr>
      <w:r>
        <w:rPr>
          <w:rFonts w:hint="eastAsia"/>
          <w:szCs w:val="21"/>
        </w:rPr>
        <w:t>（2）法定代表人（负责人）证明书</w:t>
      </w:r>
    </w:p>
    <w:p>
      <w:pPr>
        <w:ind w:left="718" w:leftChars="342" w:firstLine="1417" w:firstLineChars="675"/>
        <w:rPr>
          <w:szCs w:val="21"/>
        </w:rPr>
      </w:pPr>
      <w:r>
        <w:rPr>
          <w:rFonts w:hint="eastAsia"/>
          <w:szCs w:val="21"/>
        </w:rPr>
        <w:t>（3）投标文件签署授权委托书</w:t>
      </w:r>
    </w:p>
    <w:p>
      <w:pPr>
        <w:ind w:left="718" w:leftChars="342" w:firstLine="1417" w:firstLineChars="675"/>
        <w:rPr>
          <w:szCs w:val="21"/>
        </w:rPr>
      </w:pPr>
      <w:r>
        <w:rPr>
          <w:rFonts w:hint="eastAsia"/>
          <w:szCs w:val="21"/>
        </w:rPr>
        <w:t>（4）</w:t>
      </w:r>
      <w:r>
        <w:rPr>
          <w:szCs w:val="21"/>
        </w:rPr>
        <w:t>实质性条款响应情况表</w:t>
      </w:r>
    </w:p>
    <w:p>
      <w:pPr>
        <w:ind w:left="718" w:leftChars="342" w:firstLine="1417" w:firstLineChars="675"/>
        <w:rPr>
          <w:szCs w:val="21"/>
        </w:rPr>
      </w:pPr>
      <w:r>
        <w:rPr>
          <w:rFonts w:hint="eastAsia"/>
          <w:szCs w:val="21"/>
        </w:rPr>
        <w:t>（5）投标人认为需要加以说明的其他内容</w:t>
      </w:r>
    </w:p>
    <w:p>
      <w:pPr>
        <w:ind w:left="718" w:leftChars="342" w:firstLine="1417" w:firstLineChars="675"/>
        <w:rPr>
          <w:rFonts w:ascii="宋体" w:hAnsi="宋体"/>
          <w:szCs w:val="21"/>
        </w:rPr>
      </w:pPr>
      <w:r>
        <w:rPr>
          <w:rFonts w:hint="eastAsia" w:ascii="宋体" w:hAnsi="宋体"/>
          <w:szCs w:val="21"/>
        </w:rPr>
        <w:t>…………</w:t>
      </w:r>
    </w:p>
    <w:p>
      <w:pPr>
        <w:pStyle w:val="18"/>
      </w:pPr>
    </w:p>
    <w:p>
      <w:pPr>
        <w:pStyle w:val="7"/>
        <w:ind w:left="210" w:leftChars="100" w:firstLine="781" w:firstLineChars="372"/>
        <w:rPr>
          <w:rFonts w:ascii="宋体" w:hAnsi="宋体"/>
          <w:szCs w:val="21"/>
        </w:rPr>
      </w:pPr>
    </w:p>
    <w:p>
      <w:pPr>
        <w:rPr>
          <w:rFonts w:ascii="仿宋_GB2312" w:eastAsia="仿宋_GB2312"/>
          <w:sz w:val="24"/>
        </w:rPr>
      </w:pPr>
    </w:p>
    <w:p>
      <w:pPr>
        <w:ind w:firstLine="425" w:firstLineChars="202"/>
        <w:rPr>
          <w:rFonts w:ascii="宋体" w:hAnsi="宋体"/>
          <w:b/>
          <w:szCs w:val="21"/>
        </w:rPr>
      </w:pPr>
      <w:r>
        <w:rPr>
          <w:rFonts w:hint="eastAsia" w:ascii="宋体" w:hAnsi="宋体"/>
          <w:b/>
          <w:szCs w:val="21"/>
        </w:rPr>
        <w:t>备注：</w:t>
      </w:r>
    </w:p>
    <w:p>
      <w:pPr>
        <w:ind w:firstLine="425"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5"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pPr>
        <w:rPr>
          <w:rFonts w:ascii="仿宋_GB2312" w:eastAsia="仿宋_GB2312"/>
          <w:sz w:val="24"/>
        </w:rPr>
      </w:pPr>
    </w:p>
    <w:p>
      <w:pPr>
        <w:rPr>
          <w:rFonts w:ascii="宋体" w:hAnsi="宋体"/>
          <w:b/>
          <w:szCs w:val="21"/>
        </w:rPr>
      </w:pPr>
    </w:p>
    <w:p>
      <w:pPr>
        <w:rPr>
          <w:rFonts w:ascii="宋体" w:hAnsi="宋体"/>
          <w:b/>
          <w:szCs w:val="21"/>
        </w:rPr>
      </w:pPr>
    </w:p>
    <w:p>
      <w:pPr>
        <w:jc w:val="left"/>
        <w:rPr>
          <w:rFonts w:ascii="宋体" w:hAnsi="宋体"/>
          <w:b/>
          <w:color w:val="FF0000"/>
          <w:sz w:val="36"/>
          <w:szCs w:val="36"/>
        </w:rPr>
      </w:pPr>
      <w:r>
        <w:rPr>
          <w:rFonts w:hint="eastAsia" w:ascii="宋体" w:hAnsi="宋体"/>
          <w:b/>
          <w:color w:val="FF0000"/>
          <w:sz w:val="36"/>
          <w:szCs w:val="36"/>
        </w:rPr>
        <w:br w:type="page"/>
      </w:r>
    </w:p>
    <w:p>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pPr>
        <w:pStyle w:val="3"/>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pPr>
        <w:ind w:firstLine="420" w:firstLineChars="200"/>
        <w:rPr>
          <w:rFonts w:ascii="宋体" w:hAnsi="宋体"/>
          <w:szCs w:val="21"/>
        </w:rPr>
      </w:pPr>
      <w:bookmarkStart w:id="40" w:name="_Hlk73818812"/>
      <w:r>
        <w:rPr>
          <w:rFonts w:hint="eastAsia"/>
          <w:szCs w:val="21"/>
        </w:rPr>
        <w:t>1、根据已收到贵单位的</w:t>
      </w:r>
      <w:r>
        <w:rPr>
          <w:rFonts w:hint="eastAsia"/>
          <w:color w:val="FF0000"/>
          <w:szCs w:val="21"/>
        </w:rPr>
        <w:t>项目编号为</w:t>
      </w:r>
      <w:r>
        <w:rPr>
          <w:rFonts w:hint="eastAsia"/>
          <w:color w:val="FF0000"/>
          <w:szCs w:val="21"/>
          <w:u w:val="thick"/>
        </w:rPr>
        <w:t xml:space="preserve"> </w:t>
      </w:r>
      <w:bookmarkStart w:id="101" w:name="_GoBack"/>
      <w:bookmarkEnd w:id="101"/>
      <w:r>
        <w:rPr>
          <w:rFonts w:hint="eastAsia"/>
          <w:color w:val="FF0000"/>
          <w:szCs w:val="21"/>
          <w:u w:val="thick"/>
        </w:rPr>
        <w:t xml:space="preserve">YTZXCG-2025-00078 </w:t>
      </w:r>
      <w:r>
        <w:rPr>
          <w:rFonts w:hint="eastAsia"/>
          <w:color w:val="FF0000"/>
          <w:szCs w:val="21"/>
        </w:rPr>
        <w:t>的</w:t>
      </w:r>
      <w:r>
        <w:rPr>
          <w:rFonts w:hint="eastAsia"/>
          <w:color w:val="FF0000"/>
          <w:szCs w:val="21"/>
          <w:u w:val="single"/>
        </w:rPr>
        <w:t>深圳市盐田区智慧城管信息系统运维服务项目项目</w:t>
      </w:r>
      <w:r>
        <w:rPr>
          <w:rFonts w:hint="eastAsia"/>
          <w:szCs w:val="21"/>
        </w:rPr>
        <w:t>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0"/>
    </w:p>
    <w:p>
      <w:pPr>
        <w:ind w:firstLine="421"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firstLine="421"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widowControl/>
        <w:jc w:val="left"/>
        <w:rPr>
          <w:rFonts w:ascii="黑体" w:hAnsi="宋体" w:eastAsia="黑体"/>
          <w:bCs/>
          <w:kern w:val="0"/>
          <w:sz w:val="24"/>
          <w:szCs w:val="32"/>
        </w:rPr>
      </w:pPr>
      <w:r>
        <w:rPr>
          <w:rFonts w:ascii="黑体" w:eastAsia="黑体"/>
          <w:b/>
          <w:kern w:val="0"/>
          <w:sz w:val="24"/>
        </w:rPr>
        <w:br w:type="page"/>
      </w:r>
    </w:p>
    <w:p>
      <w:pPr>
        <w:pStyle w:val="3"/>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rPr>
        <w:t>9.我单位承诺中标后项目不转包，未经采购人同意不进行分包。</w:t>
      </w:r>
    </w:p>
    <w:p>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1"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pStyle w:val="18"/>
        <w:ind w:firstLine="481"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1"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spacing w:before="120" w:beforeLines="50"/>
        <w:ind w:firstLine="421" w:firstLineChars="200"/>
        <w:rPr>
          <w:bCs/>
        </w:rPr>
      </w:pPr>
      <w:r>
        <w:rPr>
          <w:rFonts w:hint="eastAsia"/>
          <w:b/>
          <w:bCs/>
          <w:color w:val="FF0000"/>
        </w:rPr>
        <w:t>1、资格证明材料：</w:t>
      </w:r>
      <w:r>
        <w:rPr>
          <w:bCs/>
        </w:rPr>
        <w:t xml:space="preserve"> </w:t>
      </w:r>
    </w:p>
    <w:p>
      <w:pPr>
        <w:rPr>
          <w:b/>
          <w:sz w:val="24"/>
        </w:rPr>
      </w:pPr>
    </w:p>
    <w:p>
      <w:pPr>
        <w:ind w:firstLine="481" w:firstLineChars="200"/>
        <w:rPr>
          <w:b/>
          <w:sz w:val="24"/>
        </w:rPr>
      </w:pPr>
    </w:p>
    <w:p>
      <w:pPr>
        <w:ind w:firstLine="481"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pPr>
        <w:ind w:firstLine="420" w:firstLineChars="200"/>
        <w:rPr>
          <w:rFonts w:ascii="黑体" w:hAnsi="黑体" w:eastAsia="黑体"/>
          <w:color w:val="FF0000"/>
          <w:highlight w:val="yellow"/>
        </w:rPr>
      </w:pPr>
    </w:p>
    <w:p>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ascii="黑体" w:hAnsi="黑体" w:eastAsia="黑体"/>
          <w:color w:val="FF0000"/>
        </w:rPr>
      </w:pPr>
    </w:p>
    <w:p/>
    <w:p/>
    <w:p>
      <w:pPr>
        <w:spacing w:line="320" w:lineRule="exact"/>
        <w:jc w:val="center"/>
        <w:rPr>
          <w:b/>
        </w:rPr>
      </w:pPr>
      <w:r>
        <w:rPr>
          <w:rFonts w:hint="eastAsia"/>
          <w:b/>
        </w:rPr>
        <w:t>1、</w:t>
      </w:r>
      <w:r>
        <w:rPr>
          <w:b/>
        </w:rPr>
        <w:t>中小企业声明函（</w:t>
      </w:r>
      <w:r>
        <w:rPr>
          <w:rFonts w:hint="eastAsia"/>
          <w:b/>
        </w:rPr>
        <w:t>服务</w:t>
      </w:r>
      <w:r>
        <w:rPr>
          <w:b/>
        </w:rPr>
        <w:t>）</w:t>
      </w:r>
    </w:p>
    <w:p>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深圳市盐田区城管监督指挥中心 </w:t>
      </w:r>
      <w:r>
        <w:rPr>
          <w:rFonts w:hint="eastAsia"/>
        </w:rPr>
        <w:t xml:space="preserve">的 </w:t>
      </w:r>
      <w:r>
        <w:rPr>
          <w:rFonts w:hint="eastAsia"/>
          <w:b/>
          <w:u w:val="single"/>
        </w:rPr>
        <w:t xml:space="preserve"> 深圳市盐田区智慧城管信息系统运维服务项目 </w:t>
      </w:r>
      <w:r>
        <w:rPr>
          <w:rFonts w:hint="eastAsia"/>
        </w:rPr>
        <w:t xml:space="preserve"> 采购活动，服务全部由符合政策要求的中小企业承接。相关企业（含联合体中的中小企业、签订分包意向协议的中小企业）的具体情况如下：</w:t>
      </w:r>
    </w:p>
    <w:p>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pPr>
        <w:spacing w:line="320" w:lineRule="exact"/>
        <w:ind w:firstLine="420" w:firstLineChars="200"/>
      </w:pPr>
      <w:r>
        <w:rPr>
          <w:rFonts w:hint="eastAsia"/>
        </w:rPr>
        <w:t>……</w:t>
      </w:r>
    </w:p>
    <w:p>
      <w:pPr>
        <w:spacing w:line="320" w:lineRule="exact"/>
        <w:ind w:firstLine="420" w:firstLineChars="200"/>
      </w:pPr>
      <w:r>
        <w:rPr>
          <w:rFonts w:hint="eastAsia"/>
        </w:rPr>
        <w:t>以上企业，不属于大企业的分支机构，不存在控股股东为大企业的情形，也不存在与大企业的负责人为同一人的情形。</w:t>
      </w:r>
    </w:p>
    <w:p>
      <w:pPr>
        <w:spacing w:line="320" w:lineRule="exact"/>
        <w:ind w:firstLine="420" w:firstLineChars="200"/>
      </w:pPr>
      <w:r>
        <w:rPr>
          <w:rFonts w:hint="eastAsia"/>
        </w:rPr>
        <w:t>本企业对上述声明内容的真实性负责。如有虚假，将依法承担相应责任。</w:t>
      </w:r>
    </w:p>
    <w:p>
      <w:pPr>
        <w:spacing w:line="320" w:lineRule="exact"/>
        <w:ind w:firstLine="420" w:firstLineChars="200"/>
      </w:pPr>
      <w:bookmarkStart w:id="42"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spacing w:line="320" w:lineRule="exact"/>
      </w:pPr>
    </w:p>
    <w:p>
      <w:pPr>
        <w:spacing w:line="320" w:lineRule="exact"/>
        <w:jc w:val="center"/>
        <w:rPr>
          <w:b/>
        </w:rPr>
      </w:pPr>
      <w:r>
        <w:rPr>
          <w:rFonts w:hint="eastAsia"/>
          <w:b/>
        </w:rPr>
        <w:t>2、残疾人福利性单位声明函（服务类）</w:t>
      </w:r>
    </w:p>
    <w:p>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pPr>
        <w:spacing w:line="320" w:lineRule="exact"/>
        <w:ind w:firstLine="420" w:firstLineChars="200"/>
      </w:pPr>
      <w:r>
        <w:rPr>
          <w:rFonts w:hint="eastAsia"/>
        </w:rPr>
        <w:t>本单位对上述声明的真实性负责。如有虚假，将依法承担相应责任。</w:t>
      </w:r>
    </w:p>
    <w:p>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20" w:lineRule="exact"/>
      </w:pPr>
    </w:p>
    <w:p>
      <w:pPr>
        <w:spacing w:line="320" w:lineRule="exact"/>
        <w:jc w:val="center"/>
        <w:rPr>
          <w:b/>
        </w:rPr>
      </w:pPr>
      <w:r>
        <w:rPr>
          <w:rFonts w:hint="eastAsia"/>
          <w:b/>
        </w:rPr>
        <w:t>3、监狱企业声明函</w:t>
      </w:r>
    </w:p>
    <w:p>
      <w:pPr>
        <w:spacing w:line="320" w:lineRule="exact"/>
        <w:rPr>
          <w:b/>
        </w:rPr>
      </w:pPr>
      <w:r>
        <w:rPr>
          <w:rFonts w:hint="eastAsia"/>
          <w:b/>
        </w:rPr>
        <w:t>【服务类，监狱企业如需享受优惠政策，还须另行提供省级以上监狱管理局、戒毒管理局（含新疆生产建设兵团）出具的监狱企业证明文件】</w:t>
      </w:r>
    </w:p>
    <w:p>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pPr>
        <w:spacing w:line="320" w:lineRule="exact"/>
        <w:ind w:firstLine="420" w:firstLineChars="200"/>
      </w:pPr>
      <w:r>
        <w:t xml:space="preserve">…… </w:t>
      </w:r>
    </w:p>
    <w:p>
      <w:pPr>
        <w:spacing w:line="320" w:lineRule="exact"/>
        <w:ind w:firstLine="420" w:firstLineChars="200"/>
      </w:pPr>
      <w:r>
        <w:t>本</w:t>
      </w:r>
      <w:r>
        <w:rPr>
          <w:rFonts w:hint="eastAsia"/>
        </w:rPr>
        <w:t>投标人</w:t>
      </w:r>
      <w:r>
        <w:t>对上述声明内容的真实性负责。如有虚假，将依法承担相应责任。</w:t>
      </w:r>
    </w:p>
    <w:p>
      <w:pPr>
        <w:spacing w:line="320" w:lineRule="exact"/>
        <w:ind w:firstLine="420" w:firstLineChars="200"/>
      </w:pPr>
      <w:r>
        <w:rPr>
          <w:rFonts w:hint="eastAsia"/>
        </w:rPr>
        <w:t>附：省级以上监狱管理局、戒毒管理局（含新疆生产建设兵团）出具的监狱企业证明文件。</w:t>
      </w:r>
    </w:p>
    <w:p>
      <w:pPr>
        <w:widowControl/>
        <w:jc w:val="left"/>
        <w:rPr>
          <w:rFonts w:ascii="黑体" w:hAnsi="宋体" w:eastAsia="黑体"/>
          <w:bCs/>
          <w:sz w:val="24"/>
        </w:rPr>
      </w:pPr>
      <w:r>
        <w:rPr>
          <w:rFonts w:ascii="黑体" w:eastAsia="黑体"/>
          <w:b/>
          <w:sz w:val="24"/>
        </w:rPr>
        <w:br w:type="page"/>
      </w:r>
    </w:p>
    <w:p>
      <w:pPr>
        <w:pStyle w:val="3"/>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420" w:firstLineChars="200"/>
        <w:rPr>
          <w:rFonts w:ascii="宋体" w:hAnsi="宋体"/>
        </w:rPr>
      </w:pPr>
      <w:r>
        <w:rPr>
          <w:rFonts w:hint="eastAsia" w:ascii="宋体" w:hAnsi="宋体"/>
        </w:rPr>
        <w:t>注：1、所有价格应按“招标文件”中规定的货币单位填写；</w:t>
      </w:r>
    </w:p>
    <w:p>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pPr>
        <w:rPr>
          <w:rFonts w:hAnsi="宋体"/>
          <w:b/>
          <w:bCs/>
          <w:color w:val="FF0000"/>
          <w:sz w:val="24"/>
        </w:rPr>
      </w:pPr>
    </w:p>
    <w:p>
      <w:pPr>
        <w:pStyle w:val="18"/>
      </w:pPr>
    </w:p>
    <w:p>
      <w:pPr>
        <w:tabs>
          <w:tab w:val="left" w:pos="720"/>
        </w:tabs>
        <w:jc w:val="center"/>
        <w:rPr>
          <w:b/>
          <w:sz w:val="24"/>
        </w:rPr>
      </w:pPr>
      <w:r>
        <w:rPr>
          <w:rFonts w:hint="eastAsia"/>
          <w:b/>
          <w:sz w:val="24"/>
        </w:rPr>
        <w:t>（二）</w:t>
      </w:r>
      <w:bookmarkStart w:id="43" w:name="_Hlk72073235"/>
      <w:r>
        <w:rPr>
          <w:rFonts w:hint="eastAsia"/>
          <w:b/>
          <w:sz w:val="24"/>
        </w:rPr>
        <w:t>投标人认为需要涉及的其他内容报价清单</w:t>
      </w:r>
      <w:bookmarkEnd w:id="43"/>
    </w:p>
    <w:p>
      <w:pPr>
        <w:rPr>
          <w:b/>
          <w:bCs/>
        </w:rPr>
      </w:pPr>
    </w:p>
    <w:p/>
    <w:p>
      <w:pPr>
        <w:pStyle w:val="18"/>
      </w:pPr>
    </w:p>
    <w:p>
      <w:pPr>
        <w:pStyle w:val="19"/>
      </w:pPr>
    </w:p>
    <w:p>
      <w:pPr>
        <w:pStyle w:val="19"/>
      </w:pPr>
    </w:p>
    <w:p>
      <w:pPr>
        <w:ind w:firstLine="630" w:firstLineChars="300"/>
        <w:rPr>
          <w:sz w:val="24"/>
        </w:rPr>
      </w:pPr>
      <w:r>
        <w:t xml:space="preserve">  </w:t>
      </w:r>
      <w:r>
        <w:rPr>
          <w:rFonts w:hint="eastAsia" w:ascii="宋体" w:hAnsi="宋体"/>
        </w:rPr>
        <w:t>………………（根据项目具体情况增加与综合实力评审相关的节点）</w:t>
      </w:r>
    </w:p>
    <w:p/>
    <w:p/>
    <w:p>
      <w:pPr>
        <w:ind w:firstLine="1445" w:firstLineChars="600"/>
        <w:rPr>
          <w:b/>
          <w:color w:val="FF0000"/>
          <w:sz w:val="24"/>
        </w:rPr>
      </w:pPr>
      <w:r>
        <w:rPr>
          <w:rFonts w:hint="eastAsia"/>
          <w:b/>
          <w:color w:val="FF0000"/>
          <w:sz w:val="24"/>
        </w:rPr>
        <w:t>（信息公开部分的内容到此为止！以下为信息不公开部分。）</w:t>
      </w: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rFonts w:ascii="仿宋_GB2312" w:eastAsia="仿宋_GB2312"/>
          <w:b/>
          <w:sz w:val="30"/>
          <w:szCs w:val="30"/>
        </w:rPr>
      </w:pPr>
    </w:p>
    <w:p>
      <w:pPr>
        <w:widowControl/>
        <w:jc w:val="left"/>
        <w:rPr>
          <w:rFonts w:ascii="宋体" w:hAnsi="宋体"/>
          <w:b/>
          <w:color w:val="FF0000"/>
          <w:sz w:val="28"/>
          <w:szCs w:val="28"/>
        </w:rPr>
      </w:pPr>
      <w:r>
        <w:rPr>
          <w:rFonts w:ascii="宋体" w:hAnsi="宋体"/>
          <w:b/>
          <w:color w:val="FF0000"/>
          <w:sz w:val="28"/>
          <w:szCs w:val="28"/>
        </w:rPr>
        <w:br w:type="page"/>
      </w:r>
    </w:p>
    <w:p>
      <w:pPr>
        <w:outlineLvl w:val="1"/>
        <w:rPr>
          <w:rFonts w:ascii="宋体" w:hAnsi="宋体"/>
          <w:b/>
          <w:color w:val="FF0000"/>
          <w:sz w:val="28"/>
          <w:szCs w:val="28"/>
        </w:rPr>
      </w:pPr>
      <w:r>
        <w:rPr>
          <w:rFonts w:hint="eastAsia" w:ascii="宋体" w:hAnsi="宋体"/>
          <w:b/>
          <w:color w:val="FF0000"/>
          <w:sz w:val="28"/>
          <w:szCs w:val="28"/>
        </w:rPr>
        <w:t>投标文件附件（信息不公开部分）</w:t>
      </w:r>
    </w:p>
    <w:p>
      <w:pPr>
        <w:pStyle w:val="3"/>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深圳市盐田区智慧城管信息系统运维服务项目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center"/>
              <w:rPr>
                <w:rFonts w:ascii="宋体" w:hAnsi="宋体"/>
                <w:szCs w:val="21"/>
              </w:rPr>
            </w:pPr>
            <w:r>
              <w:rPr>
                <w:rFonts w:hint="eastAsia" w:ascii="宋体" w:hAnsi="宋体"/>
                <w:b/>
                <w:bCs/>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劳动合同</w:t>
            </w:r>
          </w:p>
          <w:p>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rPr>
              <w:t>缴纳社会</w:t>
            </w:r>
          </w:p>
          <w:p>
            <w:pPr>
              <w:snapToGrid w:val="0"/>
              <w:jc w:val="center"/>
              <w:rPr>
                <w:rFonts w:ascii="宋体" w:hAnsi="宋体"/>
                <w:szCs w:val="21"/>
              </w:rPr>
            </w:pPr>
            <w:r>
              <w:rPr>
                <w:rFonts w:hint="eastAsia" w:ascii="宋体" w:hAnsi="宋体"/>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left"/>
              <w:rPr>
                <w:rFonts w:ascii="宋体" w:hAnsi="宋体"/>
                <w:szCs w:val="21"/>
              </w:rPr>
            </w:pPr>
            <w:r>
              <w:rPr>
                <w:rFonts w:hint="eastAsia" w:ascii="宋体" w:hAnsi="宋体"/>
                <w:b/>
                <w:bCs/>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ind w:firstLine="1932"/>
              <w:jc w:val="center"/>
              <w:rPr>
                <w:rFonts w:ascii="宋体" w:hAnsi="宋体"/>
                <w:b/>
                <w:bCs/>
                <w:szCs w:val="21"/>
              </w:rPr>
            </w:pPr>
            <w:r>
              <w:rPr>
                <w:rFonts w:hint="eastAsia" w:ascii="宋体" w:hAnsi="宋体"/>
                <w:b/>
                <w:bCs/>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pPr>
              <w:snapToGrid w:val="0"/>
              <w:jc w:val="left"/>
              <w:rPr>
                <w:rFonts w:ascii="宋体" w:hAnsi="宋体"/>
                <w:szCs w:val="21"/>
              </w:rPr>
            </w:pPr>
            <w:r>
              <w:rPr>
                <w:rFonts w:hint="eastAsia" w:ascii="宋体" w:hAnsi="宋体"/>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pPr>
              <w:snapToGrid w:val="0"/>
              <w:ind w:firstLine="1932"/>
              <w:jc w:val="left"/>
              <w:rPr>
                <w:rFonts w:ascii="宋体" w:hAnsi="宋体"/>
                <w:szCs w:val="21"/>
              </w:rPr>
            </w:pPr>
            <w:r>
              <w:rPr>
                <w:rFonts w:hint="eastAsia" w:ascii="宋体" w:hAnsi="宋体"/>
                <w:b/>
                <w:bCs/>
              </w:rPr>
              <w:t>说明：同一关联关系类型有多个主体的，应分行填写。</w:t>
            </w:r>
          </w:p>
        </w:tc>
      </w:tr>
    </w:tbl>
    <w:p/>
    <w:p>
      <w:pPr>
        <w:pStyle w:val="3"/>
        <w:jc w:val="center"/>
        <w:rPr>
          <w:rFonts w:ascii="黑体" w:eastAsia="黑体"/>
          <w:b w:val="0"/>
          <w:sz w:val="24"/>
        </w:rPr>
      </w:pPr>
      <w:r>
        <w:rPr>
          <w:rFonts w:hint="eastAsia" w:ascii="黑体" w:eastAsia="黑体"/>
          <w:b w:val="0"/>
          <w:sz w:val="24"/>
        </w:rPr>
        <w:t>二、</w:t>
      </w:r>
      <w:bookmarkStart w:id="44" w:name="_Hlk72092499"/>
      <w:r>
        <w:rPr>
          <w:rFonts w:hint="eastAsia" w:ascii="黑体" w:eastAsia="黑体"/>
          <w:b w:val="0"/>
          <w:sz w:val="24"/>
        </w:rPr>
        <w:t>法定代表人（负责人）证明书</w:t>
      </w:r>
      <w:bookmarkEnd w:id="44"/>
    </w:p>
    <w:p>
      <w:pPr>
        <w:rPr>
          <w:sz w:val="24"/>
        </w:rPr>
      </w:pPr>
    </w:p>
    <w:p>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pPr>
              <w:jc w:val="center"/>
            </w:pPr>
            <w:r>
              <w:rPr>
                <w:rFonts w:hint="eastAsia"/>
              </w:rPr>
              <w:t>证件扫描件正面</w:t>
            </w:r>
          </w:p>
          <w:p>
            <w:pPr>
              <w:pStyle w:val="18"/>
              <w:jc w:val="center"/>
            </w:pPr>
          </w:p>
          <w:p>
            <w:pPr>
              <w:pStyle w:val="19"/>
              <w:jc w:val="center"/>
            </w:pPr>
          </w:p>
        </w:tc>
        <w:tc>
          <w:tcPr>
            <w:tcW w:w="4265" w:type="dxa"/>
          </w:tcPr>
          <w:p>
            <w:pPr>
              <w:jc w:val="center"/>
            </w:pPr>
            <w:r>
              <w:rPr>
                <w:rFonts w:hint="eastAsia"/>
              </w:rPr>
              <w:t>证件扫描件反面</w:t>
            </w:r>
          </w:p>
          <w:p>
            <w:pPr>
              <w:pStyle w:val="18"/>
              <w:jc w:val="center"/>
            </w:pPr>
          </w:p>
          <w:p>
            <w:pPr>
              <w:pStyle w:val="19"/>
              <w:jc w:val="center"/>
            </w:pPr>
          </w:p>
        </w:tc>
      </w:tr>
    </w:tbl>
    <w:p>
      <w:pPr>
        <w:rPr>
          <w:rFonts w:ascii="宋体" w:hAnsi="宋体"/>
          <w:b/>
          <w:bCs/>
          <w:color w:val="FF0000"/>
        </w:rPr>
      </w:pPr>
    </w:p>
    <w:p>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rPr>
      </w:pPr>
    </w:p>
    <w:p>
      <w:pPr>
        <w:widowControl/>
        <w:jc w:val="left"/>
        <w:rPr>
          <w:rFonts w:ascii="黑体" w:hAnsi="宋体" w:eastAsia="黑体"/>
          <w:bCs/>
          <w:sz w:val="24"/>
          <w:szCs w:val="32"/>
        </w:rPr>
      </w:pPr>
      <w:r>
        <w:rPr>
          <w:rFonts w:ascii="黑体" w:eastAsia="黑体"/>
          <w:b/>
          <w:sz w:val="24"/>
        </w:rPr>
        <w:br w:type="page"/>
      </w:r>
    </w:p>
    <w:p>
      <w:pPr>
        <w:pStyle w:val="3"/>
        <w:spacing w:before="120" w:after="120"/>
        <w:jc w:val="center"/>
        <w:rPr>
          <w:rFonts w:ascii="黑体" w:eastAsia="黑体"/>
          <w:b w:val="0"/>
          <w:sz w:val="24"/>
        </w:rPr>
      </w:pPr>
      <w:r>
        <w:rPr>
          <w:rFonts w:hint="eastAsia" w:ascii="黑体" w:eastAsia="黑体"/>
          <w:b w:val="0"/>
          <w:sz w:val="24"/>
        </w:rPr>
        <w:t>三、投标文件签署授权委托书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1"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pPr>
              <w:jc w:val="center"/>
            </w:pPr>
            <w:r>
              <w:rPr>
                <w:rFonts w:hint="eastAsia"/>
              </w:rPr>
              <w:t>证件扫描件正面</w:t>
            </w:r>
          </w:p>
          <w:p>
            <w:pPr>
              <w:pStyle w:val="18"/>
              <w:jc w:val="center"/>
            </w:pPr>
          </w:p>
          <w:p>
            <w:pPr>
              <w:pStyle w:val="19"/>
              <w:jc w:val="center"/>
            </w:pPr>
          </w:p>
        </w:tc>
        <w:tc>
          <w:tcPr>
            <w:tcW w:w="4265" w:type="dxa"/>
          </w:tcPr>
          <w:p>
            <w:pPr>
              <w:jc w:val="center"/>
            </w:pPr>
            <w:r>
              <w:rPr>
                <w:rFonts w:hint="eastAsia"/>
              </w:rPr>
              <w:t>证件扫描件反面</w:t>
            </w:r>
          </w:p>
          <w:p>
            <w:pPr>
              <w:pStyle w:val="18"/>
              <w:jc w:val="center"/>
            </w:pPr>
          </w:p>
          <w:p>
            <w:pPr>
              <w:pStyle w:val="19"/>
              <w:jc w:val="center"/>
            </w:pPr>
          </w:p>
        </w:tc>
      </w:tr>
    </w:tbl>
    <w:p/>
    <w:p>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
      <w:pPr>
        <w:widowControl/>
        <w:jc w:val="left"/>
        <w:rPr>
          <w:rFonts w:ascii="黑体" w:hAnsi="宋体" w:eastAsia="黑体"/>
          <w:bCs/>
          <w:kern w:val="0"/>
          <w:sz w:val="24"/>
        </w:rPr>
      </w:pPr>
      <w:r>
        <w:rPr>
          <w:rFonts w:ascii="黑体" w:eastAsia="黑体"/>
          <w:b/>
          <w:kern w:val="0"/>
          <w:sz w:val="24"/>
        </w:rPr>
        <w:br w:type="page"/>
      </w:r>
    </w:p>
    <w:p>
      <w:pPr>
        <w:pStyle w:val="3"/>
        <w:jc w:val="center"/>
        <w:rPr>
          <w:rFonts w:ascii="黑体" w:eastAsia="黑体"/>
          <w:b w:val="0"/>
          <w:kern w:val="0"/>
          <w:sz w:val="24"/>
          <w:szCs w:val="24"/>
        </w:rPr>
      </w:pPr>
      <w:r>
        <w:rPr>
          <w:rFonts w:hint="eastAsia" w:ascii="黑体" w:eastAsia="黑体"/>
          <w:b w:val="0"/>
          <w:kern w:val="0"/>
          <w:sz w:val="24"/>
          <w:szCs w:val="24"/>
        </w:rPr>
        <w:t>四、</w:t>
      </w:r>
      <w:bookmarkStart w:id="45" w:name="_Hlk72092634"/>
      <w:r>
        <w:rPr>
          <w:rFonts w:hint="eastAsia" w:ascii="黑体" w:eastAsia="黑体"/>
          <w:b w:val="0"/>
          <w:kern w:val="0"/>
          <w:sz w:val="24"/>
          <w:szCs w:val="24"/>
        </w:rPr>
        <w:t>实质性条款响应情况表</w:t>
      </w:r>
      <w:bookmarkEnd w:id="45"/>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46" w:name="_Hlk72092651"/>
            <w:r>
              <w:rPr>
                <w:rFonts w:hint="eastAsia" w:ascii="宋体" w:hAnsi="宋体"/>
                <w:kern w:val="0"/>
                <w:szCs w:val="21"/>
              </w:rPr>
              <w:t>序号</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center"/>
          </w:tcPr>
          <w:p>
            <w:pPr>
              <w:adjustRightInd w:val="0"/>
              <w:snapToGrid w:val="0"/>
              <w:spacing w:line="360" w:lineRule="auto"/>
              <w:jc w:val="center"/>
              <w:rPr>
                <w:rFonts w:ascii="宋体" w:hAnsi="宋体"/>
                <w:kern w:val="0"/>
                <w:szCs w:val="21"/>
              </w:rPr>
            </w:pPr>
            <w:r>
              <w:rPr>
                <w:rFonts w:hint="eastAsia" w:ascii="宋体" w:hAnsi="宋体"/>
                <w:color w:val="FF0000"/>
                <w:kern w:val="0"/>
                <w:szCs w:val="21"/>
              </w:rPr>
              <w:t>***********</w:t>
            </w:r>
          </w:p>
        </w:tc>
        <w:tc>
          <w:tcPr>
            <w:tcW w:w="1530" w:type="dxa"/>
          </w:tcPr>
          <w:p>
            <w:pPr>
              <w:adjustRightInd w:val="0"/>
              <w:snapToGrid w:val="0"/>
              <w:spacing w:line="360" w:lineRule="auto"/>
              <w:rPr>
                <w:rFonts w:ascii="宋体" w:hAnsi="宋体"/>
                <w:kern w:val="0"/>
                <w:szCs w:val="21"/>
              </w:rPr>
            </w:pPr>
          </w:p>
        </w:tc>
        <w:tc>
          <w:tcPr>
            <w:tcW w:w="1275" w:type="dxa"/>
          </w:tcPr>
          <w:p>
            <w:pPr>
              <w:adjustRightInd w:val="0"/>
              <w:snapToGrid w:val="0"/>
              <w:spacing w:line="360" w:lineRule="auto"/>
              <w:rPr>
                <w:rFonts w:ascii="宋体" w:hAnsi="宋体"/>
                <w:kern w:val="0"/>
                <w:szCs w:val="21"/>
              </w:rPr>
            </w:pPr>
          </w:p>
        </w:tc>
        <w:tc>
          <w:tcPr>
            <w:tcW w:w="933" w:type="dxa"/>
          </w:tcPr>
          <w:p>
            <w:pPr>
              <w:adjustRightInd w:val="0"/>
              <w:snapToGrid w:val="0"/>
              <w:spacing w:line="360" w:lineRule="auto"/>
              <w:rPr>
                <w:rFonts w:ascii="宋体" w:hAnsi="宋体"/>
                <w:kern w:val="0"/>
                <w:szCs w:val="21"/>
              </w:rPr>
            </w:pPr>
          </w:p>
        </w:tc>
      </w:tr>
    </w:tbl>
    <w:p>
      <w:pPr>
        <w:ind w:firstLine="481" w:firstLineChars="200"/>
        <w:rPr>
          <w:b/>
          <w:sz w:val="24"/>
          <w:szCs w:val="22"/>
        </w:rPr>
      </w:pPr>
      <w:r>
        <w:rPr>
          <w:rFonts w:hint="eastAsia"/>
          <w:b/>
          <w:sz w:val="24"/>
          <w:szCs w:val="22"/>
        </w:rPr>
        <w:t>注：1.上表所列各项均为不可负偏离条款。</w:t>
      </w:r>
    </w:p>
    <w:p>
      <w:pPr>
        <w:ind w:firstLine="481"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1"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1" w:firstLineChars="200"/>
        <w:rPr>
          <w:b/>
          <w:sz w:val="24"/>
        </w:rPr>
      </w:pPr>
      <w:r>
        <w:rPr>
          <w:b/>
          <w:sz w:val="24"/>
        </w:rPr>
        <w:t>4.</w:t>
      </w:r>
      <w:r>
        <w:rPr>
          <w:rFonts w:hint="eastAsia"/>
          <w:b/>
          <w:sz w:val="24"/>
        </w:rPr>
        <w:t>评审委员会有权对投标响应情况作出判断（作出评审结论）。</w:t>
      </w:r>
    </w:p>
    <w:p>
      <w:pPr>
        <w:ind w:firstLine="481"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pPr>
        <w:ind w:firstLine="481" w:firstLineChars="200"/>
        <w:rPr>
          <w:b/>
          <w:sz w:val="24"/>
          <w:szCs w:val="22"/>
        </w:rPr>
      </w:pPr>
      <w:r>
        <w:rPr>
          <w:rFonts w:hint="eastAsia"/>
          <w:b/>
          <w:sz w:val="24"/>
          <w:szCs w:val="22"/>
        </w:rPr>
        <w:t>6.要求提供证明资料，在“说明”一栏中列明证明资料的位置,以便评审；未要求提供证明材料的，投标人可以不提供。</w:t>
      </w:r>
    </w:p>
    <w:p>
      <w:pPr>
        <w:ind w:firstLine="420" w:firstLineChars="200"/>
      </w:pPr>
    </w:p>
    <w:p>
      <w:pPr>
        <w:rPr>
          <w:b/>
          <w:bCs/>
          <w:sz w:val="24"/>
        </w:rPr>
      </w:pPr>
    </w:p>
    <w:p>
      <w:pPr>
        <w:rPr>
          <w:sz w:val="24"/>
        </w:rPr>
      </w:pPr>
      <w:r>
        <w:rPr>
          <w:rFonts w:hint="eastAsia" w:ascii="宋体" w:hAnsi="宋体"/>
        </w:rPr>
        <w:t>………………（根据项目具体情况增加与技术评审相关的节点）………………</w:t>
      </w:r>
    </w:p>
    <w:p>
      <w:pPr>
        <w:widowControl/>
        <w:jc w:val="left"/>
        <w:rPr>
          <w:rFonts w:ascii="黑体" w:hAnsi="宋体" w:eastAsia="黑体"/>
          <w:sz w:val="24"/>
          <w:szCs w:val="20"/>
        </w:rPr>
      </w:pPr>
      <w:r>
        <w:rPr>
          <w:rFonts w:ascii="黑体" w:eastAsia="黑体"/>
          <w:b/>
          <w:bCs/>
          <w:sz w:val="24"/>
          <w:szCs w:val="20"/>
        </w:rPr>
        <w:br w:type="page"/>
      </w:r>
    </w:p>
    <w:p>
      <w:pPr>
        <w:pStyle w:val="3"/>
        <w:jc w:val="center"/>
        <w:rPr>
          <w:rFonts w:ascii="黑体" w:eastAsia="黑体"/>
          <w:b w:val="0"/>
          <w:bCs w:val="0"/>
          <w:sz w:val="24"/>
          <w:szCs w:val="20"/>
        </w:rPr>
      </w:pPr>
      <w:r>
        <w:rPr>
          <w:rFonts w:hint="eastAsia" w:ascii="黑体" w:eastAsia="黑体"/>
          <w:b w:val="0"/>
          <w:bCs w:val="0"/>
          <w:sz w:val="24"/>
          <w:szCs w:val="20"/>
        </w:rPr>
        <w:t>五、</w:t>
      </w:r>
      <w:bookmarkStart w:id="47" w:name="_Hlk72062872"/>
      <w:r>
        <w:rPr>
          <w:rFonts w:hint="eastAsia" w:ascii="黑体" w:eastAsia="黑体"/>
          <w:b w:val="0"/>
          <w:bCs w:val="0"/>
          <w:sz w:val="24"/>
          <w:szCs w:val="20"/>
        </w:rPr>
        <w:t>投标人认为需要加以说明的其他内容</w:t>
      </w:r>
      <w:bookmarkEnd w:id="47"/>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after="120" w:afterLines="50" w:line="360" w:lineRule="exact"/>
        <w:ind w:firstLine="481"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pPr>
        <w:spacing w:before="120" w:beforeLines="50" w:line="380" w:lineRule="exact"/>
        <w:ind w:firstLine="421" w:firstLineChars="200"/>
        <w:rPr>
          <w:b/>
          <w:szCs w:val="21"/>
        </w:rPr>
      </w:pPr>
      <w:r>
        <w:rPr>
          <w:rFonts w:hint="eastAsia" w:ascii="宋体" w:hAnsi="宋体"/>
          <w:b/>
        </w:rPr>
        <w:t>一、我单位已充分知悉“隐瞒真实情况，提供虚假资料”的法定情形，包括但不限于：</w:t>
      </w:r>
    </w:p>
    <w:p>
      <w:pPr>
        <w:spacing w:line="380" w:lineRule="exact"/>
        <w:ind w:firstLine="420" w:firstLineChars="200"/>
      </w:pPr>
      <w:r>
        <w:rPr>
          <w:rFonts w:hint="eastAsia" w:ascii="宋体" w:hAnsi="宋体"/>
        </w:rPr>
        <w:t>（一）通过转让或者租借等方式从其他单位获取资格或者资质证书投标的。</w:t>
      </w:r>
    </w:p>
    <w:p>
      <w:pPr>
        <w:spacing w:line="380" w:lineRule="exact"/>
        <w:ind w:firstLine="420" w:firstLineChars="200"/>
      </w:pPr>
      <w:r>
        <w:rPr>
          <w:rFonts w:hint="eastAsia" w:ascii="宋体" w:hAnsi="宋体"/>
        </w:rPr>
        <w:t>（二）由其他单位或者其他单位负责人在投标供应商编制的投标文件上加盖印章或者签字的。</w:t>
      </w:r>
    </w:p>
    <w:p>
      <w:pPr>
        <w:spacing w:line="380" w:lineRule="exact"/>
        <w:ind w:firstLine="420" w:firstLineChars="200"/>
      </w:pPr>
      <w:r>
        <w:rPr>
          <w:rFonts w:hint="eastAsia" w:ascii="宋体" w:hAnsi="宋体"/>
        </w:rPr>
        <w:t>（三）项目负责人或者主要技术人员不是本单位人员的。</w:t>
      </w:r>
    </w:p>
    <w:p>
      <w:pPr>
        <w:spacing w:line="380" w:lineRule="exact"/>
        <w:ind w:firstLine="420" w:firstLineChars="200"/>
      </w:pPr>
      <w:r>
        <w:rPr>
          <w:rFonts w:hint="eastAsia" w:ascii="宋体" w:hAnsi="宋体"/>
        </w:rPr>
        <w:t>（四）投标保证金不是从投标供应商基本账户转出的。</w:t>
      </w:r>
    </w:p>
    <w:p>
      <w:pPr>
        <w:spacing w:line="380" w:lineRule="exact"/>
        <w:ind w:firstLine="420" w:firstLineChars="200"/>
      </w:pPr>
      <w:r>
        <w:rPr>
          <w:rFonts w:hint="eastAsia" w:ascii="宋体" w:hAnsi="宋体"/>
        </w:rPr>
        <w:t>（五）其他隐瞒真实情况、提供虚假资料的行为。</w:t>
      </w:r>
    </w:p>
    <w:p>
      <w:pPr>
        <w:spacing w:line="380" w:lineRule="exact"/>
        <w:ind w:firstLine="421" w:firstLineChars="200"/>
        <w:rPr>
          <w:b/>
        </w:rPr>
      </w:pPr>
      <w:r>
        <w:rPr>
          <w:rFonts w:hint="eastAsia" w:ascii="宋体" w:hAnsi="宋体"/>
          <w:b/>
        </w:rPr>
        <w:t>二、我单位已充分知悉“与其他采购参加人串通投标”的法定情形，包括但不限于：</w:t>
      </w:r>
    </w:p>
    <w:p>
      <w:pPr>
        <w:spacing w:line="380" w:lineRule="exact"/>
        <w:ind w:firstLine="420" w:firstLineChars="200"/>
      </w:pPr>
      <w:r>
        <w:rPr>
          <w:rFonts w:hint="eastAsia" w:ascii="宋体" w:hAnsi="宋体"/>
        </w:rPr>
        <w:t>（一）投标供应商之间相互约定给予未中标的供应商利益补偿。</w:t>
      </w:r>
    </w:p>
    <w:p>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ascii="宋体" w:hAnsi="宋体"/>
        </w:rPr>
        <w:t>（三）不同投标供应商的投标文件由同一单位或者同一人编制，或者由同一人分阶段参与编制的。</w:t>
      </w:r>
    </w:p>
    <w:p>
      <w:pPr>
        <w:spacing w:line="340" w:lineRule="exact"/>
        <w:ind w:firstLine="420" w:firstLineChars="200"/>
      </w:pPr>
      <w:r>
        <w:rPr>
          <w:rFonts w:hint="eastAsia" w:ascii="宋体" w:hAnsi="宋体"/>
        </w:rPr>
        <w:t>（四）不同投标供应商的投标文件或部分投标文件相互混装。</w:t>
      </w:r>
    </w:p>
    <w:p>
      <w:pPr>
        <w:spacing w:line="340" w:lineRule="exact"/>
        <w:ind w:firstLine="420" w:firstLineChars="200"/>
      </w:pPr>
      <w:r>
        <w:rPr>
          <w:rFonts w:hint="eastAsia" w:ascii="宋体" w:hAnsi="宋体"/>
        </w:rPr>
        <w:t>（五）不同投标供应商的投标文件内容存在非正常一致。</w:t>
      </w:r>
    </w:p>
    <w:p>
      <w:pPr>
        <w:spacing w:line="340" w:lineRule="exact"/>
        <w:ind w:firstLine="420" w:firstLineChars="200"/>
      </w:pPr>
      <w:r>
        <w:rPr>
          <w:rFonts w:hint="eastAsia" w:ascii="宋体" w:hAnsi="宋体"/>
        </w:rPr>
        <w:t>（六）由同一单位工作人员为两家以上（含两家）供应商进行同一项投标活动的。</w:t>
      </w:r>
    </w:p>
    <w:p>
      <w:pPr>
        <w:spacing w:line="340" w:lineRule="exact"/>
        <w:ind w:firstLine="420" w:firstLineChars="200"/>
      </w:pPr>
      <w:r>
        <w:rPr>
          <w:rFonts w:hint="eastAsia" w:ascii="宋体" w:hAnsi="宋体"/>
        </w:rPr>
        <w:t>（七）不同投标人的投标报价呈规律性差异。</w:t>
      </w:r>
    </w:p>
    <w:p>
      <w:pPr>
        <w:spacing w:line="340" w:lineRule="exact"/>
        <w:ind w:firstLine="420" w:firstLineChars="200"/>
      </w:pPr>
      <w:r>
        <w:rPr>
          <w:rFonts w:hint="eastAsia" w:ascii="宋体" w:hAnsi="宋体"/>
        </w:rPr>
        <w:t>（八）不同投标人的投标保证金从同一单位或者个人的账户转出。</w:t>
      </w:r>
    </w:p>
    <w:p>
      <w:pPr>
        <w:spacing w:line="340" w:lineRule="exact"/>
        <w:ind w:firstLine="420" w:firstLineChars="200"/>
      </w:pPr>
      <w:r>
        <w:rPr>
          <w:rFonts w:hint="eastAsia" w:ascii="宋体" w:hAnsi="宋体"/>
        </w:rPr>
        <w:t>（九）主管部门依照法律、法规认定的其他情形。</w:t>
      </w:r>
    </w:p>
    <w:p>
      <w:pPr>
        <w:spacing w:line="340" w:lineRule="exact"/>
        <w:ind w:firstLine="421" w:firstLineChars="200"/>
        <w:rPr>
          <w:b/>
        </w:rPr>
      </w:pPr>
      <w:r>
        <w:rPr>
          <w:rFonts w:hint="eastAsia" w:ascii="宋体" w:hAnsi="宋体"/>
          <w:b/>
        </w:rPr>
        <w:t>三、我单位已充分知悉下列情形存在法律风险，在投标前已对相关风险事项进行排查。</w:t>
      </w:r>
    </w:p>
    <w:p>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pPr>
        <w:spacing w:line="340" w:lineRule="exact"/>
        <w:ind w:firstLine="421" w:firstLineChars="200"/>
        <w:rPr>
          <w:b/>
        </w:rPr>
      </w:pPr>
      <w:r>
        <w:rPr>
          <w:rFonts w:hint="eastAsia" w:ascii="宋体" w:hAnsi="宋体"/>
          <w:b/>
        </w:rPr>
        <w:t>四、我单位已充分知悉政府采购违法、违规行为的法律后果。</w:t>
      </w:r>
    </w:p>
    <w:p>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1"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pPr>
              <w:autoSpaceDE w:val="0"/>
              <w:autoSpaceDN w:val="0"/>
              <w:spacing w:line="34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pPr>
              <w:autoSpaceDE w:val="0"/>
              <w:autoSpaceDN w:val="0"/>
              <w:spacing w:line="340" w:lineRule="exact"/>
              <w:ind w:firstLine="1866"/>
              <w:rPr>
                <w:rFonts w:ascii="宋体" w:hAnsi="宋体" w:eastAsiaTheme="minorEastAsia"/>
                <w:spacing w:val="-4"/>
                <w:kern w:val="0"/>
                <w:szCs w:val="21"/>
              </w:rPr>
            </w:pPr>
          </w:p>
        </w:tc>
      </w:tr>
    </w:tbl>
    <w:p>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pPr>
        <w:widowControl/>
        <w:autoSpaceDE w:val="0"/>
        <w:autoSpaceDN w:val="0"/>
        <w:spacing w:line="340" w:lineRule="exact"/>
        <w:ind w:firstLine="405" w:firstLineChars="200"/>
        <w:jc w:val="left"/>
        <w:rPr>
          <w:rFonts w:ascii="宋体" w:hAnsi="宋体"/>
          <w:b/>
          <w:bCs/>
          <w:spacing w:val="-4"/>
          <w:kern w:val="0"/>
        </w:rPr>
      </w:pPr>
      <w:r>
        <w:rPr>
          <w:rFonts w:hint="eastAsia" w:ascii="宋体" w:hAnsi="宋体"/>
          <w:b/>
          <w:bCs/>
          <w:spacing w:val="-4"/>
          <w:kern w:val="0"/>
        </w:rPr>
        <w:t xml:space="preserve"> </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pPr>
        <w:widowControl/>
        <w:autoSpaceDE w:val="0"/>
        <w:autoSpaceDN w:val="0"/>
        <w:spacing w:line="400" w:lineRule="exact"/>
        <w:ind w:firstLine="405"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widowControl/>
        <w:jc w:val="left"/>
        <w:rPr>
          <w:rFonts w:ascii="黑体" w:eastAsia="黑体"/>
          <w:sz w:val="24"/>
          <w:szCs w:val="20"/>
        </w:rPr>
      </w:pPr>
      <w:r>
        <w:rPr>
          <w:rFonts w:ascii="黑体" w:eastAsia="黑体"/>
          <w:sz w:val="24"/>
          <w:szCs w:val="20"/>
        </w:rPr>
        <w:br w:type="page"/>
      </w:r>
    </w:p>
    <w:p>
      <w:pPr>
        <w:jc w:val="center"/>
        <w:rPr>
          <w:rFonts w:ascii="黑体" w:eastAsia="黑体"/>
          <w:sz w:val="24"/>
          <w:szCs w:val="20"/>
        </w:rPr>
      </w:pPr>
      <w:r>
        <w:rPr>
          <w:rFonts w:hint="eastAsia" w:ascii="黑体" w:eastAsia="黑体"/>
          <w:sz w:val="24"/>
          <w:szCs w:val="20"/>
        </w:rPr>
        <w:t>（二）订单融资情况</w:t>
      </w:r>
    </w:p>
    <w:p>
      <w:pPr>
        <w:ind w:firstLine="421" w:firstLineChars="200"/>
        <w:rPr>
          <w:rFonts w:ascii="宋体" w:hAnsi="宋体" w:cs="宋体"/>
          <w:b/>
          <w:bCs/>
        </w:rPr>
      </w:pPr>
      <w:r>
        <w:rPr>
          <w:rFonts w:hint="eastAsia" w:ascii="宋体" w:hAnsi="宋体" w:cs="宋体"/>
          <w:b/>
          <w:bCs/>
        </w:rPr>
        <w:t>1、关于政府采购订单融资政策</w:t>
      </w:r>
    </w:p>
    <w:p>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1" w:firstLineChars="200"/>
        <w:rPr>
          <w:rFonts w:ascii="宋体" w:hAnsi="宋体" w:cs="宋体"/>
          <w:b/>
          <w:bCs/>
        </w:rPr>
      </w:pPr>
      <w:r>
        <w:rPr>
          <w:rFonts w:hint="eastAsia" w:ascii="宋体" w:hAnsi="宋体" w:cs="宋体"/>
          <w:b/>
          <w:bCs/>
        </w:rPr>
        <w:t>2、供应商账户信息</w:t>
      </w:r>
    </w:p>
    <w:p>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widowControl/>
        <w:autoSpaceDE w:val="0"/>
        <w:autoSpaceDN w:val="0"/>
        <w:spacing w:line="400" w:lineRule="exact"/>
        <w:ind w:right="1414" w:firstLine="480" w:firstLineChars="200"/>
        <w:jc w:val="right"/>
        <w:rPr>
          <w:rFonts w:eastAsiaTheme="minorEastAsia"/>
          <w:kern w:val="0"/>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pStyle w:val="18"/>
        <w:sectPr>
          <w:pgSz w:w="11907" w:h="16840"/>
          <w:pgMar w:top="1440" w:right="1797" w:bottom="1440" w:left="1797" w:header="851" w:footer="992" w:gutter="0"/>
          <w:pgNumType w:fmt="decimal"/>
          <w:cols w:space="425" w:num="1"/>
          <w:titlePg/>
          <w:docGrid w:linePitch="462" w:charSpace="0"/>
        </w:sectPr>
      </w:pPr>
    </w:p>
    <w:p>
      <w:pPr>
        <w:pStyle w:val="18"/>
      </w:pPr>
    </w:p>
    <w:p>
      <w:pPr>
        <w:pStyle w:val="5"/>
      </w:pPr>
      <w:r>
        <w:rPr>
          <w:rFonts w:hint="eastAsia"/>
        </w:rPr>
        <w:t>第五章  合同条款及格式</w:t>
      </w:r>
    </w:p>
    <w:p>
      <w:pPr>
        <w:ind w:firstLine="411" w:firstLineChars="196"/>
      </w:pPr>
    </w:p>
    <w:p>
      <w:pPr>
        <w:jc w:val="center"/>
        <w:rPr>
          <w:b/>
        </w:rPr>
      </w:pPr>
      <w:r>
        <w:rPr>
          <w:rFonts w:hint="eastAsia"/>
          <w:b/>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1"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7"/>
        <w:rPr>
          <w:rFonts w:ascii="宋体" w:hAnsi="宋体"/>
          <w:szCs w:val="21"/>
        </w:rPr>
      </w:pPr>
      <w:r>
        <w:rPr>
          <w:rFonts w:hint="eastAsia" w:ascii="宋体" w:hAnsi="宋体"/>
          <w:szCs w:val="21"/>
        </w:rPr>
        <w:t>支付方式：分期支付。</w:t>
      </w:r>
    </w:p>
    <w:p>
      <w:pPr>
        <w:ind w:firstLine="421"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1"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1"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1"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1"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rPr>
        <w:t>１、应按照招标文件、投标文件要求按期完成本项目服务工作。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1"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1"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1"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1"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1"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1"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1"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1"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1"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1"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1" w:firstLineChars="200"/>
        <w:rPr>
          <w:rFonts w:ascii="宋体" w:hAnsi="宋体"/>
          <w:b/>
          <w:bCs/>
          <w:szCs w:val="21"/>
        </w:rPr>
      </w:pPr>
      <w:r>
        <w:rPr>
          <w:rFonts w:hint="eastAsia" w:ascii="宋体" w:hAnsi="宋体"/>
          <w:b/>
          <w:bCs/>
          <w:szCs w:val="21"/>
        </w:rPr>
        <w:t>第十八条  违约责任</w:t>
      </w:r>
    </w:p>
    <w:p>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pPr>
        <w:ind w:firstLine="421" w:firstLineChars="200"/>
        <w:rPr>
          <w:rFonts w:ascii="宋体" w:hAnsi="宋体"/>
          <w:b/>
          <w:bCs/>
          <w:szCs w:val="21"/>
        </w:rPr>
      </w:pPr>
      <w:r>
        <w:rPr>
          <w:rFonts w:hint="eastAsia" w:ascii="宋体" w:hAnsi="宋体"/>
          <w:b/>
          <w:bCs/>
          <w:szCs w:val="21"/>
        </w:rPr>
        <w:t>第十九条  其他</w:t>
      </w:r>
    </w:p>
    <w:p>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ascii="宋体" w:hAnsi="宋体"/>
          <w:szCs w:val="21"/>
        </w:rPr>
      </w:pPr>
      <w:r>
        <w:rPr>
          <w:rFonts w:hint="eastAsia" w:ascii="宋体" w:hAnsi="宋体"/>
          <w:szCs w:val="21"/>
        </w:rPr>
        <w:t>（1）政府采购合同协议书及其变更、补充协议</w:t>
      </w:r>
    </w:p>
    <w:p>
      <w:pPr>
        <w:ind w:firstLine="420" w:firstLineChars="200"/>
        <w:rPr>
          <w:rFonts w:ascii="宋体" w:hAnsi="宋体"/>
          <w:szCs w:val="21"/>
        </w:rPr>
      </w:pPr>
      <w:r>
        <w:rPr>
          <w:rFonts w:hint="eastAsia" w:ascii="宋体" w:hAnsi="宋体"/>
          <w:szCs w:val="21"/>
        </w:rPr>
        <w:t>（2）政府采购合同专用条款</w:t>
      </w:r>
    </w:p>
    <w:p>
      <w:pPr>
        <w:ind w:firstLine="420" w:firstLineChars="200"/>
        <w:rPr>
          <w:rFonts w:ascii="宋体" w:hAnsi="宋体"/>
          <w:szCs w:val="21"/>
        </w:rPr>
      </w:pPr>
      <w:r>
        <w:rPr>
          <w:rFonts w:hint="eastAsia" w:ascii="宋体" w:hAnsi="宋体"/>
          <w:szCs w:val="21"/>
        </w:rPr>
        <w:t>（3）政府采购合同通用条款</w:t>
      </w:r>
    </w:p>
    <w:p>
      <w:pPr>
        <w:ind w:firstLine="420" w:firstLineChars="200"/>
        <w:rPr>
          <w:rFonts w:ascii="宋体" w:hAnsi="宋体"/>
          <w:szCs w:val="21"/>
        </w:rPr>
      </w:pPr>
      <w:r>
        <w:rPr>
          <w:rFonts w:hint="eastAsia" w:ascii="宋体" w:hAnsi="宋体"/>
          <w:szCs w:val="21"/>
        </w:rPr>
        <w:t>（4）中标（成交）通知书</w:t>
      </w:r>
    </w:p>
    <w:p>
      <w:pPr>
        <w:ind w:firstLine="420" w:firstLineChars="200"/>
        <w:rPr>
          <w:rFonts w:ascii="宋体" w:hAnsi="宋体"/>
          <w:szCs w:val="21"/>
        </w:rPr>
      </w:pPr>
      <w:r>
        <w:rPr>
          <w:rFonts w:hint="eastAsia" w:ascii="宋体" w:hAnsi="宋体"/>
          <w:szCs w:val="21"/>
        </w:rPr>
        <w:t>（5）投标（响应）文件</w:t>
      </w:r>
    </w:p>
    <w:p>
      <w:pPr>
        <w:ind w:firstLine="420" w:firstLineChars="200"/>
        <w:rPr>
          <w:rFonts w:ascii="宋体" w:hAnsi="宋体"/>
          <w:szCs w:val="21"/>
        </w:rPr>
      </w:pPr>
      <w:r>
        <w:rPr>
          <w:rFonts w:hint="eastAsia" w:ascii="宋体" w:hAnsi="宋体"/>
          <w:szCs w:val="21"/>
        </w:rPr>
        <w:t>（6）采购文件</w:t>
      </w:r>
    </w:p>
    <w:p>
      <w:pPr>
        <w:ind w:firstLine="420" w:firstLineChars="200"/>
        <w:rPr>
          <w:rFonts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ascii="宋体" w:hAnsi="宋体"/>
          <w:szCs w:val="21"/>
        </w:rPr>
      </w:pPr>
      <w:r>
        <w:rPr>
          <w:rFonts w:hint="eastAsia" w:ascii="宋体" w:hAnsi="宋体"/>
          <w:szCs w:val="21"/>
        </w:rPr>
        <w:t>委托代理人：                     委托代理人：</w:t>
      </w:r>
    </w:p>
    <w:p>
      <w:pPr>
        <w:ind w:firstLine="420" w:firstLineChars="200"/>
        <w:rPr>
          <w:rFonts w:ascii="宋体" w:hAnsi="宋体"/>
          <w:szCs w:val="21"/>
        </w:rPr>
      </w:pPr>
      <w:r>
        <w:rPr>
          <w:rFonts w:hint="eastAsia" w:ascii="宋体" w:hAnsi="宋体"/>
          <w:szCs w:val="21"/>
        </w:rPr>
        <w:t>日期：   年     月    日         日期：   年     月    日</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widowControl/>
        <w:jc w:val="left"/>
        <w:rPr>
          <w:rFonts w:ascii="宋体" w:hAnsi="宋体"/>
          <w:szCs w:val="21"/>
        </w:rPr>
      </w:pPr>
      <w:r>
        <w:rPr>
          <w:rFonts w:ascii="宋体" w:hAnsi="宋体"/>
          <w:szCs w:val="21"/>
        </w:rPr>
        <w:br w:type="page"/>
      </w:r>
    </w:p>
    <w:p>
      <w:pPr>
        <w:pStyle w:val="5"/>
        <w:spacing w:before="120" w:beforeLines="50" w:after="120" w:afterLines="50"/>
        <w:ind w:left="562"/>
        <w:rPr>
          <w:sz w:val="28"/>
          <w:szCs w:val="28"/>
        </w:rPr>
      </w:pPr>
      <w:bookmarkStart w:id="48"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pPr>
        <w:pStyle w:val="5"/>
        <w:numPr>
          <w:ilvl w:val="0"/>
          <w:numId w:val="11"/>
        </w:numPr>
        <w:spacing w:before="120" w:beforeLines="50" w:after="120" w:afterLines="50"/>
        <w:ind w:left="562" w:hanging="562"/>
        <w:rPr>
          <w:sz w:val="28"/>
          <w:szCs w:val="28"/>
        </w:rPr>
      </w:pPr>
      <w:bookmarkStart w:id="49" w:name="_Hlk72399513"/>
      <w:r>
        <w:rPr>
          <w:rFonts w:hint="eastAsia"/>
          <w:sz w:val="28"/>
          <w:szCs w:val="28"/>
        </w:rPr>
        <w:t>总则</w:t>
      </w:r>
    </w:p>
    <w:bookmarkEnd w:id="49"/>
    <w:p>
      <w:pPr>
        <w:rPr>
          <w:rFonts w:ascii="黑体" w:hAnsi="宋体" w:eastAsia="黑体"/>
          <w:sz w:val="24"/>
        </w:rPr>
      </w:pPr>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51"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pPr>
      <w:r>
        <w:rPr>
          <w:rFonts w:hint="eastAsia" w:ascii="宋体" w:hAnsi="宋体"/>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pPr>
        <w:ind w:firstLine="411" w:firstLineChars="196"/>
        <w:rPr>
          <w:rFonts w:ascii="宋体" w:hAnsi="宋体"/>
        </w:rPr>
      </w:pPr>
    </w:p>
    <w:p>
      <w:pPr>
        <w:pStyle w:val="5"/>
        <w:numPr>
          <w:ilvl w:val="0"/>
          <w:numId w:val="11"/>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3"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pPr>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54"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4"/>
    <w:p>
      <w:pPr>
        <w:rPr>
          <w:rFonts w:ascii="黑体" w:hAnsi="宋体" w:eastAsia="黑体"/>
          <w:sz w:val="24"/>
        </w:rPr>
      </w:pPr>
      <w:r>
        <w:rPr>
          <w:rFonts w:hint="eastAsia" w:ascii="黑体" w:hAnsi="宋体" w:eastAsia="黑体"/>
          <w:sz w:val="24"/>
        </w:rPr>
        <w:t>15．</w:t>
      </w:r>
      <w:bookmarkStart w:id="55"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55"/>
    <w:p>
      <w:pPr>
        <w:rPr>
          <w:rFonts w:ascii="黑体" w:hAnsi="宋体" w:eastAsia="黑体"/>
          <w:sz w:val="24"/>
        </w:rPr>
      </w:pPr>
      <w:r>
        <w:rPr>
          <w:rFonts w:hint="eastAsia" w:ascii="黑体" w:hAnsi="宋体" w:eastAsia="黑体"/>
          <w:sz w:val="24"/>
        </w:rPr>
        <w:t>18．</w:t>
      </w:r>
      <w:bookmarkStart w:id="56"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6"/>
    <w:p>
      <w:pPr>
        <w:rPr>
          <w:rFonts w:ascii="黑体" w:hAnsi="宋体" w:eastAsia="黑体"/>
          <w:sz w:val="24"/>
        </w:rPr>
      </w:pPr>
      <w:r>
        <w:rPr>
          <w:rFonts w:hint="eastAsia" w:ascii="黑体" w:hAnsi="宋体" w:eastAsia="黑体"/>
          <w:sz w:val="24"/>
        </w:rPr>
        <w:t>19．</w:t>
      </w:r>
      <w:bookmarkStart w:id="57"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8"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8"/>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57"/>
    <w:p>
      <w:pPr>
        <w:ind w:firstLine="411" w:firstLineChars="196"/>
        <w:rPr>
          <w:rFonts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pPr>
        <w:rPr>
          <w:rFonts w:ascii="黑体" w:hAnsi="宋体" w:eastAsia="黑体"/>
          <w:sz w:val="24"/>
        </w:rPr>
      </w:pPr>
      <w:r>
        <w:rPr>
          <w:rFonts w:hint="eastAsia" w:ascii="黑体" w:hAnsi="宋体" w:eastAsia="黑体"/>
          <w:sz w:val="24"/>
        </w:rPr>
        <w:t>21．</w:t>
      </w:r>
      <w:bookmarkStart w:id="60"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0"/>
    <w:p>
      <w:pPr>
        <w:rPr>
          <w:rFonts w:ascii="黑体" w:hAnsi="宋体" w:eastAsia="黑体"/>
          <w:sz w:val="24"/>
        </w:rPr>
      </w:pPr>
      <w:r>
        <w:rPr>
          <w:rFonts w:hint="eastAsia" w:ascii="黑体" w:hAnsi="宋体" w:eastAsia="黑体"/>
          <w:sz w:val="24"/>
        </w:rPr>
        <w:t>23．</w:t>
      </w:r>
      <w:bookmarkStart w:id="6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1"/>
    <w:p>
      <w:pPr>
        <w:ind w:firstLine="411" w:firstLineChars="196"/>
        <w:rPr>
          <w:rFonts w:ascii="宋体" w:hAnsi="宋体"/>
        </w:rPr>
      </w:pPr>
      <w:r>
        <w:rPr>
          <w:rFonts w:hint="eastAsia" w:ascii="宋体" w:hAnsi="宋体"/>
        </w:rPr>
        <w:t>23.1投标人应准备所投项目的电子投标文件一份。</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pPr>
        <w:ind w:firstLine="411" w:firstLineChars="196"/>
        <w:rPr>
          <w:rFonts w:ascii="宋体" w:hAnsi="宋体"/>
        </w:rPr>
      </w:pPr>
    </w:p>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62" w:name="_Hlk72405459"/>
      <w:r>
        <w:rPr>
          <w:rFonts w:hint="eastAsia" w:ascii="黑体" w:hAnsi="宋体" w:eastAsia="黑体"/>
          <w:sz w:val="24"/>
        </w:rPr>
        <w:t>24．投标文件的保密</w:t>
      </w:r>
    </w:p>
    <w:p>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ascii="宋体" w:hAnsi="宋体"/>
          <w:b/>
        </w:rPr>
      </w:pPr>
      <w:r>
        <w:rPr>
          <w:rFonts w:hint="eastAsia" w:ascii="宋体" w:hAnsi="宋体"/>
          <w:b/>
        </w:rPr>
        <w:t>24.2若采购项目出现延期情况：</w:t>
      </w:r>
    </w:p>
    <w:p>
      <w:pPr>
        <w:ind w:firstLine="421"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2"/>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6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3"/>
    <w:p>
      <w:pPr>
        <w:pStyle w:val="5"/>
        <w:numPr>
          <w:ilvl w:val="0"/>
          <w:numId w:val="11"/>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6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6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5"/>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66" w:name="_Toc100052400"/>
      <w:bookmarkStart w:id="67" w:name="_Toc73521669"/>
      <w:bookmarkStart w:id="68" w:name="_Toc73517673"/>
      <w:bookmarkStart w:id="69" w:name="_Toc73518151"/>
      <w:bookmarkStart w:id="70" w:name="_Toc73521581"/>
      <w:r>
        <w:rPr>
          <w:rFonts w:hint="eastAsia" w:ascii="黑体" w:hAnsi="宋体" w:eastAsia="黑体"/>
          <w:sz w:val="24"/>
        </w:rPr>
        <w:t>34．错误的修正</w:t>
      </w:r>
      <w:bookmarkEnd w:id="66"/>
      <w:bookmarkEnd w:id="67"/>
      <w:bookmarkEnd w:id="68"/>
      <w:bookmarkEnd w:id="69"/>
      <w:bookmarkEnd w:id="70"/>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r>
        <w:rPr>
          <w:rFonts w:hint="eastAsia" w:ascii="宋体" w:hAnsi="宋体"/>
          <w:b/>
          <w:bCs/>
          <w:szCs w:val="21"/>
        </w:rPr>
        <w:t>37.1.1最低价法</w:t>
      </w:r>
    </w:p>
    <w:p>
      <w:pPr>
        <w:ind w:firstLine="411" w:firstLineChars="196"/>
        <w:rPr>
          <w:rFonts w:hint="eastAsia" w:ascii="ˎ̥" w:hAnsi="ˎ̥"/>
        </w:rPr>
      </w:pPr>
      <w:bookmarkStart w:id="71"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1"/>
    </w:p>
    <w:p>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b/>
          <w:bCs/>
          <w:sz w:val="24"/>
        </w:rPr>
      </w:pPr>
      <w:r>
        <w:rPr>
          <w:rFonts w:hint="eastAsia" w:ascii="黑体" w:hAnsi="宋体" w:eastAsia="黑体"/>
          <w:sz w:val="24"/>
        </w:rPr>
        <w:t>38．定标方法</w:t>
      </w:r>
    </w:p>
    <w:p>
      <w:pPr>
        <w:ind w:firstLine="413" w:firstLineChars="196"/>
        <w:rPr>
          <w:rFonts w:ascii="宋体" w:hAnsi="宋体"/>
          <w:b/>
          <w:bCs/>
          <w:szCs w:val="21"/>
        </w:rPr>
      </w:pPr>
      <w:r>
        <w:rPr>
          <w:rFonts w:hint="eastAsia" w:ascii="宋体" w:hAnsi="宋体"/>
          <w:b/>
          <w:bCs/>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pPr>
        <w:rPr>
          <w:rFonts w:hint="eastAsia" w:ascii="ˎ̥" w:hAnsi="ˎ̥"/>
        </w:rPr>
      </w:pPr>
    </w:p>
    <w:p>
      <w:pPr>
        <w:ind w:firstLine="413" w:firstLineChars="196"/>
        <w:rPr>
          <w:rFonts w:ascii="宋体" w:hAnsi="宋体"/>
          <w:b/>
          <w:bCs/>
          <w:szCs w:val="21"/>
        </w:rPr>
      </w:pPr>
      <w:r>
        <w:rPr>
          <w:rFonts w:hint="eastAsia" w:ascii="宋体" w:hAnsi="宋体"/>
          <w:b/>
          <w:bCs/>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7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4"/>
      <w:bookmarkStart w:id="7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5"/>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bookmarkStart w:id="76" w:name="_Hlk71407340"/>
      <w:r>
        <w:rPr>
          <w:rFonts w:hint="eastAsia" w:ascii="宋体" w:hAnsi="宋体"/>
          <w:szCs w:val="21"/>
        </w:rPr>
        <w:t>41</w:t>
      </w:r>
      <w:r>
        <w:rPr>
          <w:rFonts w:ascii="宋体" w:hAnsi="宋体"/>
          <w:szCs w:val="21"/>
        </w:rPr>
        <w:t>.</w:t>
      </w:r>
      <w:r>
        <w:rPr>
          <w:rFonts w:hint="eastAsia" w:ascii="宋体" w:hAnsi="宋体"/>
          <w:szCs w:val="21"/>
        </w:rPr>
        <w:t>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76"/>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pPr>
        <w:rPr>
          <w:rFonts w:ascii="黑体" w:hAnsi="宋体" w:eastAsia="黑体"/>
          <w:sz w:val="24"/>
        </w:rPr>
      </w:pPr>
    </w:p>
    <w:p>
      <w:pPr>
        <w:pStyle w:val="5"/>
        <w:numPr>
          <w:ilvl w:val="0"/>
          <w:numId w:val="11"/>
        </w:numPr>
        <w:spacing w:before="120" w:beforeLines="50" w:after="120" w:afterLines="50"/>
        <w:ind w:left="562" w:hanging="562"/>
        <w:rPr>
          <w:sz w:val="28"/>
          <w:szCs w:val="28"/>
        </w:rPr>
      </w:pPr>
      <w:bookmarkStart w:id="78" w:name="_Hlk72439043"/>
      <w:r>
        <w:rPr>
          <w:rFonts w:hint="eastAsia"/>
          <w:sz w:val="28"/>
          <w:szCs w:val="28"/>
        </w:rPr>
        <w:t>合同的授予与备案</w:t>
      </w:r>
      <w:bookmarkEnd w:id="78"/>
    </w:p>
    <w:p>
      <w:pPr>
        <w:rPr>
          <w:rFonts w:ascii="黑体" w:hAnsi="宋体" w:eastAsia="黑体"/>
          <w:sz w:val="24"/>
        </w:rPr>
      </w:pPr>
      <w:bookmarkStart w:id="79" w:name="_Toc100052408"/>
      <w:bookmarkStart w:id="80" w:name="_Toc73518157"/>
      <w:bookmarkStart w:id="81" w:name="_Toc73521674"/>
      <w:bookmarkStart w:id="82" w:name="_Toc73521586"/>
      <w:bookmarkStart w:id="83" w:name="_Toc73517679"/>
      <w:bookmarkStart w:id="84" w:name="_Hlk72439088"/>
      <w:r>
        <w:rPr>
          <w:rFonts w:hint="eastAsia" w:ascii="黑体" w:hAnsi="宋体" w:eastAsia="黑体"/>
          <w:sz w:val="24"/>
        </w:rPr>
        <w:t>43．合同授予标准</w:t>
      </w:r>
      <w:bookmarkEnd w:id="79"/>
      <w:bookmarkEnd w:id="80"/>
      <w:bookmarkEnd w:id="81"/>
      <w:bookmarkEnd w:id="82"/>
      <w:bookmarkEnd w:id="83"/>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85" w:name="_Toc73521675"/>
      <w:bookmarkStart w:id="86" w:name="_Toc73518158"/>
      <w:bookmarkStart w:id="87" w:name="_Toc100052409"/>
      <w:bookmarkStart w:id="88" w:name="_Toc73517680"/>
      <w:bookmarkStart w:id="89" w:name="_Toc73521587"/>
      <w:r>
        <w:rPr>
          <w:rFonts w:hint="eastAsia" w:ascii="黑体" w:hAnsi="宋体" w:eastAsia="黑体"/>
          <w:sz w:val="24"/>
        </w:rPr>
        <w:t>44．</w:t>
      </w:r>
      <w:bookmarkEnd w:id="85"/>
      <w:bookmarkEnd w:id="86"/>
      <w:bookmarkEnd w:id="87"/>
      <w:bookmarkEnd w:id="88"/>
      <w:bookmarkEnd w:id="89"/>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90" w:name="_Toc73521589"/>
      <w:bookmarkStart w:id="91" w:name="_Toc73518160"/>
      <w:bookmarkStart w:id="92" w:name="_Toc100052410"/>
      <w:bookmarkStart w:id="93" w:name="_Toc73517682"/>
      <w:bookmarkStart w:id="94" w:name="_Toc73521677"/>
      <w:r>
        <w:rPr>
          <w:rFonts w:hint="eastAsia" w:ascii="黑体" w:hAnsi="宋体" w:eastAsia="黑体"/>
          <w:sz w:val="24"/>
        </w:rPr>
        <w:t>45．合同的签订</w:t>
      </w:r>
      <w:bookmarkEnd w:id="90"/>
      <w:bookmarkEnd w:id="91"/>
      <w:bookmarkEnd w:id="92"/>
      <w:bookmarkEnd w:id="93"/>
      <w:bookmarkEnd w:id="94"/>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95" w:name="_Toc73517683"/>
      <w:bookmarkStart w:id="96" w:name="_Toc73518161"/>
      <w:bookmarkStart w:id="97" w:name="_Toc73521678"/>
      <w:bookmarkStart w:id="98" w:name="_Toc73521590"/>
      <w:bookmarkStart w:id="99" w:name="_Toc100052411"/>
      <w:r>
        <w:rPr>
          <w:rFonts w:hint="eastAsia" w:ascii="黑体" w:hAnsi="宋体" w:eastAsia="黑体"/>
          <w:sz w:val="24"/>
        </w:rPr>
        <w:t>46．履约担保</w:t>
      </w:r>
      <w:bookmarkEnd w:id="95"/>
      <w:bookmarkEnd w:id="96"/>
      <w:bookmarkEnd w:id="97"/>
      <w:bookmarkEnd w:id="98"/>
      <w:bookmarkEnd w:id="99"/>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pPr>
        <w:rPr>
          <w:rFonts w:ascii="黑体" w:hAnsi="宋体" w:eastAsia="黑体"/>
          <w:sz w:val="24"/>
        </w:rPr>
      </w:pP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4"/>
    <w:p>
      <w:pPr>
        <w:pStyle w:val="5"/>
        <w:numPr>
          <w:ilvl w:val="0"/>
          <w:numId w:val="11"/>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color w:val="FF0000"/>
          <w:szCs w:val="21"/>
        </w:rPr>
      </w:pPr>
      <w:r>
        <w:rPr>
          <w:rFonts w:hint="eastAsia" w:ascii="宋体" w:hAnsi="宋体"/>
          <w:color w:val="FF0000"/>
          <w:szCs w:val="21"/>
        </w:rPr>
        <w:t>52.5提交方式</w:t>
      </w:r>
    </w:p>
    <w:p>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pPr>
        <w:ind w:firstLine="421"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pPr>
        <w:ind w:firstLine="480" w:firstLineChars="200"/>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p>
    <w:bookmarkEnd w:id="48"/>
    <w:p/>
    <w:p>
      <w:pPr>
        <w:ind w:firstLine="420" w:firstLineChars="200"/>
        <w:rPr>
          <w:rFonts w:ascii="宋体" w:hAnsi="宋体"/>
          <w:szCs w:val="21"/>
        </w:rPr>
      </w:pPr>
    </w:p>
    <w:sectPr>
      <w:pgSz w:w="11907" w:h="16840"/>
      <w:pgMar w:top="1440" w:right="1797" w:bottom="1440" w:left="1797" w:header="851" w:footer="992" w:gutter="0"/>
      <w:pgNumType w:fmt="decimal"/>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2000019F" w:csb1="00000000"/>
  </w:font>
  <w:font w:name="ˎ̥">
    <w:altName w:val="C059"/>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 w:name="Ubuntu Light">
    <w:panose1 w:val="020B0604030602030204"/>
    <w:charset w:val="00"/>
    <w:family w:val="auto"/>
    <w:pitch w:val="default"/>
    <w:sig w:usb0="E00002FF" w:usb1="5000205B" w:usb2="00000000" w:usb3="00000000" w:csb0="2000009F" w:csb1="56010000"/>
  </w:font>
  <w:font w:name="Liberation Sans">
    <w:panose1 w:val="020B06040202020202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8"/>
                      <w:rPr>
                        <w:rStyle w:val="46"/>
                      </w:rPr>
                    </w:pPr>
                    <w:r>
                      <w:rPr>
                        <w:rStyle w:val="46"/>
                      </w:rPr>
                      <w:t xml:space="preserve">— </w:t>
                    </w:r>
                    <w:r>
                      <w:rPr>
                        <w:rStyle w:val="46"/>
                      </w:rPr>
                      <w:fldChar w:fldCharType="begin"/>
                    </w:r>
                    <w:r>
                      <w:rPr>
                        <w:rStyle w:val="46"/>
                      </w:rPr>
                      <w:instrText xml:space="preserve"> PAGE  \* MERGEFORMAT </w:instrText>
                    </w:r>
                    <w:r>
                      <w:rPr>
                        <w:rStyle w:val="46"/>
                      </w:rPr>
                      <w:fldChar w:fldCharType="separate"/>
                    </w:r>
                    <w:r>
                      <w:rPr>
                        <w:rStyle w:val="46"/>
                      </w:rPr>
                      <w:t>5</w:t>
                    </w:r>
                    <w:r>
                      <w:rPr>
                        <w:rStyle w:val="46"/>
                      </w:rPr>
                      <w:fldChar w:fldCharType="end"/>
                    </w:r>
                    <w:r>
                      <w:rPr>
                        <w:rStyle w:val="4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3613039"/>
    <w:rsid w:val="036202D4"/>
    <w:rsid w:val="038A1BB2"/>
    <w:rsid w:val="03D07714"/>
    <w:rsid w:val="03E618D8"/>
    <w:rsid w:val="04B94B88"/>
    <w:rsid w:val="04C74740"/>
    <w:rsid w:val="05262D76"/>
    <w:rsid w:val="056F462F"/>
    <w:rsid w:val="05FD48BE"/>
    <w:rsid w:val="06270849"/>
    <w:rsid w:val="06552DE0"/>
    <w:rsid w:val="06783F44"/>
    <w:rsid w:val="067D4F9E"/>
    <w:rsid w:val="06D71535"/>
    <w:rsid w:val="07515FD1"/>
    <w:rsid w:val="07991A83"/>
    <w:rsid w:val="08CA370B"/>
    <w:rsid w:val="097E5D15"/>
    <w:rsid w:val="09F07824"/>
    <w:rsid w:val="0A0932C7"/>
    <w:rsid w:val="0A506477"/>
    <w:rsid w:val="0A8A4C86"/>
    <w:rsid w:val="0AFE1472"/>
    <w:rsid w:val="0B5A630E"/>
    <w:rsid w:val="0C8D726E"/>
    <w:rsid w:val="0CE05750"/>
    <w:rsid w:val="0CE73BD2"/>
    <w:rsid w:val="0D1077DD"/>
    <w:rsid w:val="0D22265C"/>
    <w:rsid w:val="0EA162F1"/>
    <w:rsid w:val="0F2A5FF8"/>
    <w:rsid w:val="0F4F55B5"/>
    <w:rsid w:val="0F523385"/>
    <w:rsid w:val="10594DE6"/>
    <w:rsid w:val="10907D14"/>
    <w:rsid w:val="110658A6"/>
    <w:rsid w:val="114A387E"/>
    <w:rsid w:val="11A5684D"/>
    <w:rsid w:val="120E7E09"/>
    <w:rsid w:val="123D4E07"/>
    <w:rsid w:val="12562AA0"/>
    <w:rsid w:val="13873A19"/>
    <w:rsid w:val="156B7273"/>
    <w:rsid w:val="159B504D"/>
    <w:rsid w:val="16420B24"/>
    <w:rsid w:val="167F40D4"/>
    <w:rsid w:val="169B65A7"/>
    <w:rsid w:val="16CB4F50"/>
    <w:rsid w:val="17853B61"/>
    <w:rsid w:val="17CB121D"/>
    <w:rsid w:val="17F11DA8"/>
    <w:rsid w:val="183A1C0C"/>
    <w:rsid w:val="18CD6371"/>
    <w:rsid w:val="199E5A21"/>
    <w:rsid w:val="1AC90DBB"/>
    <w:rsid w:val="1B942A09"/>
    <w:rsid w:val="1BB61013"/>
    <w:rsid w:val="1BCE272A"/>
    <w:rsid w:val="1BDF7E16"/>
    <w:rsid w:val="1C4C11C0"/>
    <w:rsid w:val="1CB10948"/>
    <w:rsid w:val="1D035455"/>
    <w:rsid w:val="1D2B1804"/>
    <w:rsid w:val="1D2D465B"/>
    <w:rsid w:val="1D504B86"/>
    <w:rsid w:val="1D792624"/>
    <w:rsid w:val="1E3950C5"/>
    <w:rsid w:val="1E4808ED"/>
    <w:rsid w:val="1EA71413"/>
    <w:rsid w:val="1EDFEE13"/>
    <w:rsid w:val="1EF74DC9"/>
    <w:rsid w:val="20913CBA"/>
    <w:rsid w:val="20B365BA"/>
    <w:rsid w:val="20B478B5"/>
    <w:rsid w:val="20DB5404"/>
    <w:rsid w:val="210118AD"/>
    <w:rsid w:val="210E5779"/>
    <w:rsid w:val="239D567C"/>
    <w:rsid w:val="25973F8F"/>
    <w:rsid w:val="25B12A01"/>
    <w:rsid w:val="25D01852"/>
    <w:rsid w:val="27034AD1"/>
    <w:rsid w:val="280C250B"/>
    <w:rsid w:val="28CF69C0"/>
    <w:rsid w:val="28DD6E23"/>
    <w:rsid w:val="2A4F0167"/>
    <w:rsid w:val="2ADE7026"/>
    <w:rsid w:val="2CDD21EA"/>
    <w:rsid w:val="2D8206C8"/>
    <w:rsid w:val="2EEC40A0"/>
    <w:rsid w:val="2EFD1FF8"/>
    <w:rsid w:val="2FD74BE1"/>
    <w:rsid w:val="307410C2"/>
    <w:rsid w:val="308D0856"/>
    <w:rsid w:val="31121EF5"/>
    <w:rsid w:val="31EF7704"/>
    <w:rsid w:val="329F26D5"/>
    <w:rsid w:val="32A63A63"/>
    <w:rsid w:val="33305B83"/>
    <w:rsid w:val="338B6C3E"/>
    <w:rsid w:val="35380BBF"/>
    <w:rsid w:val="35AF558A"/>
    <w:rsid w:val="37CE75B8"/>
    <w:rsid w:val="37E1109A"/>
    <w:rsid w:val="380A6843"/>
    <w:rsid w:val="39E14173"/>
    <w:rsid w:val="3A571AE7"/>
    <w:rsid w:val="3A660185"/>
    <w:rsid w:val="3AB5776D"/>
    <w:rsid w:val="3BD57167"/>
    <w:rsid w:val="3BDD4E74"/>
    <w:rsid w:val="3BFF6441"/>
    <w:rsid w:val="3C7E4EDD"/>
    <w:rsid w:val="3D3E2AEA"/>
    <w:rsid w:val="3E824310"/>
    <w:rsid w:val="3EB53DB8"/>
    <w:rsid w:val="3F2415CF"/>
    <w:rsid w:val="405C2C22"/>
    <w:rsid w:val="406568BE"/>
    <w:rsid w:val="40B97C69"/>
    <w:rsid w:val="40E813E9"/>
    <w:rsid w:val="41103AB3"/>
    <w:rsid w:val="411A2A57"/>
    <w:rsid w:val="4185067D"/>
    <w:rsid w:val="41A2641C"/>
    <w:rsid w:val="424E1A22"/>
    <w:rsid w:val="426828AB"/>
    <w:rsid w:val="42A11473"/>
    <w:rsid w:val="42B555FD"/>
    <w:rsid w:val="42D24149"/>
    <w:rsid w:val="42E51F94"/>
    <w:rsid w:val="43210EE4"/>
    <w:rsid w:val="43FD54AD"/>
    <w:rsid w:val="44502E5B"/>
    <w:rsid w:val="4487121B"/>
    <w:rsid w:val="44C558EE"/>
    <w:rsid w:val="45C77963"/>
    <w:rsid w:val="45E17242"/>
    <w:rsid w:val="46CF4FC2"/>
    <w:rsid w:val="46EC288D"/>
    <w:rsid w:val="46F7F1D9"/>
    <w:rsid w:val="47B6656B"/>
    <w:rsid w:val="48C170B3"/>
    <w:rsid w:val="49461E07"/>
    <w:rsid w:val="49574862"/>
    <w:rsid w:val="4A5406A2"/>
    <w:rsid w:val="4AC519F6"/>
    <w:rsid w:val="4B110B90"/>
    <w:rsid w:val="4D0E24D9"/>
    <w:rsid w:val="4D4B1098"/>
    <w:rsid w:val="4D624570"/>
    <w:rsid w:val="4E444B87"/>
    <w:rsid w:val="50242014"/>
    <w:rsid w:val="53083749"/>
    <w:rsid w:val="5355411C"/>
    <w:rsid w:val="53590226"/>
    <w:rsid w:val="53861F6A"/>
    <w:rsid w:val="541D74A6"/>
    <w:rsid w:val="54803EF9"/>
    <w:rsid w:val="55FD133D"/>
    <w:rsid w:val="561244DD"/>
    <w:rsid w:val="562B3B54"/>
    <w:rsid w:val="563A27AE"/>
    <w:rsid w:val="56F15429"/>
    <w:rsid w:val="56FF9D45"/>
    <w:rsid w:val="573F362D"/>
    <w:rsid w:val="58B205DA"/>
    <w:rsid w:val="59562254"/>
    <w:rsid w:val="59BC506B"/>
    <w:rsid w:val="5A5A0B0C"/>
    <w:rsid w:val="5AB92201"/>
    <w:rsid w:val="5B847B74"/>
    <w:rsid w:val="5CED3FF9"/>
    <w:rsid w:val="5D4476FB"/>
    <w:rsid w:val="5D6972B8"/>
    <w:rsid w:val="5E8B3C4B"/>
    <w:rsid w:val="5ED8763C"/>
    <w:rsid w:val="5EDD8440"/>
    <w:rsid w:val="5EFD23AE"/>
    <w:rsid w:val="5FC96642"/>
    <w:rsid w:val="5FED4B05"/>
    <w:rsid w:val="60032513"/>
    <w:rsid w:val="601574AE"/>
    <w:rsid w:val="60257F58"/>
    <w:rsid w:val="61250170"/>
    <w:rsid w:val="614B2DC9"/>
    <w:rsid w:val="61FE97B7"/>
    <w:rsid w:val="62111B39"/>
    <w:rsid w:val="634925E3"/>
    <w:rsid w:val="65735661"/>
    <w:rsid w:val="665E5750"/>
    <w:rsid w:val="66D07694"/>
    <w:rsid w:val="66DF6794"/>
    <w:rsid w:val="678877B3"/>
    <w:rsid w:val="67E1648C"/>
    <w:rsid w:val="6823716A"/>
    <w:rsid w:val="684844D6"/>
    <w:rsid w:val="68DA5D31"/>
    <w:rsid w:val="69A9410F"/>
    <w:rsid w:val="6A633A0D"/>
    <w:rsid w:val="6A7A0D56"/>
    <w:rsid w:val="6B100175"/>
    <w:rsid w:val="6B63693E"/>
    <w:rsid w:val="6D0E2679"/>
    <w:rsid w:val="6D4621DE"/>
    <w:rsid w:val="6DE55656"/>
    <w:rsid w:val="6E261BA7"/>
    <w:rsid w:val="6E660432"/>
    <w:rsid w:val="6E681C31"/>
    <w:rsid w:val="6E8D3E82"/>
    <w:rsid w:val="6ED7625C"/>
    <w:rsid w:val="6F01127F"/>
    <w:rsid w:val="6F135292"/>
    <w:rsid w:val="70F50EBA"/>
    <w:rsid w:val="71266569"/>
    <w:rsid w:val="717C6A58"/>
    <w:rsid w:val="71D60130"/>
    <w:rsid w:val="7366631C"/>
    <w:rsid w:val="73FA5E27"/>
    <w:rsid w:val="741E4FC3"/>
    <w:rsid w:val="743957DE"/>
    <w:rsid w:val="7447637A"/>
    <w:rsid w:val="74C667AB"/>
    <w:rsid w:val="74C876B4"/>
    <w:rsid w:val="757440A2"/>
    <w:rsid w:val="75F73A2A"/>
    <w:rsid w:val="75FC7405"/>
    <w:rsid w:val="76085468"/>
    <w:rsid w:val="76465F91"/>
    <w:rsid w:val="769958F2"/>
    <w:rsid w:val="76E96805"/>
    <w:rsid w:val="770266B0"/>
    <w:rsid w:val="77640DC4"/>
    <w:rsid w:val="77E577FB"/>
    <w:rsid w:val="784576F8"/>
    <w:rsid w:val="78767A5E"/>
    <w:rsid w:val="793D0B51"/>
    <w:rsid w:val="79BC0CE2"/>
    <w:rsid w:val="79DF8E6A"/>
    <w:rsid w:val="7A57076C"/>
    <w:rsid w:val="7B471C92"/>
    <w:rsid w:val="7BA619AB"/>
    <w:rsid w:val="7BEBE654"/>
    <w:rsid w:val="7C2E374F"/>
    <w:rsid w:val="7CFE3D1B"/>
    <w:rsid w:val="7D584F27"/>
    <w:rsid w:val="7DEB27D3"/>
    <w:rsid w:val="7E79616E"/>
    <w:rsid w:val="7E816BC7"/>
    <w:rsid w:val="7EF402AF"/>
    <w:rsid w:val="7F2E3DC9"/>
    <w:rsid w:val="7F9FFB43"/>
    <w:rsid w:val="7FF0375A"/>
    <w:rsid w:val="97FDB7C3"/>
    <w:rsid w:val="A7A7F48B"/>
    <w:rsid w:val="B8FB0E35"/>
    <w:rsid w:val="BBF41B67"/>
    <w:rsid w:val="C0FB20C7"/>
    <w:rsid w:val="EBD7DC28"/>
    <w:rsid w:val="F0BFD6D2"/>
    <w:rsid w:val="FDFD29B5"/>
    <w:rsid w:val="FFFB1BB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9"/>
    <w:qFormat/>
    <w:uiPriority w:val="0"/>
    <w:pPr>
      <w:adjustRightInd w:val="0"/>
      <w:jc w:val="center"/>
      <w:textAlignment w:val="baseline"/>
      <w:outlineLvl w:val="1"/>
    </w:pPr>
    <w:rPr>
      <w:kern w:val="0"/>
      <w:sz w:val="24"/>
      <w:szCs w:val="20"/>
    </w:rPr>
  </w:style>
  <w:style w:type="paragraph" w:styleId="3">
    <w:name w:val="heading 3"/>
    <w:basedOn w:val="4"/>
    <w:next w:val="1"/>
    <w:link w:val="53"/>
    <w:qFormat/>
    <w:uiPriority w:val="9"/>
    <w:pPr>
      <w:spacing w:before="260" w:after="260" w:line="240" w:lineRule="auto"/>
      <w:outlineLvl w:val="2"/>
    </w:pPr>
    <w:rPr>
      <w:rFonts w:ascii="宋体" w:hAnsi="宋体" w:eastAsia="宋体"/>
      <w:szCs w:val="32"/>
    </w:rPr>
  </w:style>
  <w:style w:type="paragraph" w:styleId="4">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8"/>
    <w:qFormat/>
    <w:uiPriority w:val="0"/>
    <w:pPr>
      <w:keepNext/>
      <w:keepLines/>
      <w:spacing w:before="280" w:after="290" w:line="376" w:lineRule="auto"/>
      <w:outlineLvl w:val="4"/>
    </w:pPr>
    <w:rPr>
      <w:b/>
      <w:sz w:val="28"/>
      <w:szCs w:val="20"/>
    </w:rPr>
  </w:style>
  <w:style w:type="paragraph" w:styleId="8">
    <w:name w:val="heading 6"/>
    <w:basedOn w:val="1"/>
    <w:next w:val="7"/>
    <w:link w:val="8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2"/>
    <w:qFormat/>
    <w:uiPriority w:val="0"/>
    <w:pPr>
      <w:keepNext/>
      <w:keepLines/>
      <w:spacing w:before="240" w:after="64" w:line="320" w:lineRule="auto"/>
      <w:outlineLvl w:val="6"/>
    </w:pPr>
    <w:rPr>
      <w:b/>
      <w:sz w:val="24"/>
      <w:szCs w:val="20"/>
    </w:rPr>
  </w:style>
  <w:style w:type="paragraph" w:styleId="10">
    <w:name w:val="heading 8"/>
    <w:basedOn w:val="1"/>
    <w:next w:val="7"/>
    <w:link w:val="8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6"/>
    <w:qFormat/>
    <w:uiPriority w:val="0"/>
    <w:pPr>
      <w:spacing w:after="120"/>
    </w:pPr>
    <w:rPr>
      <w:sz w:val="16"/>
      <w:szCs w:val="16"/>
    </w:rPr>
  </w:style>
  <w:style w:type="paragraph" w:styleId="18">
    <w:name w:val="Body Text"/>
    <w:basedOn w:val="1"/>
    <w:next w:val="19"/>
    <w:link w:val="90"/>
    <w:qFormat/>
    <w:uiPriority w:val="0"/>
    <w:pPr>
      <w:spacing w:line="360" w:lineRule="auto"/>
    </w:pPr>
    <w:rPr>
      <w:b/>
      <w:bCs/>
      <w:sz w:val="24"/>
    </w:rPr>
  </w:style>
  <w:style w:type="paragraph" w:styleId="19">
    <w:name w:val="Body Text 2"/>
    <w:basedOn w:val="1"/>
    <w:link w:val="94"/>
    <w:qFormat/>
    <w:uiPriority w:val="0"/>
    <w:pPr>
      <w:spacing w:line="360" w:lineRule="auto"/>
    </w:pPr>
    <w:rPr>
      <w:sz w:val="24"/>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8"/>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4"/>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3"/>
    <w:qFormat/>
    <w:uiPriority w:val="9"/>
    <w:rPr>
      <w:rFonts w:ascii="宋体" w:hAnsi="宋体" w:eastAsia="宋体"/>
      <w:b/>
      <w:bCs/>
      <w:kern w:val="2"/>
      <w:sz w:val="28"/>
      <w:szCs w:val="32"/>
      <w:lang w:val="en-US" w:eastAsia="zh-CN" w:bidi="ar-SA"/>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5"/>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6"/>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8"/>
    <w:qFormat/>
    <w:uiPriority w:val="0"/>
    <w:rPr>
      <w:rFonts w:ascii="Arial" w:hAnsi="Arial" w:eastAsia="黑体"/>
      <w:b/>
      <w:kern w:val="2"/>
      <w:sz w:val="24"/>
      <w:lang w:val="en-US" w:eastAsia="zh-CN" w:bidi="ar-SA"/>
    </w:rPr>
  </w:style>
  <w:style w:type="character" w:customStyle="1" w:styleId="82">
    <w:name w:val="标题 7 Char"/>
    <w:link w:val="9"/>
    <w:qFormat/>
    <w:uiPriority w:val="0"/>
    <w:rPr>
      <w:rFonts w:eastAsia="宋体"/>
      <w:b/>
      <w:kern w:val="2"/>
      <w:sz w:val="24"/>
      <w:lang w:val="en-US" w:eastAsia="zh-CN" w:bidi="ar-SA"/>
    </w:rPr>
  </w:style>
  <w:style w:type="character" w:customStyle="1" w:styleId="83">
    <w:name w:val="标题 8 Char"/>
    <w:link w:val="10"/>
    <w:qFormat/>
    <w:uiPriority w:val="0"/>
    <w:rPr>
      <w:rFonts w:ascii="Arial" w:hAnsi="Arial" w:eastAsia="黑体"/>
      <w:kern w:val="2"/>
      <w:sz w:val="24"/>
      <w:lang w:val="en-US" w:eastAsia="zh-CN" w:bidi="ar-SA"/>
    </w:rPr>
  </w:style>
  <w:style w:type="character" w:customStyle="1" w:styleId="84">
    <w:name w:val="标题 9 Char"/>
    <w:link w:val="11"/>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8"/>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19"/>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7"/>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6"/>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6">
    <w:name w:val="null3"/>
    <w:hidden/>
    <w:qFormat/>
    <w:uiPriority w:val="0"/>
    <w:rPr>
      <w:rFonts w:hint="eastAsia" w:asciiTheme="minorHAnsi" w:hAnsiTheme="minorHAnsi" w:eastAsiaTheme="minorEastAsia" w:cstheme="minorBidi"/>
      <w:lang w:val="en-US" w:eastAsia="zh-Hans"/>
    </w:rPr>
  </w:style>
  <w:style w:type="character" w:customStyle="1" w:styleId="197">
    <w:name w:val="font71"/>
    <w:basedOn w:val="4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46415</Words>
  <Characters>48712</Characters>
  <Lines>340</Lines>
  <Paragraphs>95</Paragraphs>
  <TotalTime>0</TotalTime>
  <ScaleCrop>false</ScaleCrop>
  <LinksUpToDate>false</LinksUpToDate>
  <CharactersWithSpaces>50230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2021-04-25T00:29:00Z</dcterms:created>
  <dc:creator>thsware</dc:creator>
  <cp:lastModifiedBy>Simon</cp:lastModifiedBy>
  <cp:lastPrinted>2025-11-15T15:38:00Z</cp:lastPrinted>
  <dcterms:modified xsi:type="dcterms:W3CDTF">2025-11-21T17:18:18Z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00E32389ED6740BF926289D1144E161C_13</vt:lpwstr>
  </property>
  <property fmtid="{D5CDD505-2E9C-101B-9397-08002B2CF9AE}" pid="4" name="KSOTemplateDocerSaveRecord">
    <vt:lpwstr>eyJoZGlkIjoiOGFmZmZkNzUwOTAxOWMyMmE5MGJlMDdmOWVlYTQ5MGMiLCJ1c2VySWQiOiIxMzE2MDAzMzgwIn0=</vt:lpwstr>
  </property>
</Properties>
</file>