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Times New Roman" w:hAnsi="Times New Roman" w:eastAsia="方正小标宋简体" w:cs="Times New Roman"/>
          <w:bCs/>
          <w:sz w:val="44"/>
          <w:szCs w:val="44"/>
        </w:rPr>
      </w:pPr>
    </w:p>
    <w:p>
      <w:pPr>
        <w:adjustRightInd w:val="0"/>
        <w:snapToGrid w:val="0"/>
        <w:spacing w:line="560" w:lineRule="exact"/>
        <w:jc w:val="center"/>
        <w:rPr>
          <w:rFonts w:ascii="Times New Roman" w:hAnsi="Times New Roman" w:eastAsia="方正小标宋简体" w:cs="Times New Roman"/>
          <w:bCs/>
          <w:sz w:val="44"/>
          <w:szCs w:val="44"/>
        </w:rPr>
      </w:pPr>
    </w:p>
    <w:p>
      <w:pPr>
        <w:adjustRightInd w:val="0"/>
        <w:snapToGrid w:val="0"/>
        <w:spacing w:line="560" w:lineRule="exact"/>
        <w:jc w:val="center"/>
        <w:rPr>
          <w:rFonts w:ascii="Times New Roman" w:hAnsi="Times New Roman" w:eastAsia="方正小标宋简体" w:cs="Times New Roman"/>
          <w:bCs/>
          <w:sz w:val="44"/>
          <w:szCs w:val="44"/>
        </w:rPr>
      </w:pPr>
    </w:p>
    <w:p>
      <w:pPr>
        <w:adjustRightInd w:val="0"/>
        <w:snapToGrid w:val="0"/>
        <w:spacing w:line="560" w:lineRule="exact"/>
        <w:jc w:val="center"/>
        <w:rPr>
          <w:rFonts w:ascii="Times New Roman" w:hAnsi="Times New Roman" w:eastAsia="方正小标宋简体" w:cs="Times New Roman"/>
          <w:bCs/>
          <w:sz w:val="44"/>
          <w:szCs w:val="44"/>
        </w:rPr>
      </w:pPr>
    </w:p>
    <w:p>
      <w:pPr>
        <w:adjustRightInd w:val="0"/>
        <w:snapToGrid w:val="0"/>
        <w:spacing w:line="560" w:lineRule="exact"/>
        <w:jc w:val="center"/>
        <w:rPr>
          <w:rFonts w:ascii="Times New Roman" w:hAnsi="Times New Roman" w:eastAsia="方正小标宋简体" w:cs="Times New Roman"/>
          <w:bCs/>
          <w:sz w:val="44"/>
          <w:szCs w:val="44"/>
        </w:rPr>
      </w:pPr>
    </w:p>
    <w:p>
      <w:pPr>
        <w:adjustRightInd w:val="0"/>
        <w:snapToGrid w:val="0"/>
        <w:spacing w:line="560" w:lineRule="exact"/>
        <w:jc w:val="center"/>
        <w:rPr>
          <w:rFonts w:ascii="Times New Roman" w:hAnsi="Times New Roman" w:eastAsia="方正小标宋简体" w:cs="Times New Roman"/>
          <w:bCs/>
          <w:sz w:val="44"/>
          <w:szCs w:val="44"/>
        </w:rPr>
      </w:pPr>
    </w:p>
    <w:p>
      <w:pPr>
        <w:adjustRightInd w:val="0"/>
        <w:snapToGrid w:val="0"/>
        <w:spacing w:line="560" w:lineRule="exact"/>
        <w:jc w:val="center"/>
        <w:rPr>
          <w:rFonts w:ascii="Times New Roman" w:hAnsi="Times New Roman" w:eastAsia="方正小标宋简体" w:cs="Times New Roman"/>
          <w:bCs/>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盐田区机关幼儿园拆除重建工程项目</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和盐港幼儿园建设工程项目</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绩效评价报告</w:t>
      </w:r>
    </w:p>
    <w:p>
      <w:pPr>
        <w:adjustRightInd w:val="0"/>
        <w:snapToGrid w:val="0"/>
        <w:spacing w:line="560" w:lineRule="exact"/>
        <w:jc w:val="center"/>
        <w:rPr>
          <w:rFonts w:hint="eastAsia" w:ascii="方正小标宋简体" w:hAnsi="方正小标宋简体" w:eastAsia="方正小标宋简体" w:cs="方正小标宋简体"/>
          <w:bCs/>
          <w:sz w:val="44"/>
          <w:szCs w:val="44"/>
        </w:rPr>
      </w:pPr>
    </w:p>
    <w:p>
      <w:pPr>
        <w:adjustRightInd w:val="0"/>
        <w:snapToGrid w:val="0"/>
        <w:spacing w:line="560" w:lineRule="exact"/>
        <w:jc w:val="center"/>
        <w:rPr>
          <w:rFonts w:hint="eastAsia" w:ascii="方正小标宋简体" w:hAnsi="方正小标宋简体" w:eastAsia="方正小标宋简体" w:cs="方正小标宋简体"/>
          <w:bCs/>
          <w:sz w:val="44"/>
          <w:szCs w:val="44"/>
        </w:rPr>
      </w:pPr>
    </w:p>
    <w:p>
      <w:pPr>
        <w:adjustRightInd w:val="0"/>
        <w:snapToGrid w:val="0"/>
        <w:spacing w:line="560" w:lineRule="exact"/>
        <w:jc w:val="center"/>
        <w:rPr>
          <w:rFonts w:hint="eastAsia" w:ascii="方正小标宋简体" w:hAnsi="方正小标宋简体" w:eastAsia="方正小标宋简体" w:cs="方正小标宋简体"/>
          <w:bCs/>
          <w:sz w:val="44"/>
          <w:szCs w:val="44"/>
        </w:rPr>
      </w:pPr>
    </w:p>
    <w:p>
      <w:pPr>
        <w:adjustRightInd w:val="0"/>
        <w:snapToGrid w:val="0"/>
        <w:spacing w:line="560" w:lineRule="exact"/>
        <w:jc w:val="center"/>
        <w:rPr>
          <w:rFonts w:hint="eastAsia" w:ascii="方正小标宋简体" w:hAnsi="方正小标宋简体" w:eastAsia="方正小标宋简体" w:cs="方正小标宋简体"/>
          <w:bCs/>
          <w:sz w:val="44"/>
          <w:szCs w:val="44"/>
        </w:rPr>
      </w:pPr>
    </w:p>
    <w:p>
      <w:pPr>
        <w:adjustRightInd w:val="0"/>
        <w:snapToGrid w:val="0"/>
        <w:spacing w:line="560" w:lineRule="exact"/>
        <w:jc w:val="center"/>
        <w:rPr>
          <w:rFonts w:hint="eastAsia" w:ascii="方正小标宋简体" w:hAnsi="方正小标宋简体" w:eastAsia="方正小标宋简体" w:cs="方正小标宋简体"/>
          <w:bCs/>
          <w:sz w:val="44"/>
          <w:szCs w:val="44"/>
        </w:rPr>
      </w:pPr>
    </w:p>
    <w:p>
      <w:pPr>
        <w:adjustRightInd w:val="0"/>
        <w:snapToGrid w:val="0"/>
        <w:spacing w:line="560" w:lineRule="exact"/>
        <w:jc w:val="center"/>
        <w:rPr>
          <w:rFonts w:hint="eastAsia" w:ascii="方正小标宋简体" w:hAnsi="方正小标宋简体" w:eastAsia="方正小标宋简体" w:cs="方正小标宋简体"/>
          <w:bCs/>
          <w:sz w:val="44"/>
          <w:szCs w:val="44"/>
        </w:rPr>
      </w:pPr>
    </w:p>
    <w:p>
      <w:pPr>
        <w:adjustRightInd w:val="0"/>
        <w:snapToGrid w:val="0"/>
        <w:spacing w:line="560" w:lineRule="exact"/>
        <w:jc w:val="center"/>
        <w:rPr>
          <w:rFonts w:hint="eastAsia" w:ascii="方正小标宋简体" w:hAnsi="方正小标宋简体" w:eastAsia="方正小标宋简体" w:cs="方正小标宋简体"/>
          <w:bCs/>
          <w:sz w:val="44"/>
          <w:szCs w:val="44"/>
        </w:rPr>
      </w:pPr>
    </w:p>
    <w:p>
      <w:pPr>
        <w:adjustRightInd w:val="0"/>
        <w:snapToGrid w:val="0"/>
        <w:spacing w:line="560" w:lineRule="exact"/>
        <w:jc w:val="center"/>
        <w:rPr>
          <w:rFonts w:hint="eastAsia" w:ascii="方正小标宋简体" w:hAnsi="方正小标宋简体" w:eastAsia="方正小标宋简体" w:cs="方正小标宋简体"/>
          <w:bCs/>
          <w:sz w:val="44"/>
          <w:szCs w:val="44"/>
        </w:rPr>
      </w:pPr>
    </w:p>
    <w:p>
      <w:pPr>
        <w:adjustRightInd w:val="0"/>
        <w:snapToGrid w:val="0"/>
        <w:spacing w:line="560" w:lineRule="exact"/>
        <w:jc w:val="center"/>
        <w:rPr>
          <w:rFonts w:hint="eastAsia" w:ascii="方正小标宋简体" w:hAnsi="方正小标宋简体" w:eastAsia="方正小标宋简体" w:cs="方正小标宋简体"/>
          <w:bCs/>
          <w:sz w:val="44"/>
          <w:szCs w:val="44"/>
        </w:rPr>
      </w:pPr>
    </w:p>
    <w:p>
      <w:pPr>
        <w:adjustRightInd w:val="0"/>
        <w:snapToGrid w:val="0"/>
        <w:spacing w:line="560" w:lineRule="exact"/>
        <w:jc w:val="center"/>
        <w:rPr>
          <w:rFonts w:hint="eastAsia" w:ascii="方正小标宋简体" w:hAnsi="方正小标宋简体" w:eastAsia="方正小标宋简体" w:cs="方正小标宋简体"/>
          <w:bCs/>
          <w:sz w:val="44"/>
          <w:szCs w:val="44"/>
        </w:rPr>
      </w:pPr>
    </w:p>
    <w:p>
      <w:pPr>
        <w:adjustRightInd w:val="0"/>
        <w:snapToGrid w:val="0"/>
        <w:spacing w:line="560" w:lineRule="exact"/>
        <w:jc w:val="both"/>
        <w:rPr>
          <w:rFonts w:hint="eastAsia" w:ascii="方正小标宋简体" w:hAnsi="方正小标宋简体" w:eastAsia="方正小标宋简体" w:cs="方正小标宋简体"/>
          <w:bCs/>
          <w:sz w:val="44"/>
          <w:szCs w:val="44"/>
        </w:rPr>
      </w:pPr>
    </w:p>
    <w:p>
      <w:pPr>
        <w:autoSpaceDE/>
        <w:autoSpaceDN/>
        <w:adjustRightInd w:val="0"/>
        <w:snapToGrid w:val="0"/>
        <w:spacing w:before="0" w:beforeLines="-2147483648" w:line="560" w:lineRule="exact"/>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lang w:val="en-US" w:eastAsia="zh-Hans"/>
        </w:rPr>
        <w:t>深圳市盐田区财政局</w:t>
      </w:r>
    </w:p>
    <w:p>
      <w:pPr>
        <w:autoSpaceDE w:val="0"/>
        <w:autoSpaceDN w:val="0"/>
        <w:spacing w:before="156" w:beforeLines="50" w:line="560" w:lineRule="exact"/>
        <w:ind w:firstLine="640" w:firstLineChars="200"/>
        <w:jc w:val="both"/>
        <w:rPr>
          <w:rFonts w:hint="eastAsia" w:ascii="Times New Roman" w:hAnsi="Times New Roman" w:eastAsia="仿宋_GB2312" w:cs="Times New Roman"/>
          <w:sz w:val="32"/>
          <w:szCs w:val="32"/>
        </w:rPr>
      </w:pPr>
    </w:p>
    <w:p>
      <w:pPr>
        <w:autoSpaceDE w:val="0"/>
        <w:autoSpaceDN w:val="0"/>
        <w:spacing w:before="156" w:beforeLines="5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为贯彻《中共中央</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国务院关于全面实施预算绩效管理的意见》（中发〔2018〕34号）文件精神，落实预算绩效管理主体责任，提高财政资金的使用效益，</w:t>
      </w:r>
      <w:r>
        <w:rPr>
          <w:rFonts w:hint="eastAsia" w:ascii="Times New Roman" w:hAnsi="Times New Roman" w:eastAsia="仿宋_GB2312" w:cs="Times New Roman"/>
          <w:sz w:val="32"/>
          <w:szCs w:val="32"/>
          <w:lang w:val="en-US" w:eastAsia="zh-Hans"/>
        </w:rPr>
        <w:t>深圳市盐田区财政</w:t>
      </w:r>
      <w:r>
        <w:rPr>
          <w:rFonts w:ascii="Times New Roman" w:hAnsi="Times New Roman" w:eastAsia="仿宋_GB2312" w:cs="Times New Roman"/>
          <w:kern w:val="0"/>
          <w:sz w:val="32"/>
          <w:szCs w:val="32"/>
        </w:rPr>
        <w:t>局组建评价小组，对盐港幼儿园建设工程项目</w:t>
      </w:r>
      <w:r>
        <w:rPr>
          <w:rFonts w:hint="eastAsia" w:ascii="Times New Roman" w:hAnsi="Times New Roman" w:eastAsia="仿宋_GB2312" w:cs="Times New Roman"/>
          <w:kern w:val="0"/>
          <w:sz w:val="32"/>
          <w:szCs w:val="32"/>
        </w:rPr>
        <w:t>和</w:t>
      </w:r>
      <w:r>
        <w:rPr>
          <w:rFonts w:ascii="Times New Roman" w:hAnsi="Times New Roman" w:eastAsia="仿宋_GB2312" w:cs="Times New Roman"/>
          <w:kern w:val="0"/>
          <w:sz w:val="32"/>
          <w:szCs w:val="32"/>
        </w:rPr>
        <w:t>盐田区机关幼儿园拆除重建工程项目</w:t>
      </w:r>
      <w:r>
        <w:rPr>
          <w:rFonts w:hint="eastAsia" w:ascii="Times New Roman" w:hAnsi="Times New Roman" w:eastAsia="仿宋_GB2312" w:cs="Times New Roman"/>
          <w:kern w:val="0"/>
          <w:sz w:val="32"/>
          <w:szCs w:val="32"/>
          <w:lang w:val="en-US" w:eastAsia="zh-Hans"/>
        </w:rPr>
        <w:t>实施了</w:t>
      </w:r>
      <w:r>
        <w:rPr>
          <w:rFonts w:ascii="Times New Roman" w:hAnsi="Times New Roman" w:eastAsia="仿宋_GB2312" w:cs="Times New Roman"/>
          <w:kern w:val="0"/>
          <w:sz w:val="32"/>
          <w:szCs w:val="32"/>
        </w:rPr>
        <w:t>绩效评价。</w:t>
      </w:r>
      <w:bookmarkStart w:id="0" w:name="_Toc4075_WPSOffice_Level1"/>
    </w:p>
    <w:bookmarkEnd w:id="0"/>
    <w:p>
      <w:pPr>
        <w:keepNext/>
        <w:keepLines/>
        <w:pageBreakBefore w:val="0"/>
        <w:widowControl/>
        <w:numPr>
          <w:ilvl w:val="255"/>
          <w:numId w:val="0"/>
        </w:numPr>
        <w:kinsoku/>
        <w:wordWrap/>
        <w:overflowPunct/>
        <w:topLinePunct w:val="0"/>
        <w:autoSpaceDE/>
        <w:autoSpaceDN/>
        <w:bidi w:val="0"/>
        <w:adjustRightInd w:val="0"/>
        <w:snapToGrid w:val="0"/>
        <w:spacing w:line="560" w:lineRule="exact"/>
        <w:ind w:firstLine="640" w:firstLineChars="200"/>
        <w:jc w:val="left"/>
        <w:outlineLvl w:val="0"/>
        <w:rPr>
          <w:rFonts w:ascii="Times New Roman" w:hAnsi="Times New Roman" w:eastAsia="黑体" w:cs="Times New Roman"/>
          <w:kern w:val="44"/>
          <w:sz w:val="32"/>
          <w:szCs w:val="32"/>
          <w:lang w:eastAsia="zh-Hans"/>
        </w:rPr>
      </w:pPr>
      <w:bookmarkStart w:id="1" w:name="_Toc27682"/>
      <w:bookmarkStart w:id="2" w:name="_Toc951940316"/>
      <w:bookmarkStart w:id="3" w:name="_Toc1801"/>
      <w:bookmarkStart w:id="4" w:name="_Toc1891118068"/>
      <w:bookmarkStart w:id="5" w:name="_Toc118235214"/>
      <w:bookmarkStart w:id="6" w:name="_Toc685831133"/>
      <w:r>
        <w:rPr>
          <w:rFonts w:hint="eastAsia" w:ascii="Times New Roman" w:hAnsi="Times New Roman" w:eastAsia="黑体" w:cs="Times New Roman"/>
          <w:kern w:val="44"/>
          <w:sz w:val="32"/>
          <w:szCs w:val="32"/>
          <w:lang w:eastAsia="zh-Hans"/>
        </w:rPr>
        <w:t>一、基本情况</w:t>
      </w:r>
      <w:bookmarkEnd w:id="1"/>
      <w:bookmarkEnd w:id="2"/>
      <w:bookmarkEnd w:id="3"/>
      <w:bookmarkEnd w:id="4"/>
      <w:bookmarkEnd w:id="5"/>
      <w:bookmarkEnd w:id="6"/>
    </w:p>
    <w:p>
      <w:pPr>
        <w:pStyle w:val="5"/>
        <w:pageBreakBefore w:val="0"/>
        <w:kinsoku/>
        <w:wordWrap/>
        <w:overflowPunct/>
        <w:topLinePunct w:val="0"/>
        <w:autoSpaceDE/>
        <w:autoSpaceDN/>
        <w:bidi w:val="0"/>
        <w:spacing w:before="0" w:after="0" w:line="560" w:lineRule="exact"/>
        <w:ind w:firstLine="640" w:firstLineChars="200"/>
        <w:rPr>
          <w:rFonts w:ascii="Times New Roman" w:hAnsi="Times New Roman" w:eastAsia="楷体_GB2312" w:cs="Times New Roman"/>
          <w:b w:val="0"/>
          <w:bCs w:val="0"/>
        </w:rPr>
      </w:pPr>
      <w:bookmarkStart w:id="7" w:name="_Toc118235215"/>
      <w:bookmarkStart w:id="8" w:name="_Toc557326530"/>
      <w:bookmarkStart w:id="9" w:name="_Toc876003670"/>
      <w:bookmarkStart w:id="10" w:name="_Toc99414127"/>
      <w:bookmarkStart w:id="11" w:name="_Toc21685"/>
      <w:bookmarkStart w:id="12" w:name="_Toc27369"/>
      <w:bookmarkStart w:id="13" w:name="_Toc19813593"/>
      <w:r>
        <w:rPr>
          <w:rFonts w:hint="eastAsia" w:ascii="Times New Roman" w:hAnsi="Times New Roman" w:eastAsia="楷体_GB2312" w:cs="Times New Roman"/>
          <w:b w:val="0"/>
          <w:bCs w:val="0"/>
        </w:rPr>
        <w:t>（一）</w:t>
      </w:r>
      <w:r>
        <w:rPr>
          <w:rFonts w:hint="eastAsia" w:ascii="Times New Roman" w:hAnsi="Times New Roman" w:eastAsia="楷体_GB2312" w:cs="Times New Roman"/>
          <w:b w:val="0"/>
          <w:bCs w:val="0"/>
          <w:lang w:val="en-US" w:eastAsia="zh-Hans"/>
        </w:rPr>
        <w:t>项目建设背景</w:t>
      </w:r>
      <w:bookmarkEnd w:id="7"/>
      <w:bookmarkEnd w:id="8"/>
      <w:bookmarkEnd w:id="9"/>
      <w:bookmarkEnd w:id="10"/>
      <w:bookmarkEnd w:id="11"/>
      <w:bookmarkEnd w:id="12"/>
      <w:bookmarkEnd w:id="13"/>
    </w:p>
    <w:p>
      <w:pPr>
        <w:pageBreakBefore w:val="0"/>
        <w:kinsoku/>
        <w:wordWrap/>
        <w:overflowPunct/>
        <w:topLinePunct w:val="0"/>
        <w:autoSpaceDE/>
        <w:autoSpaceDN/>
        <w:bidi w:val="0"/>
        <w:spacing w:line="560" w:lineRule="exact"/>
        <w:ind w:firstLine="640" w:firstLineChars="200"/>
        <w:rPr>
          <w:rFonts w:ascii="Times New Roman" w:hAnsi="Times New Roman" w:eastAsia="仿宋_GB2312" w:cs="Times New Roman"/>
          <w:b w:val="0"/>
          <w:bCs w:val="0"/>
          <w:sz w:val="28"/>
          <w:szCs w:val="28"/>
        </w:rPr>
      </w:pPr>
      <w:r>
        <w:rPr>
          <w:rFonts w:hint="eastAsia" w:ascii="Times New Roman" w:hAnsi="Times New Roman" w:eastAsia="仿宋_GB2312" w:cs="Times New Roman"/>
          <w:kern w:val="0"/>
          <w:sz w:val="32"/>
          <w:szCs w:val="32"/>
        </w:rPr>
        <w:t>为贯彻落实</w:t>
      </w:r>
      <w:r>
        <w:rPr>
          <w:rFonts w:ascii="Times New Roman" w:hAnsi="Times New Roman" w:eastAsia="仿宋_GB2312" w:cs="Times New Roman"/>
          <w:kern w:val="0"/>
          <w:sz w:val="32"/>
          <w:szCs w:val="32"/>
        </w:rPr>
        <w:t>《中共中央</w:t>
      </w:r>
      <w:r>
        <w:rPr>
          <w:rFonts w:hint="eastAsia" w:ascii="Times New Roman" w:hAnsi="Times New Roman" w:eastAsia="仿宋_GB2312" w:cs="Times New Roman"/>
          <w:kern w:val="0"/>
          <w:sz w:val="32"/>
          <w:szCs w:val="32"/>
        </w:rPr>
        <w:t xml:space="preserve"> </w:t>
      </w:r>
      <w:r>
        <w:rPr>
          <w:rFonts w:ascii="Times New Roman" w:hAnsi="Times New Roman" w:eastAsia="仿宋_GB2312" w:cs="Times New Roman"/>
          <w:kern w:val="0"/>
          <w:sz w:val="32"/>
          <w:szCs w:val="32"/>
        </w:rPr>
        <w:t>国务院关于学前教育深化改革规范发展的若干意见》《深圳市人民政府办公厅关于进一步深化改革促进学前教育普惠优质发展的意见》（深府办规〔2019〕2号）</w:t>
      </w:r>
      <w:r>
        <w:rPr>
          <w:rFonts w:hint="eastAsia" w:ascii="Times New Roman" w:hAnsi="Times New Roman" w:eastAsia="仿宋_GB2312" w:cs="Times New Roman"/>
          <w:kern w:val="0"/>
          <w:sz w:val="32"/>
          <w:szCs w:val="32"/>
        </w:rPr>
        <w:t>等文件精神，着力</w:t>
      </w:r>
      <w:r>
        <w:rPr>
          <w:rFonts w:ascii="Times New Roman" w:hAnsi="Times New Roman" w:eastAsia="仿宋_GB2312" w:cs="Times New Roman"/>
          <w:kern w:val="0"/>
          <w:sz w:val="32"/>
          <w:szCs w:val="32"/>
        </w:rPr>
        <w:t>解决</w:t>
      </w:r>
      <w:r>
        <w:rPr>
          <w:rFonts w:hint="eastAsia" w:ascii="Times New Roman" w:hAnsi="Times New Roman" w:eastAsia="仿宋_GB2312" w:cs="Times New Roman"/>
          <w:kern w:val="0"/>
          <w:sz w:val="32"/>
          <w:szCs w:val="32"/>
        </w:rPr>
        <w:t>幼儿“</w:t>
      </w:r>
      <w:r>
        <w:rPr>
          <w:rFonts w:ascii="Times New Roman" w:hAnsi="Times New Roman" w:eastAsia="仿宋_GB2312" w:cs="Times New Roman"/>
          <w:kern w:val="0"/>
          <w:sz w:val="32"/>
          <w:szCs w:val="32"/>
        </w:rPr>
        <w:t>入园难</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入园贵</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的问题</w:t>
      </w:r>
      <w:r>
        <w:rPr>
          <w:rFonts w:hint="eastAsia" w:ascii="Times New Roman" w:hAnsi="Times New Roman" w:eastAsia="仿宋_GB2312" w:cs="Times New Roman"/>
          <w:kern w:val="0"/>
          <w:sz w:val="32"/>
          <w:szCs w:val="32"/>
        </w:rPr>
        <w:t>，盐田区借力专项债券</w:t>
      </w:r>
      <w:r>
        <w:rPr>
          <w:rFonts w:hint="eastAsia" w:ascii="Times New Roman" w:hAnsi="Times New Roman" w:eastAsia="仿宋_GB2312" w:cs="Times New Roman"/>
          <w:kern w:val="0"/>
          <w:sz w:val="32"/>
          <w:szCs w:val="32"/>
          <w:lang w:val="en-US" w:eastAsia="zh-Hans"/>
        </w:rPr>
        <w:t>筹集建设资金，开展了</w:t>
      </w:r>
      <w:r>
        <w:rPr>
          <w:rFonts w:ascii="Times New Roman" w:hAnsi="Times New Roman" w:eastAsia="仿宋_GB2312" w:cs="Times New Roman"/>
          <w:kern w:val="0"/>
          <w:sz w:val="32"/>
          <w:szCs w:val="32"/>
        </w:rPr>
        <w:t>盐港幼儿园建设工程项目</w:t>
      </w:r>
      <w:r>
        <w:rPr>
          <w:rFonts w:hint="eastAsia" w:ascii="Times New Roman" w:hAnsi="Times New Roman" w:eastAsia="仿宋_GB2312" w:cs="Times New Roman"/>
          <w:kern w:val="0"/>
          <w:sz w:val="32"/>
          <w:szCs w:val="32"/>
        </w:rPr>
        <w:t>和</w:t>
      </w:r>
      <w:r>
        <w:rPr>
          <w:rFonts w:ascii="Times New Roman" w:hAnsi="Times New Roman" w:eastAsia="仿宋_GB2312" w:cs="Times New Roman"/>
          <w:kern w:val="0"/>
          <w:sz w:val="32"/>
          <w:szCs w:val="32"/>
        </w:rPr>
        <w:t>盐田区机关幼儿园拆除重建工程项目</w:t>
      </w:r>
      <w:r>
        <w:rPr>
          <w:rFonts w:hint="eastAsia" w:ascii="Times New Roman" w:hAnsi="Times New Roman" w:eastAsia="仿宋_GB2312" w:cs="Times New Roman"/>
          <w:kern w:val="0"/>
          <w:sz w:val="32"/>
          <w:szCs w:val="32"/>
        </w:rPr>
        <w:t>（以下该两个项目分别简称“盐港幼儿园项目”和“机关幼儿园项目”，合并简称“项目”）</w:t>
      </w:r>
      <w:r>
        <w:rPr>
          <w:rFonts w:hint="eastAsia" w:ascii="Times New Roman" w:hAnsi="Times New Roman" w:eastAsia="仿宋_GB2312" w:cs="Times New Roman"/>
          <w:kern w:val="0"/>
          <w:sz w:val="32"/>
          <w:szCs w:val="32"/>
          <w:lang w:eastAsia="zh-Hans"/>
        </w:rPr>
        <w:t>。</w:t>
      </w:r>
      <w:r>
        <w:rPr>
          <w:rFonts w:hint="eastAsia" w:ascii="Times New Roman" w:hAnsi="Times New Roman" w:eastAsia="仿宋_GB2312" w:cs="Times New Roman"/>
          <w:b w:val="0"/>
          <w:bCs w:val="0"/>
          <w:kern w:val="0"/>
          <w:sz w:val="32"/>
          <w:szCs w:val="32"/>
          <w:lang w:val="en-US" w:eastAsia="zh-Hans"/>
        </w:rPr>
        <w:t>其中，</w:t>
      </w:r>
      <w:r>
        <w:rPr>
          <w:rFonts w:ascii="Times New Roman" w:hAnsi="Times New Roman" w:eastAsia="仿宋_GB2312" w:cs="Times New Roman"/>
          <w:b w:val="0"/>
          <w:bCs w:val="0"/>
          <w:kern w:val="0"/>
          <w:sz w:val="32"/>
          <w:szCs w:val="32"/>
        </w:rPr>
        <w:t>盐港幼儿园项目位于深圳市盐田港后方陆域，</w:t>
      </w:r>
      <w:r>
        <w:rPr>
          <w:rFonts w:hint="eastAsia" w:ascii="Times New Roman" w:hAnsi="Times New Roman" w:eastAsia="仿宋_GB2312" w:cs="Times New Roman"/>
          <w:b w:val="0"/>
          <w:bCs w:val="0"/>
          <w:kern w:val="0"/>
          <w:sz w:val="32"/>
          <w:szCs w:val="32"/>
        </w:rPr>
        <w:t>占地</w:t>
      </w:r>
      <w:r>
        <w:rPr>
          <w:rFonts w:ascii="Times New Roman" w:hAnsi="Times New Roman" w:eastAsia="仿宋_GB2312" w:cs="Times New Roman"/>
          <w:b w:val="0"/>
          <w:bCs w:val="0"/>
          <w:kern w:val="0"/>
          <w:sz w:val="32"/>
          <w:szCs w:val="32"/>
        </w:rPr>
        <w:t>面积6,340平方米，建筑面积13,895平方米</w:t>
      </w:r>
      <w:r>
        <w:rPr>
          <w:rFonts w:hint="eastAsia" w:ascii="Times New Roman" w:hAnsi="Times New Roman" w:eastAsia="仿宋_GB2312" w:cs="Times New Roman"/>
          <w:b w:val="0"/>
          <w:bCs w:val="0"/>
          <w:kern w:val="0"/>
          <w:sz w:val="32"/>
          <w:szCs w:val="32"/>
        </w:rPr>
        <w:t>，</w:t>
      </w:r>
      <w:r>
        <w:rPr>
          <w:rFonts w:ascii="Times New Roman" w:hAnsi="Times New Roman" w:eastAsia="仿宋_GB2312" w:cs="Times New Roman"/>
          <w:b w:val="0"/>
          <w:bCs w:val="0"/>
          <w:kern w:val="0"/>
          <w:sz w:val="32"/>
          <w:szCs w:val="32"/>
        </w:rPr>
        <w:t>于2018年12月25日开工，2021年12月19日竣工验收</w:t>
      </w:r>
      <w:r>
        <w:rPr>
          <w:rFonts w:hint="eastAsia" w:ascii="Times New Roman" w:hAnsi="Times New Roman" w:eastAsia="仿宋_GB2312" w:cs="Times New Roman"/>
          <w:b w:val="0"/>
          <w:bCs w:val="0"/>
          <w:kern w:val="0"/>
          <w:sz w:val="32"/>
          <w:szCs w:val="32"/>
        </w:rPr>
        <w:t>。</w:t>
      </w:r>
      <w:r>
        <w:rPr>
          <w:rFonts w:ascii="Times New Roman" w:hAnsi="Times New Roman" w:eastAsia="仿宋_GB2312" w:cs="Times New Roman"/>
          <w:b w:val="0"/>
          <w:bCs w:val="0"/>
          <w:kern w:val="0"/>
          <w:sz w:val="32"/>
          <w:szCs w:val="32"/>
        </w:rPr>
        <w:t>机关幼儿园项目位于海山街道，占地面积为3,948.19平方米</w:t>
      </w:r>
      <w:r>
        <w:rPr>
          <w:rFonts w:hint="eastAsia" w:ascii="Times New Roman" w:hAnsi="Times New Roman" w:eastAsia="仿宋_GB2312" w:cs="Times New Roman"/>
          <w:b w:val="0"/>
          <w:bCs w:val="0"/>
          <w:kern w:val="0"/>
          <w:sz w:val="32"/>
          <w:szCs w:val="32"/>
        </w:rPr>
        <w:t>，</w:t>
      </w:r>
      <w:r>
        <w:rPr>
          <w:rFonts w:ascii="Times New Roman" w:hAnsi="Times New Roman" w:eastAsia="仿宋_GB2312" w:cs="Times New Roman"/>
          <w:b w:val="0"/>
          <w:bCs w:val="0"/>
          <w:kern w:val="0"/>
          <w:sz w:val="32"/>
          <w:szCs w:val="32"/>
        </w:rPr>
        <w:t>建筑面积8,422.75平方米。于2020年11月9日开工，目前尚未完工</w:t>
      </w:r>
      <w:r>
        <w:rPr>
          <w:rFonts w:hint="eastAsia" w:ascii="Times New Roman" w:hAnsi="Times New Roman" w:eastAsia="仿宋_GB2312" w:cs="Times New Roman"/>
          <w:b w:val="0"/>
          <w:bCs w:val="0"/>
          <w:kern w:val="0"/>
          <w:sz w:val="32"/>
          <w:szCs w:val="32"/>
        </w:rPr>
        <w:t>。</w:t>
      </w:r>
    </w:p>
    <w:p>
      <w:pPr>
        <w:pageBreakBefore w:val="0"/>
        <w:kinsoku/>
        <w:wordWrap/>
        <w:overflowPunct/>
        <w:topLinePunct w:val="0"/>
        <w:autoSpaceDE/>
        <w:autoSpaceDN/>
        <w:bidi w:val="0"/>
        <w:spacing w:line="560" w:lineRule="exact"/>
        <w:ind w:firstLine="640" w:firstLineChars="200"/>
        <w:rPr>
          <w:rFonts w:hint="eastAsia" w:ascii="楷体_GB2312" w:hAnsi="楷体_GB2312" w:eastAsia="楷体_GB2312" w:cs="楷体_GB2312"/>
          <w:b w:val="0"/>
          <w:bCs/>
          <w:kern w:val="0"/>
          <w:sz w:val="32"/>
          <w:szCs w:val="32"/>
          <w:lang w:val="en-US" w:eastAsia="zh-Hans"/>
        </w:rPr>
      </w:pPr>
      <w:r>
        <w:rPr>
          <w:rFonts w:hint="eastAsia" w:ascii="楷体_GB2312" w:hAnsi="楷体_GB2312" w:eastAsia="楷体_GB2312" w:cs="楷体_GB2312"/>
          <w:b w:val="0"/>
          <w:bCs/>
          <w:kern w:val="0"/>
          <w:sz w:val="32"/>
          <w:szCs w:val="32"/>
          <w:lang w:eastAsia="zh-Hans"/>
        </w:rPr>
        <w:t>（</w:t>
      </w:r>
      <w:r>
        <w:rPr>
          <w:rFonts w:hint="eastAsia" w:ascii="楷体_GB2312" w:hAnsi="楷体_GB2312" w:eastAsia="楷体_GB2312" w:cs="楷体_GB2312"/>
          <w:b w:val="0"/>
          <w:bCs/>
          <w:kern w:val="0"/>
          <w:sz w:val="32"/>
          <w:szCs w:val="32"/>
          <w:lang w:val="en-US" w:eastAsia="zh-Hans"/>
        </w:rPr>
        <w:t>二）项目组织管理情况</w:t>
      </w:r>
    </w:p>
    <w:p>
      <w:pPr>
        <w:pageBreakBefore w:val="0"/>
        <w:kinsoku/>
        <w:wordWrap/>
        <w:overflowPunct/>
        <w:topLinePunct w:val="0"/>
        <w:autoSpaceDE/>
        <w:autoSpaceDN/>
        <w:bidi w:val="0"/>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 w:val="0"/>
          <w:bCs/>
          <w:kern w:val="0"/>
          <w:sz w:val="32"/>
          <w:szCs w:val="32"/>
        </w:rPr>
        <w:t>盐田区政府投资项目前期工作办公室</w:t>
      </w:r>
      <w:r>
        <w:rPr>
          <w:rFonts w:ascii="Times New Roman" w:hAnsi="Times New Roman" w:eastAsia="仿宋_GB2312" w:cs="Times New Roman"/>
          <w:bCs/>
          <w:kern w:val="0"/>
          <w:sz w:val="32"/>
          <w:szCs w:val="32"/>
        </w:rPr>
        <w:t>（以下简称</w:t>
      </w:r>
      <w:r>
        <w:rPr>
          <w:rFonts w:hint="eastAsia" w:ascii="Times New Roman" w:hAnsi="Times New Roman" w:eastAsia="仿宋_GB2312" w:cs="Times New Roman"/>
          <w:bCs/>
          <w:kern w:val="0"/>
          <w:sz w:val="32"/>
          <w:szCs w:val="32"/>
        </w:rPr>
        <w:t>“</w:t>
      </w:r>
      <w:r>
        <w:rPr>
          <w:rFonts w:ascii="Times New Roman" w:hAnsi="Times New Roman" w:eastAsia="仿宋_GB2312" w:cs="Times New Roman"/>
          <w:bCs/>
          <w:kern w:val="0"/>
          <w:sz w:val="32"/>
          <w:szCs w:val="32"/>
        </w:rPr>
        <w:t>区前期办</w:t>
      </w:r>
      <w:r>
        <w:rPr>
          <w:rFonts w:hint="eastAsia" w:ascii="Times New Roman" w:hAnsi="Times New Roman" w:eastAsia="仿宋_GB2312" w:cs="Times New Roman"/>
          <w:bCs/>
          <w:kern w:val="0"/>
          <w:sz w:val="32"/>
          <w:szCs w:val="32"/>
        </w:rPr>
        <w:t>”</w:t>
      </w:r>
      <w:r>
        <w:rPr>
          <w:rFonts w:ascii="Times New Roman" w:hAnsi="Times New Roman" w:eastAsia="仿宋_GB2312" w:cs="Times New Roman"/>
          <w:bCs/>
          <w:kern w:val="0"/>
          <w:sz w:val="32"/>
          <w:szCs w:val="32"/>
        </w:rPr>
        <w:t>）负责项目前期工作</w:t>
      </w:r>
      <w:r>
        <w:rPr>
          <w:rFonts w:hint="eastAsia" w:ascii="Times New Roman" w:hAnsi="Times New Roman" w:eastAsia="仿宋_GB2312" w:cs="Times New Roman"/>
          <w:bCs/>
          <w:kern w:val="0"/>
          <w:sz w:val="32"/>
          <w:szCs w:val="32"/>
        </w:rPr>
        <w:t>，</w:t>
      </w:r>
      <w:r>
        <w:rPr>
          <w:rFonts w:ascii="Times New Roman" w:hAnsi="Times New Roman" w:eastAsia="仿宋_GB2312" w:cs="Times New Roman"/>
          <w:bCs/>
          <w:kern w:val="0"/>
          <w:sz w:val="32"/>
          <w:szCs w:val="32"/>
        </w:rPr>
        <w:t>包括项目可行性研究报告编制、项目初步设计及概算编制</w:t>
      </w:r>
      <w:r>
        <w:rPr>
          <w:rFonts w:hint="eastAsia" w:ascii="Times New Roman" w:hAnsi="Times New Roman" w:eastAsia="仿宋_GB2312" w:cs="Times New Roman"/>
          <w:bCs/>
          <w:kern w:val="0"/>
          <w:sz w:val="32"/>
          <w:szCs w:val="32"/>
        </w:rPr>
        <w:t>等；</w:t>
      </w:r>
      <w:r>
        <w:rPr>
          <w:rFonts w:ascii="Times New Roman" w:hAnsi="Times New Roman" w:eastAsia="仿宋_GB2312" w:cs="Times New Roman"/>
          <w:b w:val="0"/>
          <w:bCs/>
          <w:kern w:val="0"/>
          <w:sz w:val="32"/>
          <w:szCs w:val="32"/>
        </w:rPr>
        <w:t>规划和国土资源委员会盐田管理局</w:t>
      </w:r>
      <w:r>
        <w:rPr>
          <w:rFonts w:ascii="Times New Roman" w:hAnsi="Times New Roman" w:eastAsia="仿宋_GB2312" w:cs="Times New Roman"/>
          <w:bCs/>
          <w:kern w:val="0"/>
          <w:sz w:val="32"/>
          <w:szCs w:val="32"/>
        </w:rPr>
        <w:t>（以下简称</w:t>
      </w:r>
      <w:r>
        <w:rPr>
          <w:rFonts w:hint="eastAsia" w:ascii="Times New Roman" w:hAnsi="Times New Roman" w:eastAsia="仿宋_GB2312" w:cs="Times New Roman"/>
          <w:bCs/>
          <w:kern w:val="0"/>
          <w:sz w:val="32"/>
          <w:szCs w:val="32"/>
        </w:rPr>
        <w:t>“</w:t>
      </w:r>
      <w:r>
        <w:rPr>
          <w:rFonts w:ascii="Times New Roman" w:hAnsi="Times New Roman" w:eastAsia="仿宋_GB2312" w:cs="Times New Roman"/>
          <w:bCs/>
          <w:kern w:val="0"/>
          <w:sz w:val="32"/>
          <w:szCs w:val="32"/>
        </w:rPr>
        <w:t>盐田规划国土局</w:t>
      </w:r>
      <w:r>
        <w:rPr>
          <w:rFonts w:hint="eastAsia" w:ascii="Times New Roman" w:hAnsi="Times New Roman" w:eastAsia="仿宋_GB2312" w:cs="Times New Roman"/>
          <w:bCs/>
          <w:kern w:val="0"/>
          <w:sz w:val="32"/>
          <w:szCs w:val="32"/>
        </w:rPr>
        <w:t>”</w:t>
      </w:r>
      <w:r>
        <w:rPr>
          <w:rFonts w:ascii="Times New Roman" w:hAnsi="Times New Roman" w:eastAsia="仿宋_GB2312" w:cs="Times New Roman"/>
          <w:bCs/>
          <w:kern w:val="0"/>
          <w:sz w:val="32"/>
          <w:szCs w:val="32"/>
        </w:rPr>
        <w:t>）负责办理项目用地协议出让事宜，并以技术复函的方式指导项目开展后续工作</w:t>
      </w:r>
      <w:r>
        <w:rPr>
          <w:rFonts w:hint="eastAsia" w:ascii="Times New Roman" w:hAnsi="Times New Roman" w:eastAsia="仿宋_GB2312" w:cs="Times New Roman"/>
          <w:bCs/>
          <w:kern w:val="0"/>
          <w:sz w:val="32"/>
          <w:szCs w:val="32"/>
        </w:rPr>
        <w:t>；</w:t>
      </w:r>
      <w:r>
        <w:rPr>
          <w:rFonts w:ascii="Times New Roman" w:hAnsi="Times New Roman" w:eastAsia="仿宋_GB2312" w:cs="Times New Roman"/>
          <w:b w:val="0"/>
          <w:bCs/>
          <w:kern w:val="0"/>
          <w:sz w:val="32"/>
          <w:szCs w:val="32"/>
        </w:rPr>
        <w:t>盐田建筑工程事务署</w:t>
      </w:r>
      <w:r>
        <w:rPr>
          <w:rFonts w:ascii="Times New Roman" w:hAnsi="Times New Roman" w:eastAsia="仿宋_GB2312" w:cs="Times New Roman"/>
          <w:bCs/>
          <w:kern w:val="0"/>
          <w:sz w:val="32"/>
          <w:szCs w:val="32"/>
        </w:rPr>
        <w:t>（以下简称</w:t>
      </w:r>
      <w:r>
        <w:rPr>
          <w:rFonts w:hint="eastAsia" w:ascii="Times New Roman" w:hAnsi="Times New Roman" w:eastAsia="仿宋_GB2312" w:cs="Times New Roman"/>
          <w:bCs/>
          <w:kern w:val="0"/>
          <w:sz w:val="32"/>
          <w:szCs w:val="32"/>
        </w:rPr>
        <w:t>“</w:t>
      </w:r>
      <w:r>
        <w:rPr>
          <w:rFonts w:ascii="Times New Roman" w:hAnsi="Times New Roman" w:eastAsia="仿宋_GB2312" w:cs="Times New Roman"/>
          <w:bCs/>
          <w:kern w:val="0"/>
          <w:sz w:val="32"/>
          <w:szCs w:val="32"/>
        </w:rPr>
        <w:t>区工务署</w:t>
      </w:r>
      <w:r>
        <w:rPr>
          <w:rFonts w:hint="eastAsia" w:ascii="Times New Roman" w:hAnsi="Times New Roman" w:eastAsia="仿宋_GB2312" w:cs="Times New Roman"/>
          <w:bCs/>
          <w:kern w:val="0"/>
          <w:sz w:val="32"/>
          <w:szCs w:val="32"/>
        </w:rPr>
        <w:t>”</w:t>
      </w:r>
      <w:r>
        <w:rPr>
          <w:rFonts w:ascii="Times New Roman" w:hAnsi="Times New Roman" w:eastAsia="仿宋_GB2312" w:cs="Times New Roman"/>
          <w:bCs/>
          <w:kern w:val="0"/>
          <w:sz w:val="32"/>
          <w:szCs w:val="32"/>
        </w:rPr>
        <w:t>）负责项目施工建设管理工作</w:t>
      </w:r>
      <w:r>
        <w:rPr>
          <w:rFonts w:hint="eastAsia" w:ascii="Times New Roman" w:hAnsi="Times New Roman" w:eastAsia="仿宋_GB2312" w:cs="Times New Roman"/>
          <w:bCs/>
          <w:kern w:val="0"/>
          <w:sz w:val="32"/>
          <w:szCs w:val="32"/>
        </w:rPr>
        <w:t>，</w:t>
      </w:r>
      <w:r>
        <w:rPr>
          <w:rFonts w:ascii="Times New Roman" w:hAnsi="Times New Roman" w:eastAsia="仿宋_GB2312" w:cs="Times New Roman"/>
          <w:bCs/>
          <w:kern w:val="0"/>
          <w:sz w:val="32"/>
          <w:szCs w:val="32"/>
        </w:rPr>
        <w:t>包括组织施工图设计</w:t>
      </w:r>
      <w:r>
        <w:rPr>
          <w:rFonts w:hint="eastAsia" w:ascii="Times New Roman" w:hAnsi="Times New Roman" w:eastAsia="仿宋_GB2312" w:cs="Times New Roman"/>
          <w:bCs/>
          <w:kern w:val="0"/>
          <w:sz w:val="32"/>
          <w:szCs w:val="32"/>
        </w:rPr>
        <w:t>，</w:t>
      </w:r>
      <w:r>
        <w:rPr>
          <w:rFonts w:ascii="Times New Roman" w:hAnsi="Times New Roman" w:eastAsia="仿宋_GB2312" w:cs="Times New Roman"/>
          <w:bCs/>
          <w:kern w:val="0"/>
          <w:sz w:val="32"/>
          <w:szCs w:val="32"/>
        </w:rPr>
        <w:t>办理有关报建手续</w:t>
      </w:r>
      <w:r>
        <w:rPr>
          <w:rFonts w:hint="eastAsia" w:ascii="Times New Roman" w:hAnsi="Times New Roman" w:eastAsia="仿宋_GB2312" w:cs="Times New Roman"/>
          <w:bCs/>
          <w:kern w:val="0"/>
          <w:sz w:val="32"/>
          <w:szCs w:val="32"/>
        </w:rPr>
        <w:t>，</w:t>
      </w:r>
      <w:r>
        <w:rPr>
          <w:rFonts w:ascii="Times New Roman" w:hAnsi="Times New Roman" w:eastAsia="仿宋_GB2312" w:cs="Times New Roman"/>
          <w:bCs/>
          <w:kern w:val="0"/>
          <w:sz w:val="32"/>
          <w:szCs w:val="32"/>
        </w:rPr>
        <w:t>组织项目监理</w:t>
      </w:r>
      <w:r>
        <w:rPr>
          <w:rFonts w:hint="eastAsia" w:ascii="Times New Roman" w:hAnsi="Times New Roman" w:eastAsia="仿宋_GB2312" w:cs="Times New Roman"/>
          <w:bCs/>
          <w:kern w:val="0"/>
          <w:sz w:val="32"/>
          <w:szCs w:val="32"/>
        </w:rPr>
        <w:t>、</w:t>
      </w:r>
      <w:r>
        <w:rPr>
          <w:rFonts w:ascii="Times New Roman" w:hAnsi="Times New Roman" w:eastAsia="仿宋_GB2312" w:cs="Times New Roman"/>
          <w:bCs/>
          <w:kern w:val="0"/>
          <w:sz w:val="32"/>
          <w:szCs w:val="32"/>
        </w:rPr>
        <w:t>施工招投标</w:t>
      </w:r>
      <w:r>
        <w:rPr>
          <w:rFonts w:hint="eastAsia" w:ascii="Times New Roman" w:hAnsi="Times New Roman" w:eastAsia="仿宋_GB2312" w:cs="Times New Roman"/>
          <w:bCs/>
          <w:kern w:val="0"/>
          <w:sz w:val="32"/>
          <w:szCs w:val="32"/>
        </w:rPr>
        <w:t>及</w:t>
      </w:r>
      <w:r>
        <w:rPr>
          <w:rFonts w:ascii="Times New Roman" w:hAnsi="Times New Roman" w:eastAsia="仿宋_GB2312" w:cs="Times New Roman"/>
          <w:bCs/>
          <w:kern w:val="0"/>
          <w:sz w:val="32"/>
          <w:szCs w:val="32"/>
        </w:rPr>
        <w:t>合同签订</w:t>
      </w:r>
      <w:r>
        <w:rPr>
          <w:rFonts w:hint="eastAsia" w:ascii="Times New Roman" w:hAnsi="Times New Roman" w:eastAsia="仿宋_GB2312" w:cs="Times New Roman"/>
          <w:bCs/>
          <w:kern w:val="0"/>
          <w:sz w:val="32"/>
          <w:szCs w:val="32"/>
        </w:rPr>
        <w:t>，建设工程</w:t>
      </w:r>
      <w:r>
        <w:rPr>
          <w:rFonts w:ascii="Times New Roman" w:hAnsi="Times New Roman" w:eastAsia="仿宋_GB2312" w:cs="Times New Roman"/>
          <w:bCs/>
          <w:kern w:val="0"/>
          <w:sz w:val="32"/>
          <w:szCs w:val="32"/>
        </w:rPr>
        <w:t>项目全过程协调监管</w:t>
      </w:r>
      <w:r>
        <w:rPr>
          <w:rFonts w:hint="eastAsia" w:ascii="Times New Roman" w:hAnsi="Times New Roman" w:eastAsia="仿宋_GB2312" w:cs="Times New Roman"/>
          <w:bCs/>
          <w:kern w:val="0"/>
          <w:sz w:val="32"/>
          <w:szCs w:val="32"/>
        </w:rPr>
        <w:t>，</w:t>
      </w:r>
      <w:r>
        <w:rPr>
          <w:rFonts w:ascii="Times New Roman" w:hAnsi="Times New Roman" w:eastAsia="仿宋_GB2312" w:cs="Times New Roman"/>
          <w:bCs/>
          <w:kern w:val="0"/>
          <w:sz w:val="32"/>
          <w:szCs w:val="32"/>
        </w:rPr>
        <w:t>组织项目竣工验收</w:t>
      </w:r>
      <w:r>
        <w:rPr>
          <w:rFonts w:hint="eastAsia" w:ascii="Times New Roman" w:hAnsi="Times New Roman" w:eastAsia="仿宋_GB2312" w:cs="Times New Roman"/>
          <w:bCs/>
          <w:kern w:val="0"/>
          <w:sz w:val="32"/>
          <w:szCs w:val="32"/>
        </w:rPr>
        <w:t>、</w:t>
      </w:r>
      <w:r>
        <w:rPr>
          <w:rFonts w:ascii="Times New Roman" w:hAnsi="Times New Roman" w:eastAsia="仿宋_GB2312" w:cs="Times New Roman"/>
          <w:bCs/>
          <w:kern w:val="0"/>
          <w:sz w:val="32"/>
          <w:szCs w:val="32"/>
        </w:rPr>
        <w:t>决算等工作</w:t>
      </w:r>
      <w:r>
        <w:rPr>
          <w:rFonts w:hint="eastAsia" w:ascii="Times New Roman" w:hAnsi="Times New Roman" w:eastAsia="仿宋_GB2312" w:cs="Times New Roman"/>
          <w:bCs/>
          <w:kern w:val="0"/>
          <w:sz w:val="32"/>
          <w:szCs w:val="32"/>
        </w:rPr>
        <w:t>；</w:t>
      </w:r>
      <w:r>
        <w:rPr>
          <w:rFonts w:ascii="Times New Roman" w:hAnsi="Times New Roman" w:eastAsia="仿宋_GB2312" w:cs="Times New Roman"/>
          <w:b w:val="0"/>
          <w:bCs/>
          <w:kern w:val="0"/>
          <w:sz w:val="32"/>
          <w:szCs w:val="32"/>
        </w:rPr>
        <w:t>盐田区教育局</w:t>
      </w:r>
      <w:r>
        <w:rPr>
          <w:rFonts w:ascii="Times New Roman" w:hAnsi="Times New Roman" w:eastAsia="仿宋_GB2312" w:cs="Times New Roman"/>
          <w:bCs/>
          <w:kern w:val="0"/>
          <w:sz w:val="32"/>
          <w:szCs w:val="32"/>
        </w:rPr>
        <w:t>（以下简称</w:t>
      </w:r>
      <w:r>
        <w:rPr>
          <w:rFonts w:hint="eastAsia" w:ascii="Times New Roman" w:hAnsi="Times New Roman" w:eastAsia="仿宋_GB2312" w:cs="Times New Roman"/>
          <w:bCs/>
          <w:kern w:val="0"/>
          <w:sz w:val="32"/>
          <w:szCs w:val="32"/>
        </w:rPr>
        <w:t>“</w:t>
      </w:r>
      <w:r>
        <w:rPr>
          <w:rFonts w:ascii="Times New Roman" w:hAnsi="Times New Roman" w:eastAsia="仿宋_GB2312" w:cs="Times New Roman"/>
          <w:bCs/>
          <w:kern w:val="0"/>
          <w:sz w:val="32"/>
          <w:szCs w:val="32"/>
        </w:rPr>
        <w:t>区教育局</w:t>
      </w:r>
      <w:r>
        <w:rPr>
          <w:rFonts w:hint="eastAsia" w:ascii="Times New Roman" w:hAnsi="Times New Roman" w:eastAsia="仿宋_GB2312" w:cs="Times New Roman"/>
          <w:bCs/>
          <w:kern w:val="0"/>
          <w:sz w:val="32"/>
          <w:szCs w:val="32"/>
        </w:rPr>
        <w:t>”</w:t>
      </w:r>
      <w:r>
        <w:rPr>
          <w:rFonts w:ascii="Times New Roman" w:hAnsi="Times New Roman" w:eastAsia="仿宋_GB2312" w:cs="Times New Roman"/>
          <w:bCs/>
          <w:kern w:val="0"/>
          <w:sz w:val="32"/>
          <w:szCs w:val="32"/>
        </w:rPr>
        <w:t>）负责统筹规划、协调管理各幼儿园教育工作，备案审核幼儿园招生计划等。</w:t>
      </w:r>
    </w:p>
    <w:p>
      <w:pPr>
        <w:pStyle w:val="5"/>
        <w:pageBreakBefore w:val="0"/>
        <w:kinsoku/>
        <w:wordWrap/>
        <w:overflowPunct/>
        <w:topLinePunct w:val="0"/>
        <w:autoSpaceDE/>
        <w:autoSpaceDN/>
        <w:bidi w:val="0"/>
        <w:spacing w:before="0" w:after="0" w:line="560" w:lineRule="exact"/>
        <w:ind w:firstLine="640" w:firstLineChars="200"/>
        <w:rPr>
          <w:rFonts w:ascii="Times New Roman" w:hAnsi="Times New Roman" w:eastAsia="楷体_GB2312" w:cs="Times New Roman"/>
          <w:b w:val="0"/>
          <w:bCs w:val="0"/>
        </w:rPr>
      </w:pPr>
      <w:bookmarkStart w:id="14" w:name="_Toc1852696361"/>
      <w:bookmarkStart w:id="15" w:name="_Toc864519017"/>
      <w:bookmarkStart w:id="16" w:name="_Toc444145472"/>
      <w:bookmarkStart w:id="17" w:name="_Toc118235216"/>
      <w:r>
        <w:rPr>
          <w:rFonts w:hint="eastAsia" w:ascii="Times New Roman" w:hAnsi="Times New Roman" w:eastAsia="楷体_GB2312" w:cs="Times New Roman"/>
          <w:b w:val="0"/>
          <w:bCs w:val="0"/>
        </w:rPr>
        <w:t>（二）专项债券发行、项目资金投入及使用情况</w:t>
      </w:r>
      <w:bookmarkEnd w:id="14"/>
      <w:bookmarkEnd w:id="15"/>
      <w:bookmarkEnd w:id="16"/>
      <w:bookmarkEnd w:id="17"/>
    </w:p>
    <w:p>
      <w:pPr>
        <w:pageBreakBefore w:val="0"/>
        <w:kinsoku/>
        <w:wordWrap/>
        <w:overflowPunct/>
        <w:topLinePunct w:val="0"/>
        <w:autoSpaceDE/>
        <w:autoSpaceDN/>
        <w:bidi w:val="0"/>
        <w:spacing w:line="560" w:lineRule="exact"/>
        <w:ind w:firstLine="642" w:firstLineChars="200"/>
        <w:rPr>
          <w:rFonts w:ascii="Times New Roman" w:hAnsi="Times New Roman" w:eastAsia="仿宋_GB2312" w:cs="Times New Roman"/>
          <w:b/>
          <w:bCs/>
          <w:kern w:val="0"/>
          <w:sz w:val="32"/>
          <w:szCs w:val="32"/>
        </w:rPr>
      </w:pPr>
      <w:r>
        <w:rPr>
          <w:rFonts w:hint="eastAsia" w:ascii="Times New Roman" w:hAnsi="Times New Roman" w:eastAsia="仿宋_GB2312" w:cs="Times New Roman"/>
          <w:b/>
          <w:bCs/>
          <w:kern w:val="0"/>
          <w:sz w:val="32"/>
          <w:szCs w:val="32"/>
        </w:rPr>
        <w:t>1.专项债券发行情况</w:t>
      </w:r>
    </w:p>
    <w:p>
      <w:pPr>
        <w:pageBreakBefore w:val="0"/>
        <w:kinsoku/>
        <w:wordWrap/>
        <w:overflowPunct/>
        <w:topLinePunct w:val="0"/>
        <w:autoSpaceDE/>
        <w:autoSpaceDN/>
        <w:bidi w:val="0"/>
        <w:spacing w:line="560" w:lineRule="exact"/>
        <w:ind w:firstLine="640" w:firstLineChars="200"/>
        <w:textAlignment w:val="center"/>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Hans"/>
        </w:rPr>
        <w:t>2020-2021</w:t>
      </w:r>
      <w:r>
        <w:rPr>
          <w:rFonts w:hint="eastAsia" w:ascii="Times New Roman" w:hAnsi="Times New Roman" w:eastAsia="仿宋_GB2312" w:cs="Times New Roman"/>
          <w:kern w:val="0"/>
          <w:sz w:val="32"/>
          <w:szCs w:val="32"/>
          <w:lang w:val="en-US" w:eastAsia="zh-Hans"/>
        </w:rPr>
        <w:t>年，盐田区发行了二期学前教育专项债券，发行规模</w:t>
      </w:r>
      <w:r>
        <w:rPr>
          <w:rFonts w:ascii="Times New Roman" w:hAnsi="Times New Roman" w:eastAsia="仿宋_GB2312" w:cs="Times New Roman"/>
          <w:kern w:val="0"/>
          <w:sz w:val="32"/>
          <w:szCs w:val="32"/>
        </w:rPr>
        <w:t>10,150万元，</w:t>
      </w:r>
      <w:r>
        <w:rPr>
          <w:rFonts w:hint="eastAsia" w:ascii="Times New Roman" w:hAnsi="Times New Roman" w:eastAsia="仿宋_GB2312" w:cs="Times New Roman"/>
          <w:kern w:val="0"/>
          <w:sz w:val="32"/>
          <w:szCs w:val="32"/>
          <w:lang w:val="en-US" w:eastAsia="zh-Hans"/>
        </w:rPr>
        <w:t>分别为：</w:t>
      </w:r>
      <w:r>
        <w:rPr>
          <w:rFonts w:ascii="Times New Roman" w:hAnsi="Times New Roman" w:eastAsia="仿宋_GB2312" w:cs="Times New Roman"/>
          <w:kern w:val="0"/>
          <w:sz w:val="32"/>
          <w:szCs w:val="32"/>
        </w:rPr>
        <w:t>2020年</w:t>
      </w:r>
      <w:r>
        <w:rPr>
          <w:rFonts w:hint="eastAsia" w:ascii="Times New Roman" w:hAnsi="Times New Roman" w:eastAsia="仿宋_GB2312" w:cs="Times New Roman"/>
          <w:kern w:val="0"/>
          <w:sz w:val="32"/>
          <w:szCs w:val="32"/>
        </w:rPr>
        <w:t>8月</w:t>
      </w:r>
      <w:r>
        <w:rPr>
          <w:rFonts w:ascii="Times New Roman" w:hAnsi="Times New Roman" w:eastAsia="仿宋_GB2312" w:cs="Times New Roman"/>
          <w:kern w:val="0"/>
          <w:sz w:val="32"/>
          <w:szCs w:val="32"/>
        </w:rPr>
        <w:t>发行的</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2020年深圳市学前教育专项债券（一期）-2020年深圳市政府专项债券（六十一期）</w:t>
      </w:r>
      <w:r>
        <w:rPr>
          <w:rFonts w:hint="eastAsia"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Hans"/>
        </w:rPr>
        <w:t>，</w:t>
      </w:r>
      <w:r>
        <w:rPr>
          <w:rFonts w:hint="eastAsia" w:ascii="Times New Roman" w:hAnsi="Times New Roman" w:eastAsia="仿宋_GB2312" w:cs="Times New Roman"/>
          <w:kern w:val="0"/>
          <w:sz w:val="32"/>
          <w:szCs w:val="32"/>
          <w:lang w:val="en-US" w:eastAsia="zh-Hans"/>
        </w:rPr>
        <w:t>该专项债券为</w:t>
      </w:r>
      <w:r>
        <w:rPr>
          <w:rFonts w:ascii="Times New Roman" w:hAnsi="Times New Roman" w:eastAsia="仿宋_GB2312" w:cs="Times New Roman"/>
          <w:kern w:val="0"/>
          <w:sz w:val="32"/>
          <w:szCs w:val="32"/>
        </w:rPr>
        <w:t>固定利率债券，发行规模23,150万元（其中盐田区幼儿园建设项目部分</w:t>
      </w:r>
      <w:bookmarkStart w:id="18" w:name="_Hlk118063163"/>
      <w:r>
        <w:rPr>
          <w:rFonts w:ascii="Times New Roman" w:hAnsi="Times New Roman" w:eastAsia="仿宋_GB2312" w:cs="Times New Roman"/>
          <w:kern w:val="0"/>
          <w:sz w:val="32"/>
          <w:szCs w:val="32"/>
        </w:rPr>
        <w:t>6,150万元</w:t>
      </w:r>
      <w:bookmarkEnd w:id="18"/>
      <w:r>
        <w:rPr>
          <w:rFonts w:ascii="Times New Roman" w:hAnsi="Times New Roman" w:eastAsia="仿宋_GB2312" w:cs="Times New Roman"/>
          <w:kern w:val="0"/>
          <w:sz w:val="32"/>
          <w:szCs w:val="32"/>
        </w:rPr>
        <w:t>），期限为10年，票面利率为3.16%，每半年付息一次，最后一期利息随本金的兑付一起支付。2021年</w:t>
      </w:r>
      <w:r>
        <w:rPr>
          <w:rFonts w:hint="eastAsia" w:ascii="Times New Roman" w:hAnsi="Times New Roman" w:eastAsia="仿宋_GB2312" w:cs="Times New Roman"/>
          <w:kern w:val="0"/>
          <w:sz w:val="32"/>
          <w:szCs w:val="32"/>
        </w:rPr>
        <w:t>5月</w:t>
      </w:r>
      <w:r>
        <w:rPr>
          <w:rFonts w:ascii="Times New Roman" w:hAnsi="Times New Roman" w:eastAsia="仿宋_GB2312" w:cs="Times New Roman"/>
          <w:kern w:val="0"/>
          <w:sz w:val="32"/>
          <w:szCs w:val="32"/>
        </w:rPr>
        <w:t>发行的</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2021年深圳市（盐田区）学前教育专项债券（一期）-2021年深圳市政府专项债券（十七期）</w:t>
      </w:r>
      <w:r>
        <w:rPr>
          <w:rFonts w:hint="eastAsia"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Hans"/>
        </w:rPr>
        <w:t>，</w:t>
      </w:r>
      <w:r>
        <w:rPr>
          <w:rFonts w:hint="eastAsia" w:ascii="Times New Roman" w:hAnsi="Times New Roman" w:eastAsia="仿宋_GB2312" w:cs="Times New Roman"/>
          <w:kern w:val="0"/>
          <w:sz w:val="32"/>
          <w:szCs w:val="32"/>
          <w:lang w:val="en-US" w:eastAsia="zh-Hans"/>
        </w:rPr>
        <w:t>该专项债券为</w:t>
      </w:r>
      <w:r>
        <w:rPr>
          <w:rFonts w:ascii="Times New Roman" w:hAnsi="Times New Roman" w:eastAsia="仿宋_GB2312" w:cs="Times New Roman"/>
          <w:kern w:val="0"/>
          <w:sz w:val="32"/>
          <w:szCs w:val="32"/>
        </w:rPr>
        <w:t>固定利率债券，发行规模4,000万元（全部为盐田区幼儿园建设项目），期限为15年，票面利率为3.68%，每半年付息一次，最后一期利息随本金的兑付一起支付。</w:t>
      </w:r>
    </w:p>
    <w:p>
      <w:pPr>
        <w:pageBreakBefore w:val="0"/>
        <w:kinsoku/>
        <w:wordWrap/>
        <w:overflowPunct/>
        <w:topLinePunct w:val="0"/>
        <w:autoSpaceDE/>
        <w:autoSpaceDN/>
        <w:bidi w:val="0"/>
        <w:spacing w:line="560" w:lineRule="exact"/>
        <w:ind w:firstLine="640" w:firstLineChars="200"/>
        <w:textAlignment w:val="cente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根据《专项债券实施方案》等文件，各幼儿园均以保教费收入作为专项债券还本付息的资金来源，项目2</w:t>
      </w:r>
      <w:r>
        <w:rPr>
          <w:rFonts w:ascii="Times New Roman" w:hAnsi="Times New Roman" w:eastAsia="仿宋_GB2312" w:cs="Times New Roman"/>
          <w:kern w:val="0"/>
          <w:sz w:val="32"/>
          <w:szCs w:val="32"/>
        </w:rPr>
        <w:t>021</w:t>
      </w:r>
      <w:r>
        <w:rPr>
          <w:rFonts w:hint="eastAsia" w:ascii="Times New Roman" w:hAnsi="Times New Roman" w:eastAsia="仿宋_GB2312" w:cs="Times New Roman"/>
          <w:kern w:val="0"/>
          <w:sz w:val="32"/>
          <w:szCs w:val="32"/>
        </w:rPr>
        <w:t>至2</w:t>
      </w:r>
      <w:r>
        <w:rPr>
          <w:rFonts w:ascii="Times New Roman" w:hAnsi="Times New Roman" w:eastAsia="仿宋_GB2312" w:cs="Times New Roman"/>
          <w:kern w:val="0"/>
          <w:sz w:val="32"/>
          <w:szCs w:val="32"/>
        </w:rPr>
        <w:t>036</w:t>
      </w:r>
      <w:r>
        <w:rPr>
          <w:rFonts w:hint="eastAsia" w:ascii="Times New Roman" w:hAnsi="Times New Roman" w:eastAsia="仿宋_GB2312" w:cs="Times New Roman"/>
          <w:kern w:val="0"/>
          <w:sz w:val="32"/>
          <w:szCs w:val="32"/>
        </w:rPr>
        <w:t>年平均年收入约为1</w:t>
      </w:r>
      <w:r>
        <w:rPr>
          <w:rFonts w:ascii="Times New Roman" w:hAnsi="Times New Roman" w:eastAsia="仿宋_GB2312" w:cs="Times New Roman"/>
          <w:kern w:val="0"/>
          <w:sz w:val="32"/>
          <w:szCs w:val="32"/>
        </w:rPr>
        <w:t>,391</w:t>
      </w:r>
      <w:r>
        <w:rPr>
          <w:rFonts w:hint="eastAsia" w:ascii="Times New Roman" w:hAnsi="Times New Roman" w:eastAsia="仿宋_GB2312" w:cs="Times New Roman"/>
          <w:kern w:val="0"/>
          <w:sz w:val="32"/>
          <w:szCs w:val="32"/>
        </w:rPr>
        <w:t>万元，</w:t>
      </w:r>
      <w:r>
        <w:rPr>
          <w:rFonts w:ascii="Times New Roman" w:hAnsi="Times New Roman" w:eastAsia="仿宋_GB2312" w:cs="Times New Roman"/>
          <w:kern w:val="0"/>
          <w:sz w:val="32"/>
          <w:szCs w:val="32"/>
        </w:rPr>
        <w:t xml:space="preserve"> 2020</w:t>
      </w:r>
      <w:r>
        <w:rPr>
          <w:rFonts w:hint="eastAsia" w:ascii="Times New Roman" w:hAnsi="Times New Roman" w:eastAsia="仿宋_GB2312" w:cs="Times New Roman"/>
          <w:kern w:val="0"/>
          <w:sz w:val="32"/>
          <w:szCs w:val="32"/>
        </w:rPr>
        <w:t>年、2</w:t>
      </w:r>
      <w:r>
        <w:rPr>
          <w:rFonts w:ascii="Times New Roman" w:hAnsi="Times New Roman" w:eastAsia="仿宋_GB2312" w:cs="Times New Roman"/>
          <w:kern w:val="0"/>
          <w:sz w:val="32"/>
          <w:szCs w:val="32"/>
        </w:rPr>
        <w:t>021</w:t>
      </w:r>
      <w:r>
        <w:rPr>
          <w:rFonts w:hint="eastAsia" w:ascii="Times New Roman" w:hAnsi="Times New Roman" w:eastAsia="仿宋_GB2312" w:cs="Times New Roman"/>
          <w:kern w:val="0"/>
          <w:sz w:val="32"/>
          <w:szCs w:val="32"/>
        </w:rPr>
        <w:t>年发行债券的本息资金覆盖倍数分别可达1</w:t>
      </w:r>
      <w:r>
        <w:rPr>
          <w:rFonts w:ascii="Times New Roman" w:hAnsi="Times New Roman" w:eastAsia="仿宋_GB2312" w:cs="Times New Roman"/>
          <w:kern w:val="0"/>
          <w:sz w:val="32"/>
          <w:szCs w:val="32"/>
        </w:rPr>
        <w:t>.33</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1.58</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能够满足债券</w:t>
      </w:r>
      <w:r>
        <w:rPr>
          <w:rFonts w:hint="eastAsia" w:ascii="Times New Roman" w:hAnsi="Times New Roman" w:eastAsia="仿宋_GB2312" w:cs="Times New Roman"/>
          <w:kern w:val="0"/>
          <w:sz w:val="32"/>
          <w:szCs w:val="32"/>
        </w:rPr>
        <w:t>各年利息以及到期偿还本金</w:t>
      </w:r>
      <w:r>
        <w:rPr>
          <w:rFonts w:ascii="Times New Roman" w:hAnsi="Times New Roman" w:eastAsia="仿宋_GB2312" w:cs="Times New Roman"/>
          <w:kern w:val="0"/>
          <w:sz w:val="32"/>
          <w:szCs w:val="32"/>
        </w:rPr>
        <w:t>的需求。</w:t>
      </w:r>
    </w:p>
    <w:p>
      <w:pPr>
        <w:pageBreakBefore w:val="0"/>
        <w:kinsoku/>
        <w:wordWrap/>
        <w:overflowPunct/>
        <w:topLinePunct w:val="0"/>
        <w:autoSpaceDE/>
        <w:autoSpaceDN/>
        <w:bidi w:val="0"/>
        <w:spacing w:line="560" w:lineRule="exact"/>
        <w:ind w:firstLine="640" w:firstLineChars="200"/>
        <w:textAlignment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盐田幼儿园建设项目中，盐港幼儿园项目、机关幼儿园项目所占专项</w:t>
      </w:r>
      <w:r>
        <w:rPr>
          <w:rFonts w:hint="eastAsia" w:ascii="Times New Roman" w:hAnsi="Times New Roman" w:eastAsia="仿宋_GB2312" w:cs="Times New Roman"/>
          <w:kern w:val="0"/>
          <w:sz w:val="32"/>
          <w:szCs w:val="32"/>
        </w:rPr>
        <w:t>债券资金</w:t>
      </w:r>
      <w:r>
        <w:rPr>
          <w:rFonts w:ascii="Times New Roman" w:hAnsi="Times New Roman" w:eastAsia="仿宋_GB2312" w:cs="Times New Roman"/>
          <w:kern w:val="0"/>
          <w:sz w:val="32"/>
          <w:szCs w:val="32"/>
        </w:rPr>
        <w:t>为</w:t>
      </w:r>
      <w:bookmarkStart w:id="19" w:name="_Hlk118064700"/>
      <w:r>
        <w:rPr>
          <w:rFonts w:ascii="Times New Roman" w:hAnsi="Times New Roman" w:eastAsia="仿宋_GB2312" w:cs="Times New Roman"/>
          <w:kern w:val="0"/>
          <w:sz w:val="32"/>
          <w:szCs w:val="32"/>
        </w:rPr>
        <w:t>7,480万元，占2020</w:t>
      </w:r>
      <w:r>
        <w:rPr>
          <w:rFonts w:hint="default"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2021年盐田区幼儿园专项</w:t>
      </w:r>
      <w:r>
        <w:rPr>
          <w:rFonts w:hint="eastAsia" w:ascii="Times New Roman" w:hAnsi="Times New Roman" w:eastAsia="仿宋_GB2312" w:cs="Times New Roman"/>
          <w:kern w:val="0"/>
          <w:sz w:val="32"/>
          <w:szCs w:val="32"/>
        </w:rPr>
        <w:t>债券资金</w:t>
      </w:r>
      <w:r>
        <w:rPr>
          <w:rFonts w:ascii="Times New Roman" w:hAnsi="Times New Roman" w:eastAsia="仿宋_GB2312" w:cs="Times New Roman"/>
          <w:kern w:val="0"/>
          <w:sz w:val="32"/>
          <w:szCs w:val="32"/>
        </w:rPr>
        <w:t>10,500万元的71.24%，</w:t>
      </w:r>
      <w:bookmarkEnd w:id="19"/>
      <w:r>
        <w:rPr>
          <w:rFonts w:ascii="Times New Roman" w:hAnsi="Times New Roman" w:eastAsia="仿宋_GB2312" w:cs="Times New Roman"/>
          <w:kern w:val="0"/>
          <w:sz w:val="32"/>
          <w:szCs w:val="32"/>
        </w:rPr>
        <w:t>其中2020年所占专项</w:t>
      </w:r>
      <w:r>
        <w:rPr>
          <w:rFonts w:hint="eastAsia" w:ascii="Times New Roman" w:hAnsi="Times New Roman" w:eastAsia="仿宋_GB2312" w:cs="Times New Roman"/>
          <w:kern w:val="0"/>
          <w:sz w:val="32"/>
          <w:szCs w:val="32"/>
        </w:rPr>
        <w:t>债券资金</w:t>
      </w:r>
      <w:r>
        <w:rPr>
          <w:rFonts w:ascii="Times New Roman" w:hAnsi="Times New Roman" w:eastAsia="仿宋_GB2312" w:cs="Times New Roman"/>
          <w:kern w:val="0"/>
          <w:sz w:val="32"/>
          <w:szCs w:val="32"/>
        </w:rPr>
        <w:t>为5,150万元，占当年度专项</w:t>
      </w:r>
      <w:r>
        <w:rPr>
          <w:rFonts w:hint="eastAsia" w:ascii="Times New Roman" w:hAnsi="Times New Roman" w:eastAsia="仿宋_GB2312" w:cs="Times New Roman"/>
          <w:kern w:val="0"/>
          <w:sz w:val="32"/>
          <w:szCs w:val="32"/>
        </w:rPr>
        <w:t>债券资金</w:t>
      </w:r>
      <w:r>
        <w:rPr>
          <w:rFonts w:ascii="Times New Roman" w:hAnsi="Times New Roman" w:eastAsia="仿宋_GB2312" w:cs="Times New Roman"/>
          <w:kern w:val="0"/>
          <w:sz w:val="32"/>
          <w:szCs w:val="32"/>
        </w:rPr>
        <w:t>6,150万元的83.74%；2021年所占专项</w:t>
      </w:r>
      <w:r>
        <w:rPr>
          <w:rFonts w:hint="eastAsia" w:ascii="Times New Roman" w:hAnsi="Times New Roman" w:eastAsia="仿宋_GB2312" w:cs="Times New Roman"/>
          <w:kern w:val="0"/>
          <w:sz w:val="32"/>
          <w:szCs w:val="32"/>
        </w:rPr>
        <w:t>债券资金</w:t>
      </w:r>
      <w:r>
        <w:rPr>
          <w:rFonts w:ascii="Times New Roman" w:hAnsi="Times New Roman" w:eastAsia="仿宋_GB2312" w:cs="Times New Roman"/>
          <w:kern w:val="0"/>
          <w:sz w:val="32"/>
          <w:szCs w:val="32"/>
        </w:rPr>
        <w:t>为2,330万元，占当年度专项</w:t>
      </w:r>
      <w:r>
        <w:rPr>
          <w:rFonts w:hint="eastAsia" w:ascii="Times New Roman" w:hAnsi="Times New Roman" w:eastAsia="仿宋_GB2312" w:cs="Times New Roman"/>
          <w:kern w:val="0"/>
          <w:sz w:val="32"/>
          <w:szCs w:val="32"/>
        </w:rPr>
        <w:t>债券资金</w:t>
      </w:r>
      <w:r>
        <w:rPr>
          <w:rFonts w:ascii="Times New Roman" w:hAnsi="Times New Roman" w:eastAsia="仿宋_GB2312" w:cs="Times New Roman"/>
          <w:kern w:val="0"/>
          <w:sz w:val="32"/>
          <w:szCs w:val="32"/>
        </w:rPr>
        <w:t>4,000万元的58.25%。</w:t>
      </w:r>
    </w:p>
    <w:p>
      <w:pPr>
        <w:numPr>
          <w:ilvl w:val="0"/>
          <w:numId w:val="0"/>
        </w:numPr>
        <w:spacing w:line="560" w:lineRule="exact"/>
        <w:ind w:firstLine="642" w:firstLineChars="200"/>
        <w:rPr>
          <w:rFonts w:hint="eastAsia"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2.</w:t>
      </w:r>
      <w:r>
        <w:rPr>
          <w:rFonts w:hint="eastAsia" w:ascii="Times New Roman" w:hAnsi="Times New Roman" w:eastAsia="仿宋_GB2312" w:cs="Times New Roman"/>
          <w:b/>
          <w:bCs/>
          <w:kern w:val="0"/>
          <w:sz w:val="32"/>
          <w:szCs w:val="32"/>
        </w:rPr>
        <w:t>项目资金投入及使用情况</w:t>
      </w:r>
    </w:p>
    <w:p>
      <w:pPr>
        <w:numPr>
          <w:ilvl w:val="0"/>
          <w:numId w:val="0"/>
        </w:numPr>
        <w:spacing w:line="560" w:lineRule="exact"/>
        <w:ind w:firstLine="642" w:firstLineChars="200"/>
        <w:rPr>
          <w:rFonts w:ascii="Times New Roman" w:hAnsi="Times New Roman" w:eastAsia="华文细黑" w:cs="Times New Roman"/>
          <w:sz w:val="24"/>
          <w:szCs w:val="24"/>
        </w:rPr>
      </w:pPr>
      <w:r>
        <w:rPr>
          <w:rFonts w:hint="eastAsia" w:ascii="Times New Roman" w:hAnsi="Times New Roman" w:eastAsia="仿宋_GB2312" w:cs="Times New Roman"/>
          <w:b/>
          <w:bCs/>
          <w:kern w:val="0"/>
          <w:sz w:val="32"/>
          <w:szCs w:val="32"/>
          <w:lang w:eastAsia="zh-Hans"/>
        </w:rPr>
        <w:t>一是</w:t>
      </w:r>
      <w:r>
        <w:rPr>
          <w:rFonts w:ascii="Times New Roman" w:hAnsi="Times New Roman" w:eastAsia="仿宋_GB2312" w:cs="Times New Roman"/>
          <w:b/>
          <w:bCs/>
          <w:kern w:val="0"/>
          <w:sz w:val="32"/>
          <w:szCs w:val="32"/>
        </w:rPr>
        <w:t>项目总投资情况</w:t>
      </w:r>
      <w:r>
        <w:rPr>
          <w:rFonts w:hint="eastAsia" w:ascii="Times New Roman" w:hAnsi="Times New Roman" w:eastAsia="仿宋_GB2312" w:cs="Times New Roman"/>
          <w:b/>
          <w:bCs/>
          <w:kern w:val="0"/>
          <w:sz w:val="32"/>
          <w:szCs w:val="32"/>
          <w:lang w:eastAsia="zh-Hans"/>
        </w:rPr>
        <w:t>。</w:t>
      </w:r>
      <w:r>
        <w:rPr>
          <w:rFonts w:ascii="Times New Roman" w:hAnsi="Times New Roman" w:eastAsia="仿宋_GB2312" w:cs="Times New Roman"/>
          <w:kern w:val="0"/>
          <w:sz w:val="32"/>
          <w:szCs w:val="32"/>
        </w:rPr>
        <w:t>根据《关于盐田区机关幼儿园拆除重建工程总概算的批复》（深盐发改投批〔2020〕28号）以及《关于盐港幼儿园项目总概算的批复》（2018年4月11日），机关幼儿园项目投资总概算为5,737万元，其中：建安工程费5,070万元，工程建设其他费500万元，预备费167万元；盐港幼儿园项目建设投资总概算为8,707万元，其</w:t>
      </w:r>
      <w:r>
        <w:rPr>
          <w:rFonts w:hint="eastAsia" w:ascii="Times New Roman" w:hAnsi="Times New Roman" w:eastAsia="仿宋_GB2312" w:cs="Times New Roman"/>
          <w:kern w:val="0"/>
          <w:sz w:val="32"/>
          <w:szCs w:val="32"/>
        </w:rPr>
        <w:t>中</w:t>
      </w:r>
      <w:r>
        <w:rPr>
          <w:rFonts w:ascii="Times New Roman" w:hAnsi="Times New Roman" w:eastAsia="仿宋_GB2312" w:cs="Times New Roman"/>
          <w:kern w:val="0"/>
          <w:sz w:val="32"/>
          <w:szCs w:val="32"/>
        </w:rPr>
        <w:t>建安工程费7,713.03万元，工程建设其他</w:t>
      </w:r>
      <w:r>
        <w:rPr>
          <w:rFonts w:hint="eastAsia" w:ascii="Times New Roman" w:hAnsi="Times New Roman" w:eastAsia="仿宋_GB2312" w:cs="Times New Roman"/>
          <w:kern w:val="0"/>
          <w:sz w:val="32"/>
          <w:szCs w:val="32"/>
        </w:rPr>
        <w:t>费</w:t>
      </w:r>
      <w:r>
        <w:rPr>
          <w:rFonts w:ascii="Times New Roman" w:hAnsi="Times New Roman" w:eastAsia="仿宋_GB2312" w:cs="Times New Roman"/>
          <w:kern w:val="0"/>
          <w:sz w:val="32"/>
          <w:szCs w:val="32"/>
        </w:rPr>
        <w:t>740.87万元，预备费253.1万元。</w:t>
      </w:r>
    </w:p>
    <w:p>
      <w:pPr>
        <w:spacing w:line="560" w:lineRule="exact"/>
        <w:ind w:firstLine="642" w:firstLineChars="200"/>
        <w:textAlignment w:val="center"/>
        <w:rPr>
          <w:rFonts w:ascii="Times New Roman" w:hAnsi="Times New Roman" w:eastAsia="仿宋_GB2312" w:cs="Times New Roman"/>
          <w:kern w:val="0"/>
          <w:sz w:val="32"/>
          <w:szCs w:val="32"/>
        </w:rPr>
      </w:pPr>
      <w:r>
        <w:rPr>
          <w:rFonts w:hint="eastAsia" w:ascii="Times New Roman" w:hAnsi="Times New Roman" w:eastAsia="仿宋_GB2312" w:cs="Times New Roman"/>
          <w:b/>
          <w:bCs/>
          <w:kern w:val="0"/>
          <w:sz w:val="32"/>
          <w:szCs w:val="32"/>
          <w:lang w:eastAsia="zh-Hans"/>
        </w:rPr>
        <w:t>二是</w:t>
      </w:r>
      <w:r>
        <w:rPr>
          <w:rFonts w:ascii="Times New Roman" w:hAnsi="Times New Roman" w:eastAsia="仿宋_GB2312" w:cs="Times New Roman"/>
          <w:b/>
          <w:bCs/>
          <w:kern w:val="0"/>
          <w:sz w:val="32"/>
          <w:szCs w:val="32"/>
        </w:rPr>
        <w:t>政府投资计划下达及支付情况</w:t>
      </w:r>
      <w:r>
        <w:rPr>
          <w:rFonts w:hint="eastAsia" w:ascii="Times New Roman" w:hAnsi="Times New Roman" w:eastAsia="仿宋_GB2312" w:cs="Times New Roman"/>
          <w:b/>
          <w:bCs/>
          <w:kern w:val="0"/>
          <w:sz w:val="32"/>
          <w:szCs w:val="32"/>
          <w:lang w:eastAsia="zh-Hans"/>
        </w:rPr>
        <w:t>。</w:t>
      </w:r>
      <w:r>
        <w:rPr>
          <w:rFonts w:ascii="Times New Roman" w:hAnsi="Times New Roman" w:eastAsia="仿宋_GB2312" w:cs="Times New Roman"/>
          <w:kern w:val="0"/>
          <w:sz w:val="32"/>
          <w:szCs w:val="32"/>
        </w:rPr>
        <w:t>根据深圳市盐田区发展和改革局《关于下达</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深盐路景观提升工程</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等11 个项目政府投资计划的通知》（深盐发改投〔2020〕73号）</w:t>
      </w:r>
      <w:r>
        <w:rPr>
          <w:rFonts w:hint="eastAsia" w:ascii="Times New Roman" w:hAnsi="Times New Roman" w:eastAsia="仿宋_GB2312" w:cs="Times New Roman"/>
          <w:kern w:val="0"/>
          <w:sz w:val="32"/>
          <w:szCs w:val="32"/>
        </w:rPr>
        <w:t>以及</w:t>
      </w:r>
      <w:r>
        <w:rPr>
          <w:rFonts w:ascii="Times New Roman" w:hAnsi="Times New Roman" w:eastAsia="仿宋_GB2312" w:cs="Times New Roman"/>
          <w:kern w:val="0"/>
          <w:sz w:val="32"/>
          <w:szCs w:val="32"/>
        </w:rPr>
        <w:t>《关于下达</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盐港幼儿园</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政府投资项目计划的通知》（深盐发改投〔2018〕98号）等文件，截至2021年12月31日，区发改局累计下达机关幼儿园项目计划3,180万元</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全部为专项</w:t>
      </w:r>
      <w:r>
        <w:rPr>
          <w:rFonts w:hint="eastAsia" w:ascii="Times New Roman" w:hAnsi="Times New Roman" w:eastAsia="仿宋_GB2312" w:cs="Times New Roman"/>
          <w:kern w:val="0"/>
          <w:sz w:val="32"/>
          <w:szCs w:val="32"/>
        </w:rPr>
        <w:t>债券资金，</w:t>
      </w:r>
      <w:r>
        <w:rPr>
          <w:rFonts w:ascii="Times New Roman" w:hAnsi="Times New Roman" w:eastAsia="仿宋_GB2312" w:cs="Times New Roman"/>
          <w:kern w:val="0"/>
          <w:sz w:val="32"/>
          <w:szCs w:val="32"/>
        </w:rPr>
        <w:t>机关幼儿园项目累计支付3,180万元，占项目投资总额的55.43%</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占累计下达金额的100%</w:t>
      </w:r>
      <w:r>
        <w:rPr>
          <w:rFonts w:hint="eastAsia" w:ascii="Times New Roman" w:hAnsi="Times New Roman" w:eastAsia="仿宋_GB2312" w:cs="Times New Roman"/>
          <w:kern w:val="0"/>
          <w:sz w:val="32"/>
          <w:szCs w:val="32"/>
        </w:rPr>
        <w:t>，专项债资金支出进度1</w:t>
      </w:r>
      <w:r>
        <w:rPr>
          <w:rFonts w:ascii="Times New Roman" w:hAnsi="Times New Roman" w:eastAsia="仿宋_GB2312" w:cs="Times New Roman"/>
          <w:kern w:val="0"/>
          <w:sz w:val="32"/>
          <w:szCs w:val="32"/>
        </w:rPr>
        <w:t>00%</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累计下达盐港幼儿园项目计划5,930.4万元，其中3,831.24万元为专项</w:t>
      </w:r>
      <w:r>
        <w:rPr>
          <w:rFonts w:hint="eastAsia" w:ascii="Times New Roman" w:hAnsi="Times New Roman" w:eastAsia="仿宋_GB2312" w:cs="Times New Roman"/>
          <w:kern w:val="0"/>
          <w:sz w:val="32"/>
          <w:szCs w:val="32"/>
        </w:rPr>
        <w:t>债券资金</w:t>
      </w:r>
      <w:r>
        <w:rPr>
          <w:rFonts w:ascii="Times New Roman" w:hAnsi="Times New Roman" w:eastAsia="仿宋_GB2312" w:cs="Times New Roman"/>
          <w:kern w:val="0"/>
          <w:sz w:val="32"/>
          <w:szCs w:val="32"/>
        </w:rPr>
        <w:t>，2,099.16万元</w:t>
      </w:r>
      <w:r>
        <w:rPr>
          <w:rFonts w:hint="eastAsia" w:ascii="Times New Roman" w:hAnsi="Times New Roman" w:eastAsia="仿宋_GB2312" w:cs="Times New Roman"/>
          <w:kern w:val="0"/>
          <w:sz w:val="32"/>
          <w:szCs w:val="32"/>
        </w:rPr>
        <w:t>为</w:t>
      </w:r>
      <w:r>
        <w:rPr>
          <w:rFonts w:ascii="Times New Roman" w:hAnsi="Times New Roman" w:eastAsia="仿宋_GB2312" w:cs="Times New Roman"/>
          <w:kern w:val="0"/>
          <w:sz w:val="32"/>
          <w:szCs w:val="32"/>
        </w:rPr>
        <w:t>区级</w:t>
      </w:r>
      <w:r>
        <w:rPr>
          <w:rFonts w:hint="eastAsia" w:ascii="Times New Roman" w:hAnsi="Times New Roman" w:eastAsia="仿宋_GB2312" w:cs="Times New Roman"/>
          <w:kern w:val="0"/>
          <w:sz w:val="32"/>
          <w:szCs w:val="32"/>
        </w:rPr>
        <w:t>配套</w:t>
      </w:r>
      <w:r>
        <w:rPr>
          <w:rFonts w:ascii="Times New Roman" w:hAnsi="Times New Roman" w:eastAsia="仿宋_GB2312" w:cs="Times New Roman"/>
          <w:kern w:val="0"/>
          <w:sz w:val="32"/>
          <w:szCs w:val="32"/>
        </w:rPr>
        <w:t>财政资金</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盐港幼儿园项目累计支付5,930.40万元，占项目投资总额的68.11%，占累计下达金额的100%</w:t>
      </w:r>
      <w:r>
        <w:rPr>
          <w:rFonts w:hint="eastAsia" w:ascii="Times New Roman" w:hAnsi="Times New Roman" w:eastAsia="仿宋_GB2312" w:cs="Times New Roman"/>
          <w:kern w:val="0"/>
          <w:sz w:val="32"/>
          <w:szCs w:val="32"/>
        </w:rPr>
        <w:t>，专项债券资金支出进度8</w:t>
      </w:r>
      <w:r>
        <w:rPr>
          <w:rFonts w:ascii="Times New Roman" w:hAnsi="Times New Roman" w:eastAsia="仿宋_GB2312" w:cs="Times New Roman"/>
          <w:kern w:val="0"/>
          <w:sz w:val="32"/>
          <w:szCs w:val="32"/>
        </w:rPr>
        <w:t>9.1%。</w:t>
      </w:r>
    </w:p>
    <w:p>
      <w:pPr>
        <w:keepNext/>
        <w:keepLines/>
        <w:widowControl/>
        <w:numPr>
          <w:ilvl w:val="255"/>
          <w:numId w:val="0"/>
        </w:numPr>
        <w:adjustRightInd w:val="0"/>
        <w:snapToGrid w:val="0"/>
        <w:spacing w:line="560" w:lineRule="exact"/>
        <w:ind w:firstLine="640" w:firstLineChars="200"/>
        <w:jc w:val="left"/>
        <w:outlineLvl w:val="0"/>
        <w:rPr>
          <w:rFonts w:ascii="Times New Roman" w:hAnsi="Times New Roman" w:eastAsia="黑体" w:cs="Times New Roman"/>
          <w:kern w:val="44"/>
          <w:sz w:val="32"/>
          <w:szCs w:val="32"/>
          <w:lang w:eastAsia="zh-Hans"/>
        </w:rPr>
      </w:pPr>
      <w:bookmarkStart w:id="20" w:name="_Toc7324"/>
      <w:bookmarkStart w:id="21" w:name="_Toc19813596"/>
      <w:bookmarkStart w:id="22" w:name="_Toc23607"/>
      <w:bookmarkStart w:id="23" w:name="_Toc9909_WPSOffice_Level1"/>
      <w:bookmarkStart w:id="24" w:name="_Toc522732943"/>
      <w:bookmarkStart w:id="25" w:name="_Toc118235218"/>
      <w:bookmarkStart w:id="26" w:name="_Toc1342432009"/>
      <w:bookmarkStart w:id="27" w:name="_Toc19813598"/>
      <w:bookmarkStart w:id="28" w:name="_Toc21978"/>
      <w:bookmarkStart w:id="29" w:name="_Toc20318"/>
      <w:r>
        <w:rPr>
          <w:rFonts w:hint="eastAsia" w:ascii="Times New Roman" w:hAnsi="Times New Roman" w:eastAsia="黑体" w:cs="Times New Roman"/>
          <w:kern w:val="44"/>
          <w:sz w:val="32"/>
          <w:szCs w:val="32"/>
          <w:lang w:eastAsia="zh-Hans"/>
        </w:rPr>
        <w:t>二、</w:t>
      </w:r>
      <w:bookmarkEnd w:id="20"/>
      <w:bookmarkEnd w:id="21"/>
      <w:bookmarkEnd w:id="22"/>
      <w:bookmarkEnd w:id="23"/>
      <w:bookmarkEnd w:id="24"/>
      <w:bookmarkEnd w:id="25"/>
      <w:bookmarkEnd w:id="26"/>
      <w:r>
        <w:rPr>
          <w:rFonts w:hint="eastAsia" w:ascii="Times New Roman" w:hAnsi="Times New Roman" w:eastAsia="黑体" w:cs="Times New Roman"/>
          <w:kern w:val="44"/>
          <w:sz w:val="32"/>
          <w:szCs w:val="32"/>
          <w:lang w:eastAsia="zh-Hans"/>
        </w:rPr>
        <w:t>绩效评价结论</w:t>
      </w:r>
    </w:p>
    <w:bookmarkEnd w:id="27"/>
    <w:bookmarkEnd w:id="28"/>
    <w:bookmarkEnd w:id="29"/>
    <w:p>
      <w:pPr>
        <w:spacing w:line="560" w:lineRule="exact"/>
        <w:ind w:firstLine="640" w:firstLineChars="200"/>
        <w:rPr>
          <w:rFonts w:ascii="Times New Roman" w:hAnsi="Times New Roman" w:eastAsia="仿宋_GB2312" w:cs="Times New Roman"/>
          <w:sz w:val="32"/>
          <w:szCs w:val="32"/>
          <w:lang w:val="en-GB"/>
        </w:rPr>
      </w:pPr>
      <w:bookmarkStart w:id="30" w:name="_Toc2994"/>
      <w:bookmarkStart w:id="31" w:name="_Toc12381"/>
      <w:r>
        <w:rPr>
          <w:rFonts w:hint="eastAsia" w:ascii="Times New Roman" w:hAnsi="Times New Roman" w:eastAsia="仿宋_GB2312" w:cs="Times New Roman"/>
          <w:sz w:val="32"/>
          <w:szCs w:val="32"/>
          <w:lang w:val="en-GB"/>
        </w:rPr>
        <w:t>本次绩效评价采取现场调研、访谈、穿行测试、现场评价和非现场评价相结合、财务检查等工作方式，广泛收集评价所需的资料，并依据评价指标体系，结合相关佐证材料对</w:t>
      </w:r>
      <w:r>
        <w:rPr>
          <w:rFonts w:ascii="Times New Roman" w:hAnsi="Times New Roman" w:eastAsia="仿宋_GB2312" w:cs="Times New Roman"/>
          <w:sz w:val="32"/>
          <w:szCs w:val="32"/>
          <w:lang w:val="en-GB"/>
        </w:rPr>
        <w:t>盐田区机关幼儿园拆除重建工程项目和盐港幼儿园建设工程项目</w:t>
      </w:r>
      <w:r>
        <w:rPr>
          <w:rFonts w:hint="eastAsia" w:ascii="Times New Roman" w:hAnsi="Times New Roman" w:eastAsia="仿宋_GB2312" w:cs="Times New Roman"/>
          <w:sz w:val="32"/>
          <w:szCs w:val="32"/>
          <w:lang w:val="en-US" w:eastAsia="zh-Hans"/>
        </w:rPr>
        <w:t>的绩效情况</w:t>
      </w:r>
      <w:r>
        <w:rPr>
          <w:rFonts w:hint="eastAsia" w:ascii="Times New Roman" w:hAnsi="Times New Roman" w:eastAsia="仿宋_GB2312" w:cs="Times New Roman"/>
          <w:sz w:val="32"/>
          <w:szCs w:val="32"/>
          <w:lang w:val="en-GB"/>
        </w:rPr>
        <w:t>进行了绩效评分</w:t>
      </w:r>
      <w:r>
        <w:rPr>
          <w:rFonts w:hint="eastAsia" w:ascii="Times New Roman" w:hAnsi="Times New Roman" w:eastAsia="仿宋_GB2312" w:cs="Times New Roman"/>
          <w:sz w:val="32"/>
          <w:szCs w:val="32"/>
          <w:lang w:val="en-GB" w:eastAsia="zh-Hans"/>
        </w:rPr>
        <w:t>，</w:t>
      </w:r>
      <w:r>
        <w:rPr>
          <w:rFonts w:ascii="Times New Roman" w:hAnsi="Times New Roman" w:eastAsia="仿宋_GB2312" w:cs="Times New Roman"/>
          <w:sz w:val="32"/>
          <w:szCs w:val="32"/>
          <w:lang w:val="en-GB"/>
        </w:rPr>
        <w:t>综合评定项目</w:t>
      </w:r>
      <w:r>
        <w:rPr>
          <w:rFonts w:hint="eastAsia" w:ascii="Times New Roman" w:hAnsi="Times New Roman" w:eastAsia="仿宋_GB2312" w:cs="Times New Roman"/>
          <w:sz w:val="32"/>
          <w:szCs w:val="32"/>
          <w:lang w:val="en-GB"/>
        </w:rPr>
        <w:t>的</w:t>
      </w:r>
      <w:r>
        <w:rPr>
          <w:rFonts w:ascii="Times New Roman" w:hAnsi="Times New Roman" w:eastAsia="仿宋_GB2312" w:cs="Times New Roman"/>
          <w:sz w:val="32"/>
          <w:szCs w:val="32"/>
          <w:lang w:val="en-GB"/>
        </w:rPr>
        <w:t>绩效评价得分为80.91分，绩效等级为</w:t>
      </w:r>
      <w:r>
        <w:rPr>
          <w:rFonts w:hint="eastAsia" w:ascii="Times New Roman" w:hAnsi="Times New Roman" w:eastAsia="仿宋_GB2312" w:cs="Times New Roman"/>
          <w:sz w:val="32"/>
          <w:szCs w:val="32"/>
          <w:lang w:val="en-GB"/>
        </w:rPr>
        <w:t>“良</w:t>
      </w:r>
      <w:r>
        <w:rPr>
          <w:rStyle w:val="23"/>
        </w:rPr>
        <w:footnoteReference w:id="0"/>
      </w:r>
      <w:r>
        <w:rPr>
          <w:rFonts w:hint="eastAsia" w:ascii="Times New Roman" w:hAnsi="Times New Roman" w:eastAsia="仿宋_GB2312" w:cs="Times New Roman"/>
          <w:sz w:val="32"/>
          <w:szCs w:val="32"/>
          <w:lang w:val="en-GB"/>
        </w:rPr>
        <w:t>”</w:t>
      </w:r>
      <w:r>
        <w:rPr>
          <w:rFonts w:ascii="Times New Roman" w:hAnsi="Times New Roman" w:eastAsia="仿宋_GB2312" w:cs="Times New Roman"/>
          <w:sz w:val="32"/>
          <w:szCs w:val="32"/>
          <w:lang w:val="en-GB"/>
        </w:rPr>
        <w:t>。</w:t>
      </w:r>
    </w:p>
    <w:bookmarkEnd w:id="30"/>
    <w:bookmarkEnd w:id="31"/>
    <w:p>
      <w:pPr>
        <w:keepNext/>
        <w:keepLines/>
        <w:widowControl/>
        <w:numPr>
          <w:ilvl w:val="255"/>
          <w:numId w:val="0"/>
        </w:numPr>
        <w:adjustRightInd w:val="0"/>
        <w:snapToGrid w:val="0"/>
        <w:spacing w:line="560" w:lineRule="exact"/>
        <w:ind w:firstLine="640" w:firstLineChars="200"/>
        <w:jc w:val="left"/>
        <w:outlineLvl w:val="0"/>
        <w:rPr>
          <w:rFonts w:ascii="Times New Roman" w:hAnsi="Times New Roman" w:eastAsia="黑体" w:cs="Times New Roman"/>
          <w:kern w:val="44"/>
          <w:sz w:val="32"/>
          <w:szCs w:val="32"/>
          <w:lang w:eastAsia="zh-Hans"/>
        </w:rPr>
      </w:pPr>
      <w:bookmarkStart w:id="32" w:name="_Toc19813603"/>
      <w:bookmarkStart w:id="33" w:name="_Toc17080_WPSOffice_Level1"/>
      <w:bookmarkStart w:id="34" w:name="_Toc32361"/>
      <w:bookmarkStart w:id="35" w:name="_Toc616511994"/>
      <w:bookmarkStart w:id="36" w:name="_Toc118235225"/>
      <w:bookmarkStart w:id="37" w:name="_Toc10339"/>
      <w:bookmarkStart w:id="38" w:name="_Toc911212171"/>
      <w:r>
        <w:rPr>
          <w:rFonts w:hint="eastAsia" w:ascii="Times New Roman" w:hAnsi="Times New Roman" w:eastAsia="黑体" w:cs="Times New Roman"/>
          <w:kern w:val="44"/>
          <w:sz w:val="32"/>
          <w:szCs w:val="32"/>
          <w:lang w:eastAsia="zh-Hans"/>
        </w:rPr>
        <w:t>三、取得的主要成效</w:t>
      </w:r>
      <w:bookmarkEnd w:id="32"/>
      <w:bookmarkEnd w:id="33"/>
      <w:bookmarkEnd w:id="34"/>
      <w:bookmarkEnd w:id="35"/>
      <w:bookmarkEnd w:id="36"/>
      <w:bookmarkEnd w:id="37"/>
      <w:bookmarkEnd w:id="38"/>
    </w:p>
    <w:p>
      <w:pPr>
        <w:numPr>
          <w:ilvl w:val="0"/>
          <w:numId w:val="0"/>
        </w:numPr>
        <w:spacing w:line="560" w:lineRule="exact"/>
        <w:ind w:firstLine="640" w:firstLineChars="200"/>
        <w:rPr>
          <w:rFonts w:ascii="Times New Roman" w:hAnsi="Times New Roman" w:eastAsia="仿宋_GB2312" w:cs="Times New Roman"/>
          <w:sz w:val="32"/>
          <w:szCs w:val="32"/>
        </w:rPr>
      </w:pPr>
      <w:bookmarkStart w:id="39" w:name="_Toc118235226"/>
      <w:bookmarkStart w:id="40" w:name="_Toc26210"/>
      <w:bookmarkStart w:id="41" w:name="_Toc57848713"/>
      <w:r>
        <w:rPr>
          <w:rFonts w:hint="eastAsia" w:ascii="CESI仿宋-GB2312" w:hAnsi="CESI仿宋-GB2312" w:eastAsia="CESI仿宋-GB2312" w:cs="CESI仿宋-GB2312"/>
          <w:b w:val="0"/>
          <w:bCs w:val="0"/>
          <w:sz w:val="32"/>
          <w:szCs w:val="32"/>
          <w:lang w:eastAsia="zh-CN"/>
        </w:rPr>
        <w:t>评价认为资金</w:t>
      </w:r>
      <w:r>
        <w:rPr>
          <w:rFonts w:hint="eastAsia" w:ascii="CESI仿宋-GB2312" w:hAnsi="CESI仿宋-GB2312" w:eastAsia="CESI仿宋-GB2312" w:cs="CESI仿宋-GB2312"/>
          <w:b w:val="0"/>
          <w:bCs w:val="0"/>
          <w:sz w:val="32"/>
          <w:szCs w:val="32"/>
        </w:rPr>
        <w:t>取得的主要成效</w:t>
      </w:r>
      <w:r>
        <w:rPr>
          <w:rFonts w:hint="eastAsia" w:ascii="CESI仿宋-GB2312" w:hAnsi="CESI仿宋-GB2312" w:eastAsia="CESI仿宋-GB2312" w:cs="CESI仿宋-GB2312"/>
          <w:b w:val="0"/>
          <w:bCs w:val="0"/>
          <w:sz w:val="32"/>
          <w:szCs w:val="32"/>
          <w:lang w:eastAsia="zh-CN"/>
        </w:rPr>
        <w:t>为：</w:t>
      </w:r>
      <w:bookmarkStart w:id="42" w:name="_Toc1532811495"/>
      <w:bookmarkStart w:id="43" w:name="_Toc1526432079"/>
      <w:bookmarkStart w:id="44" w:name="_Toc478930336"/>
      <w:bookmarkStart w:id="45" w:name="_Toc1048801790"/>
      <w:bookmarkStart w:id="46" w:name="_Toc119540615"/>
      <w:bookmarkStart w:id="47" w:name="_Toc1490743449"/>
      <w:bookmarkStart w:id="48" w:name="_Toc1639806241"/>
      <w:bookmarkStart w:id="49" w:name="_Toc1599541885"/>
      <w:bookmarkStart w:id="50" w:name="_Toc615040626"/>
      <w:bookmarkStart w:id="51" w:name="_Toc117906263"/>
      <w:bookmarkStart w:id="52" w:name="_Toc120631025"/>
      <w:bookmarkStart w:id="53" w:name="_Toc118128628"/>
      <w:bookmarkStart w:id="54" w:name="_Toc1184123277"/>
      <w:r>
        <w:rPr>
          <w:rFonts w:hint="eastAsia" w:ascii="CESI仿宋-GB2312" w:hAnsi="CESI仿宋-GB2312" w:eastAsia="CESI仿宋-GB2312" w:cs="CESI仿宋-GB2312"/>
          <w:kern w:val="2"/>
          <w:sz w:val="32"/>
          <w:szCs w:val="32"/>
          <w:lang w:eastAsia="zh-CN"/>
        </w:rPr>
        <w:t>一是</w:t>
      </w:r>
      <w:r>
        <w:rPr>
          <w:rFonts w:hint="eastAsia" w:ascii="CESI仿宋-GB2312" w:hAnsi="CESI仿宋-GB2312" w:eastAsia="CESI仿宋-GB2312" w:cs="CESI仿宋-GB2312"/>
          <w:b w:val="0"/>
          <w:bCs w:val="0"/>
          <w:sz w:val="32"/>
          <w:szCs w:val="32"/>
        </w:rPr>
        <w:t>大力推动幼儿园建设，推进学前教育普惠优质发展</w:t>
      </w:r>
      <w:bookmarkEnd w:id="42"/>
      <w:bookmarkEnd w:id="43"/>
      <w:bookmarkEnd w:id="44"/>
      <w:bookmarkStart w:id="55" w:name="_Toc587742251"/>
      <w:bookmarkStart w:id="56" w:name="_Toc2041684184"/>
      <w:bookmarkStart w:id="57" w:name="_Toc118235227"/>
      <w:bookmarkStart w:id="58" w:name="_Toc2006590237"/>
      <w:r>
        <w:rPr>
          <w:rFonts w:hint="eastAsia" w:ascii="CESI仿宋-GB2312" w:hAnsi="CESI仿宋-GB2312" w:eastAsia="CESI仿宋-GB2312" w:cs="CESI仿宋-GB2312"/>
          <w:b w:val="0"/>
          <w:bCs w:val="0"/>
          <w:sz w:val="32"/>
          <w:szCs w:val="32"/>
          <w:lang w:eastAsia="zh-CN"/>
        </w:rPr>
        <w:t>；二是</w:t>
      </w:r>
      <w:r>
        <w:rPr>
          <w:rFonts w:hint="eastAsia" w:ascii="CESI仿宋-GB2312" w:hAnsi="CESI仿宋-GB2312" w:eastAsia="CESI仿宋-GB2312" w:cs="CESI仿宋-GB2312"/>
          <w:b w:val="0"/>
          <w:bCs w:val="0"/>
          <w:sz w:val="32"/>
          <w:szCs w:val="32"/>
        </w:rPr>
        <w:t>监督单位履职良好，工程质量得到有效控制</w:t>
      </w:r>
      <w:bookmarkEnd w:id="55"/>
      <w:bookmarkEnd w:id="56"/>
      <w:bookmarkEnd w:id="57"/>
      <w:bookmarkEnd w:id="58"/>
      <w:bookmarkStart w:id="59" w:name="_Toc1228609469"/>
      <w:bookmarkStart w:id="60" w:name="_Toc2000702464"/>
      <w:bookmarkStart w:id="61" w:name="_Toc2066204006"/>
      <w:bookmarkStart w:id="62" w:name="_Toc118235228"/>
      <w:r>
        <w:rPr>
          <w:rFonts w:hint="eastAsia" w:ascii="CESI仿宋-GB2312" w:hAnsi="CESI仿宋-GB2312" w:eastAsia="CESI仿宋-GB2312" w:cs="CESI仿宋-GB2312"/>
          <w:b w:val="0"/>
          <w:bCs w:val="0"/>
          <w:sz w:val="32"/>
          <w:szCs w:val="32"/>
          <w:lang w:eastAsia="zh-CN"/>
        </w:rPr>
        <w:t>；三是</w:t>
      </w:r>
      <w:r>
        <w:rPr>
          <w:rFonts w:hint="eastAsia" w:ascii="CESI仿宋-GB2312" w:hAnsi="CESI仿宋-GB2312" w:eastAsia="CESI仿宋-GB2312" w:cs="CESI仿宋-GB2312"/>
          <w:b w:val="0"/>
          <w:bCs w:val="0"/>
          <w:sz w:val="32"/>
          <w:szCs w:val="32"/>
        </w:rPr>
        <w:t>按规定披露专项债券存续期项目信息，自觉接受社会监督</w:t>
      </w:r>
      <w:bookmarkEnd w:id="59"/>
      <w:bookmarkEnd w:id="60"/>
      <w:bookmarkEnd w:id="61"/>
      <w:r>
        <w:rPr>
          <w:rFonts w:hint="eastAsia" w:ascii="CESI仿宋-GB2312" w:hAnsi="CESI仿宋-GB2312" w:eastAsia="CESI仿宋-GB2312" w:cs="CESI仿宋-GB2312"/>
          <w:b w:val="0"/>
          <w:bCs w:val="0"/>
          <w:sz w:val="32"/>
          <w:szCs w:val="32"/>
          <w:lang w:eastAsia="zh-CN"/>
        </w:rPr>
        <w:t>。</w:t>
      </w:r>
      <w:bookmarkEnd w:id="39"/>
      <w:bookmarkEnd w:id="40"/>
      <w:bookmarkEnd w:id="45"/>
      <w:bookmarkEnd w:id="46"/>
      <w:bookmarkEnd w:id="47"/>
      <w:bookmarkEnd w:id="48"/>
      <w:bookmarkEnd w:id="49"/>
      <w:bookmarkEnd w:id="50"/>
      <w:bookmarkEnd w:id="51"/>
      <w:bookmarkEnd w:id="52"/>
      <w:bookmarkEnd w:id="53"/>
      <w:bookmarkEnd w:id="54"/>
      <w:bookmarkEnd w:id="62"/>
    </w:p>
    <w:bookmarkEnd w:id="41"/>
    <w:p>
      <w:pPr>
        <w:keepNext/>
        <w:keepLines/>
        <w:widowControl/>
        <w:numPr>
          <w:ilvl w:val="255"/>
          <w:numId w:val="0"/>
        </w:numPr>
        <w:adjustRightInd w:val="0"/>
        <w:snapToGrid w:val="0"/>
        <w:spacing w:line="560" w:lineRule="exact"/>
        <w:ind w:firstLine="640" w:firstLineChars="200"/>
        <w:jc w:val="left"/>
        <w:outlineLvl w:val="0"/>
        <w:rPr>
          <w:rFonts w:ascii="Times New Roman" w:hAnsi="Times New Roman" w:eastAsia="黑体" w:cs="Times New Roman"/>
          <w:kern w:val="44"/>
          <w:sz w:val="32"/>
          <w:szCs w:val="32"/>
        </w:rPr>
      </w:pPr>
      <w:bookmarkStart w:id="63" w:name="_Toc19813608"/>
      <w:bookmarkStart w:id="64" w:name="_Toc31150"/>
      <w:bookmarkStart w:id="65" w:name="_Toc17611"/>
      <w:bookmarkStart w:id="66" w:name="_Toc2881846"/>
      <w:bookmarkStart w:id="67" w:name="_Toc118235229"/>
      <w:bookmarkStart w:id="68" w:name="_Toc1372280502"/>
      <w:r>
        <w:rPr>
          <w:rFonts w:hint="eastAsia" w:ascii="Times New Roman" w:hAnsi="Times New Roman" w:eastAsia="黑体" w:cs="Times New Roman"/>
          <w:kern w:val="44"/>
          <w:sz w:val="32"/>
          <w:szCs w:val="32"/>
          <w:lang w:eastAsia="zh-Hans"/>
        </w:rPr>
        <w:t>四</w:t>
      </w:r>
      <w:r>
        <w:rPr>
          <w:rFonts w:hint="eastAsia" w:ascii="Times New Roman" w:hAnsi="Times New Roman" w:eastAsia="黑体" w:cs="Times New Roman"/>
          <w:kern w:val="44"/>
          <w:sz w:val="32"/>
          <w:szCs w:val="32"/>
        </w:rPr>
        <w:t>、存在的主要问题</w:t>
      </w:r>
      <w:bookmarkEnd w:id="63"/>
      <w:bookmarkEnd w:id="64"/>
      <w:bookmarkEnd w:id="65"/>
      <w:bookmarkEnd w:id="66"/>
      <w:bookmarkEnd w:id="67"/>
      <w:bookmarkEnd w:id="68"/>
    </w:p>
    <w:p>
      <w:pPr>
        <w:numPr>
          <w:ilvl w:val="0"/>
          <w:numId w:val="0"/>
        </w:numPr>
        <w:spacing w:line="560" w:lineRule="exact"/>
        <w:ind w:firstLine="640" w:firstLineChars="200"/>
        <w:rPr>
          <w:rFonts w:hint="eastAsia" w:ascii="Times New Roman" w:hAnsi="Times New Roman" w:eastAsia="仿宋_GB2312" w:cs="Times New Roman"/>
          <w:sz w:val="32"/>
          <w:szCs w:val="32"/>
          <w:lang w:val="en-US" w:eastAsia="zh-Hans"/>
        </w:rPr>
      </w:pPr>
      <w:bookmarkStart w:id="69" w:name="_Toc450278107"/>
      <w:bookmarkStart w:id="70" w:name="_Toc1730344788"/>
      <w:bookmarkStart w:id="71" w:name="_Toc992013353"/>
      <w:bookmarkStart w:id="72" w:name="_Toc1176537129"/>
      <w:bookmarkStart w:id="73" w:name="_Toc120631029"/>
      <w:bookmarkStart w:id="74" w:name="_Toc1464117898"/>
      <w:bookmarkStart w:id="75" w:name="_Toc1874052693"/>
      <w:bookmarkStart w:id="76" w:name="_Toc119540619"/>
      <w:bookmarkStart w:id="77" w:name="_Toc118128632"/>
      <w:bookmarkStart w:id="78" w:name="_Toc1875308376"/>
      <w:bookmarkStart w:id="79" w:name="_Toc543701700"/>
      <w:bookmarkStart w:id="80" w:name="_Toc844670252"/>
      <w:bookmarkStart w:id="81" w:name="_Toc1639701422"/>
      <w:bookmarkStart w:id="82" w:name="_Toc1393793459"/>
      <w:bookmarkStart w:id="83" w:name="_Toc106659163"/>
      <w:bookmarkStart w:id="84" w:name="_Toc117906267"/>
      <w:bookmarkStart w:id="85" w:name="_Toc1198415795"/>
      <w:bookmarkStart w:id="86" w:name="_Toc740988707"/>
      <w:bookmarkStart w:id="87" w:name="_Toc145442611"/>
      <w:bookmarkStart w:id="88" w:name="_Toc118235230"/>
      <w:bookmarkStart w:id="89" w:name="_Toc313082110"/>
      <w:bookmarkStart w:id="90" w:name="_Toc754069973"/>
      <w:r>
        <w:rPr>
          <w:rFonts w:hint="eastAsia" w:ascii="CESI仿宋-GB2312" w:hAnsi="CESI仿宋-GB2312" w:eastAsia="CESI仿宋-GB2312" w:cs="CESI仿宋-GB2312"/>
          <w:b w:val="0"/>
          <w:bCs w:val="0"/>
          <w:sz w:val="32"/>
          <w:szCs w:val="32"/>
          <w:lang w:eastAsia="zh-CN"/>
        </w:rPr>
        <w:t>评价发现</w:t>
      </w:r>
      <w:r>
        <w:rPr>
          <w:rFonts w:hint="eastAsia" w:ascii="CESI仿宋-GB2312" w:hAnsi="CESI仿宋-GB2312" w:eastAsia="CESI仿宋-GB2312" w:cs="CESI仿宋-GB2312"/>
          <w:b w:val="0"/>
          <w:bCs w:val="0"/>
          <w:sz w:val="32"/>
          <w:szCs w:val="32"/>
        </w:rPr>
        <w:t>的问题</w:t>
      </w:r>
      <w:r>
        <w:rPr>
          <w:rFonts w:hint="eastAsia" w:ascii="CESI仿宋-GB2312" w:hAnsi="CESI仿宋-GB2312" w:eastAsia="CESI仿宋-GB2312" w:cs="CESI仿宋-GB2312"/>
          <w:b w:val="0"/>
          <w:bCs w:val="0"/>
          <w:sz w:val="32"/>
          <w:szCs w:val="32"/>
          <w:lang w:eastAsia="zh-CN"/>
        </w:rPr>
        <w:t>主要为：</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Start w:id="91" w:name="_Toc117906268"/>
      <w:bookmarkStart w:id="92" w:name="_Toc120631030"/>
      <w:bookmarkStart w:id="93" w:name="_Toc91772321"/>
      <w:bookmarkStart w:id="94" w:name="_Toc539529596"/>
      <w:bookmarkStart w:id="95" w:name="_Toc119540620"/>
      <w:bookmarkStart w:id="96" w:name="_Toc118128633"/>
      <w:bookmarkStart w:id="97" w:name="_Toc1951641250"/>
      <w:bookmarkStart w:id="98" w:name="_Toc1860699348"/>
      <w:bookmarkStart w:id="99" w:name="_Toc451553915"/>
      <w:bookmarkStart w:id="100" w:name="_Toc30105527"/>
      <w:r>
        <w:rPr>
          <w:rFonts w:hint="eastAsia" w:ascii="CESI仿宋-GB2312" w:hAnsi="CESI仿宋-GB2312" w:eastAsia="CESI仿宋-GB2312" w:cs="CESI仿宋-GB2312"/>
          <w:kern w:val="2"/>
          <w:sz w:val="32"/>
          <w:szCs w:val="32"/>
          <w:lang w:eastAsia="zh-CN"/>
        </w:rPr>
        <w:t>一是</w:t>
      </w:r>
      <w:r>
        <w:rPr>
          <w:rFonts w:hint="eastAsia" w:ascii="CESI仿宋-GB2312" w:hAnsi="CESI仿宋-GB2312" w:eastAsia="CESI仿宋-GB2312" w:cs="CESI仿宋-GB2312"/>
          <w:b w:val="0"/>
          <w:bCs w:val="0"/>
          <w:sz w:val="32"/>
          <w:szCs w:val="32"/>
        </w:rPr>
        <w:t>勘察设计工作不够扎实，导致项目建设中产生设计变更</w:t>
      </w:r>
      <w:bookmarkStart w:id="101" w:name="_Toc367443620"/>
      <w:bookmarkStart w:id="102" w:name="_Toc118235231"/>
      <w:bookmarkStart w:id="103" w:name="_Toc562709331"/>
      <w:bookmarkStart w:id="104" w:name="_Toc118058917"/>
      <w:bookmarkStart w:id="105" w:name="_Toc1741139534"/>
      <w:r>
        <w:rPr>
          <w:rFonts w:hint="eastAsia" w:ascii="CESI仿宋-GB2312" w:hAnsi="CESI仿宋-GB2312" w:eastAsia="CESI仿宋-GB2312" w:cs="CESI仿宋-GB2312"/>
          <w:b w:val="0"/>
          <w:bCs w:val="0"/>
          <w:sz w:val="32"/>
          <w:szCs w:val="32"/>
          <w:lang w:eastAsia="zh-CN"/>
        </w:rPr>
        <w:t>；二是</w:t>
      </w:r>
      <w:r>
        <w:rPr>
          <w:rFonts w:hint="eastAsia" w:ascii="CESI仿宋-GB2312" w:hAnsi="CESI仿宋-GB2312" w:eastAsia="CESI仿宋-GB2312" w:cs="CESI仿宋-GB2312"/>
          <w:b w:val="0"/>
          <w:bCs w:val="0"/>
          <w:sz w:val="32"/>
          <w:szCs w:val="32"/>
        </w:rPr>
        <w:t>项目过程管理不规范，工程质效难以得到</w:t>
      </w:r>
      <w:r>
        <w:rPr>
          <w:rFonts w:hint="eastAsia" w:ascii="CESI仿宋-GB2312" w:hAnsi="CESI仿宋-GB2312" w:eastAsia="CESI仿宋-GB2312" w:cs="CESI仿宋-GB2312"/>
          <w:b w:val="0"/>
          <w:bCs w:val="0"/>
          <w:sz w:val="32"/>
          <w:szCs w:val="32"/>
          <w:lang w:eastAsia="zh-CN"/>
        </w:rPr>
        <w:t>充分</w:t>
      </w:r>
      <w:r>
        <w:rPr>
          <w:rFonts w:hint="eastAsia" w:ascii="CESI仿宋-GB2312" w:hAnsi="CESI仿宋-GB2312" w:eastAsia="CESI仿宋-GB2312" w:cs="CESI仿宋-GB2312"/>
          <w:b w:val="0"/>
          <w:bCs w:val="0"/>
          <w:sz w:val="32"/>
          <w:szCs w:val="32"/>
        </w:rPr>
        <w:t>保障</w:t>
      </w:r>
      <w:bookmarkEnd w:id="101"/>
      <w:bookmarkEnd w:id="102"/>
      <w:bookmarkEnd w:id="103"/>
      <w:bookmarkEnd w:id="104"/>
      <w:bookmarkEnd w:id="105"/>
      <w:bookmarkStart w:id="106" w:name="_Toc1869355131"/>
      <w:bookmarkStart w:id="107" w:name="_Toc118235232"/>
      <w:bookmarkStart w:id="108" w:name="_Toc507574404"/>
      <w:bookmarkStart w:id="109" w:name="_Toc177054361"/>
      <w:r>
        <w:rPr>
          <w:rFonts w:hint="eastAsia" w:ascii="CESI仿宋-GB2312" w:hAnsi="CESI仿宋-GB2312" w:eastAsia="CESI仿宋-GB2312" w:cs="CESI仿宋-GB2312"/>
          <w:b w:val="0"/>
          <w:bCs w:val="0"/>
          <w:sz w:val="32"/>
          <w:szCs w:val="32"/>
          <w:lang w:eastAsia="zh-CN"/>
        </w:rPr>
        <w:t>；三是</w:t>
      </w:r>
      <w:r>
        <w:rPr>
          <w:rFonts w:hint="eastAsia" w:ascii="CESI仿宋-GB2312" w:hAnsi="CESI仿宋-GB2312" w:eastAsia="CESI仿宋-GB2312" w:cs="CESI仿宋-GB2312"/>
          <w:b w:val="0"/>
          <w:bCs w:val="0"/>
          <w:sz w:val="32"/>
          <w:szCs w:val="32"/>
        </w:rPr>
        <w:t>项目档案管理不规范，未与项目建设同步进行</w:t>
      </w:r>
      <w:bookmarkEnd w:id="106"/>
      <w:bookmarkEnd w:id="107"/>
      <w:bookmarkEnd w:id="108"/>
      <w:bookmarkEnd w:id="109"/>
      <w:r>
        <w:rPr>
          <w:rFonts w:hint="eastAsia" w:ascii="CESI仿宋-GB2312" w:hAnsi="CESI仿宋-GB2312" w:eastAsia="CESI仿宋-GB2312" w:cs="CESI仿宋-GB2312"/>
          <w:b w:val="0"/>
          <w:bCs w:val="0"/>
          <w:sz w:val="32"/>
          <w:szCs w:val="32"/>
          <w:lang w:eastAsia="zh-CN"/>
        </w:rPr>
        <w:t>。</w:t>
      </w:r>
      <w:bookmarkEnd w:id="87"/>
      <w:bookmarkEnd w:id="88"/>
      <w:bookmarkEnd w:id="89"/>
      <w:bookmarkEnd w:id="90"/>
      <w:bookmarkEnd w:id="91"/>
      <w:bookmarkEnd w:id="92"/>
      <w:bookmarkEnd w:id="93"/>
      <w:bookmarkEnd w:id="94"/>
      <w:bookmarkEnd w:id="95"/>
      <w:bookmarkEnd w:id="96"/>
      <w:bookmarkEnd w:id="97"/>
      <w:bookmarkEnd w:id="98"/>
      <w:bookmarkEnd w:id="99"/>
      <w:bookmarkEnd w:id="100"/>
    </w:p>
    <w:p>
      <w:pPr>
        <w:keepNext/>
        <w:keepLines/>
        <w:widowControl/>
        <w:numPr>
          <w:ilvl w:val="255"/>
          <w:numId w:val="0"/>
        </w:numPr>
        <w:adjustRightInd w:val="0"/>
        <w:snapToGrid w:val="0"/>
        <w:spacing w:line="560" w:lineRule="exact"/>
        <w:ind w:firstLine="640" w:firstLineChars="200"/>
        <w:jc w:val="left"/>
        <w:outlineLvl w:val="0"/>
        <w:rPr>
          <w:rFonts w:ascii="Times New Roman" w:hAnsi="Times New Roman" w:eastAsia="黑体" w:cs="Times New Roman"/>
          <w:kern w:val="44"/>
          <w:sz w:val="32"/>
          <w:szCs w:val="32"/>
          <w:lang w:val="zh-CN"/>
        </w:rPr>
      </w:pPr>
      <w:bookmarkStart w:id="110" w:name="_Toc17745"/>
      <w:bookmarkStart w:id="111" w:name="_Toc1908836809"/>
      <w:bookmarkStart w:id="112" w:name="_Toc19813614"/>
      <w:bookmarkStart w:id="113" w:name="_Toc118235233"/>
      <w:bookmarkStart w:id="114" w:name="_Toc26746_WPSOffice_Level1"/>
      <w:bookmarkStart w:id="115" w:name="_Toc23565"/>
      <w:bookmarkStart w:id="116" w:name="_Toc1839514189"/>
      <w:r>
        <w:rPr>
          <w:rFonts w:hint="eastAsia" w:ascii="Times New Roman" w:hAnsi="Times New Roman" w:eastAsia="黑体" w:cs="Times New Roman"/>
          <w:kern w:val="44"/>
          <w:sz w:val="32"/>
          <w:szCs w:val="32"/>
          <w:lang w:eastAsia="zh-Hans"/>
        </w:rPr>
        <w:t>五</w:t>
      </w:r>
      <w:r>
        <w:rPr>
          <w:rFonts w:hint="eastAsia" w:ascii="Times New Roman" w:hAnsi="Times New Roman" w:eastAsia="黑体" w:cs="Times New Roman"/>
          <w:kern w:val="44"/>
          <w:sz w:val="32"/>
          <w:szCs w:val="32"/>
          <w:lang w:val="zh-CN"/>
        </w:rPr>
        <w:t>、相关建议</w:t>
      </w:r>
      <w:bookmarkEnd w:id="110"/>
      <w:bookmarkEnd w:id="111"/>
      <w:bookmarkEnd w:id="112"/>
      <w:bookmarkEnd w:id="113"/>
      <w:bookmarkEnd w:id="114"/>
      <w:bookmarkEnd w:id="115"/>
      <w:bookmarkEnd w:id="116"/>
    </w:p>
    <w:p>
      <w:pPr>
        <w:spacing w:line="560" w:lineRule="exact"/>
        <w:ind w:firstLine="640" w:firstLineChars="200"/>
        <w:rPr>
          <w:rFonts w:ascii="Times New Roman" w:hAnsi="Times New Roman" w:eastAsia="仿宋_GB2312" w:cs="Times New Roman"/>
          <w:color w:val="000000"/>
          <w:sz w:val="32"/>
          <w:szCs w:val="32"/>
        </w:rPr>
      </w:pPr>
      <w:bookmarkStart w:id="117" w:name="_Toc1267426336"/>
      <w:bookmarkStart w:id="118" w:name="_Toc668387431"/>
      <w:bookmarkStart w:id="119" w:name="_Toc1355757300"/>
      <w:bookmarkStart w:id="120" w:name="_Toc1789140099"/>
      <w:bookmarkStart w:id="121" w:name="_Toc29928926"/>
      <w:bookmarkStart w:id="122" w:name="_Toc1969134955"/>
      <w:bookmarkStart w:id="123" w:name="_Toc118128638"/>
      <w:bookmarkStart w:id="124" w:name="_Toc2071181299"/>
      <w:bookmarkStart w:id="125" w:name="_Toc779958257"/>
      <w:bookmarkStart w:id="126" w:name="_Toc1788276730"/>
      <w:bookmarkStart w:id="127" w:name="_Toc224062340"/>
      <w:bookmarkStart w:id="128" w:name="_Toc1781886704"/>
      <w:bookmarkStart w:id="129" w:name="_Toc119540625"/>
      <w:bookmarkStart w:id="130" w:name="_Toc106659171"/>
      <w:bookmarkStart w:id="131" w:name="_Toc117906283"/>
      <w:bookmarkStart w:id="132" w:name="_Toc1014378840"/>
      <w:bookmarkStart w:id="133" w:name="_Toc1575394688"/>
      <w:bookmarkStart w:id="134" w:name="_Toc120631035"/>
      <w:bookmarkStart w:id="135" w:name="_Toc1905152049"/>
      <w:bookmarkStart w:id="136" w:name="_Toc456909867"/>
      <w:bookmarkStart w:id="137" w:name="_Toc215241348"/>
      <w:bookmarkStart w:id="138" w:name="_Toc31968"/>
      <w:bookmarkStart w:id="139" w:name="_Toc118235234"/>
      <w:bookmarkStart w:id="140" w:name="_Toc427"/>
      <w:bookmarkStart w:id="141" w:name="_Toc19813615"/>
      <w:r>
        <w:rPr>
          <w:rFonts w:hint="eastAsia" w:ascii="CESI仿宋-GB2312" w:hAnsi="CESI仿宋-GB2312" w:eastAsia="CESI仿宋-GB2312" w:cs="CESI仿宋-GB2312"/>
          <w:b w:val="0"/>
          <w:bCs w:val="0"/>
          <w:sz w:val="32"/>
          <w:szCs w:val="32"/>
          <w:lang w:eastAsia="zh-CN"/>
        </w:rPr>
        <w:t>提出的</w:t>
      </w:r>
      <w:r>
        <w:rPr>
          <w:rFonts w:hint="eastAsia" w:ascii="CESI仿宋-GB2312" w:hAnsi="CESI仿宋-GB2312" w:eastAsia="CESI仿宋-GB2312" w:cs="CESI仿宋-GB2312"/>
          <w:b w:val="0"/>
          <w:bCs w:val="0"/>
          <w:sz w:val="32"/>
          <w:szCs w:val="32"/>
        </w:rPr>
        <w:t>相关建议</w:t>
      </w:r>
      <w:r>
        <w:rPr>
          <w:rFonts w:hint="eastAsia" w:ascii="CESI仿宋-GB2312" w:hAnsi="CESI仿宋-GB2312" w:eastAsia="CESI仿宋-GB2312" w:cs="CESI仿宋-GB2312"/>
          <w:b w:val="0"/>
          <w:bCs w:val="0"/>
          <w:sz w:val="32"/>
          <w:szCs w:val="32"/>
          <w:lang w:eastAsia="zh-CN"/>
        </w:rPr>
        <w:t>为：</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Start w:id="142" w:name="_Toc1411446430"/>
      <w:bookmarkStart w:id="143" w:name="_Toc119540626"/>
      <w:bookmarkStart w:id="144" w:name="_Toc1822095061"/>
      <w:bookmarkStart w:id="145" w:name="_Toc120631036"/>
      <w:bookmarkStart w:id="146" w:name="_Toc1939973994"/>
      <w:bookmarkStart w:id="147" w:name="_Toc118128639"/>
      <w:bookmarkStart w:id="148" w:name="_Toc117906284"/>
      <w:bookmarkStart w:id="149" w:name="_Toc1332637353"/>
      <w:bookmarkStart w:id="150" w:name="_Toc100595360"/>
      <w:bookmarkStart w:id="151" w:name="_Toc1276915189"/>
      <w:r>
        <w:rPr>
          <w:rFonts w:hint="eastAsia" w:ascii="CESI仿宋-GB2312" w:hAnsi="CESI仿宋-GB2312" w:eastAsia="CESI仿宋-GB2312" w:cs="CESI仿宋-GB2312"/>
          <w:kern w:val="2"/>
          <w:sz w:val="32"/>
          <w:szCs w:val="32"/>
          <w:lang w:val="en-US"/>
        </w:rPr>
        <w:t>一是</w:t>
      </w:r>
      <w:r>
        <w:rPr>
          <w:rFonts w:hint="eastAsia" w:ascii="CESI仿宋-GB2312" w:hAnsi="CESI仿宋-GB2312" w:eastAsia="CESI仿宋-GB2312" w:cs="CESI仿宋-GB2312"/>
          <w:b w:val="0"/>
          <w:bCs w:val="0"/>
          <w:sz w:val="32"/>
          <w:szCs w:val="32"/>
        </w:rPr>
        <w:t>加强项目前期的协同配合，提高勘察设计质量</w:t>
      </w:r>
      <w:bookmarkStart w:id="152" w:name="_Toc275911012"/>
      <w:bookmarkStart w:id="153" w:name="_Toc118235235"/>
      <w:bookmarkStart w:id="154" w:name="_Toc30273177"/>
      <w:bookmarkStart w:id="155" w:name="_Toc821963661"/>
      <w:r>
        <w:rPr>
          <w:rFonts w:hint="eastAsia" w:ascii="CESI仿宋-GB2312" w:hAnsi="CESI仿宋-GB2312" w:eastAsia="CESI仿宋-GB2312" w:cs="CESI仿宋-GB2312"/>
          <w:b w:val="0"/>
          <w:bCs w:val="0"/>
          <w:sz w:val="32"/>
          <w:szCs w:val="32"/>
          <w:lang w:eastAsia="zh-CN"/>
        </w:rPr>
        <w:t>；二是</w:t>
      </w:r>
      <w:r>
        <w:rPr>
          <w:rFonts w:hint="eastAsia" w:ascii="CESI仿宋-GB2312" w:hAnsi="CESI仿宋-GB2312" w:eastAsia="CESI仿宋-GB2312" w:cs="CESI仿宋-GB2312"/>
          <w:b w:val="0"/>
          <w:bCs w:val="0"/>
          <w:sz w:val="32"/>
          <w:szCs w:val="32"/>
        </w:rPr>
        <w:t>加强项目监督管理，确保工程质量安全</w:t>
      </w:r>
      <w:bookmarkEnd w:id="152"/>
      <w:bookmarkEnd w:id="153"/>
      <w:bookmarkEnd w:id="154"/>
      <w:bookmarkEnd w:id="155"/>
      <w:bookmarkStart w:id="156" w:name="_Toc925783969"/>
      <w:bookmarkStart w:id="157" w:name="_Toc446100514"/>
      <w:bookmarkStart w:id="158" w:name="_Toc1642042202"/>
      <w:bookmarkStart w:id="159" w:name="_Toc118235236"/>
      <w:r>
        <w:rPr>
          <w:rFonts w:hint="eastAsia" w:ascii="CESI仿宋-GB2312" w:hAnsi="CESI仿宋-GB2312" w:eastAsia="CESI仿宋-GB2312" w:cs="CESI仿宋-GB2312"/>
          <w:b w:val="0"/>
          <w:bCs w:val="0"/>
          <w:sz w:val="32"/>
          <w:szCs w:val="32"/>
          <w:lang w:eastAsia="zh-CN"/>
        </w:rPr>
        <w:t>；三是</w:t>
      </w:r>
      <w:r>
        <w:rPr>
          <w:rFonts w:hint="eastAsia" w:ascii="CESI仿宋-GB2312" w:hAnsi="CESI仿宋-GB2312" w:eastAsia="CESI仿宋-GB2312" w:cs="CESI仿宋-GB2312"/>
          <w:b w:val="0"/>
          <w:bCs w:val="0"/>
          <w:sz w:val="32"/>
          <w:szCs w:val="32"/>
        </w:rPr>
        <w:t>规范档案管理，实现档案管理与项目建设同步进行</w:t>
      </w:r>
      <w:bookmarkEnd w:id="156"/>
      <w:bookmarkEnd w:id="157"/>
      <w:bookmarkEnd w:id="158"/>
      <w:bookmarkEnd w:id="159"/>
      <w:r>
        <w:rPr>
          <w:rFonts w:hint="eastAsia" w:ascii="CESI仿宋-GB2312" w:hAnsi="CESI仿宋-GB2312" w:eastAsia="CESI仿宋-GB2312" w:cs="CESI仿宋-GB2312"/>
          <w:b w:val="0"/>
          <w:bCs w:val="0"/>
          <w:sz w:val="32"/>
          <w:szCs w:val="32"/>
          <w:lang w:eastAsia="zh-CN"/>
        </w:rPr>
        <w:t>。</w:t>
      </w:r>
      <w:bookmarkEnd w:id="135"/>
      <w:bookmarkEnd w:id="136"/>
      <w:bookmarkEnd w:id="137"/>
      <w:bookmarkEnd w:id="138"/>
      <w:bookmarkEnd w:id="139"/>
      <w:bookmarkEnd w:id="140"/>
      <w:bookmarkEnd w:id="142"/>
      <w:bookmarkEnd w:id="143"/>
      <w:bookmarkEnd w:id="144"/>
      <w:bookmarkEnd w:id="145"/>
      <w:bookmarkEnd w:id="146"/>
      <w:bookmarkEnd w:id="147"/>
      <w:bookmarkEnd w:id="148"/>
      <w:bookmarkEnd w:id="149"/>
      <w:bookmarkEnd w:id="150"/>
      <w:bookmarkEnd w:id="151"/>
      <w:r>
        <w:rPr>
          <w:rFonts w:ascii="Times New Roman" w:hAnsi="Times New Roman" w:eastAsia="仿宋_GB2312" w:cs="Times New Roman"/>
          <w:color w:val="000000"/>
          <w:sz w:val="32"/>
          <w:szCs w:val="32"/>
        </w:rPr>
        <w:t xml:space="preserve"> </w:t>
      </w:r>
      <w:bookmarkEnd w:id="141"/>
    </w:p>
    <w:p>
      <w:pPr>
        <w:pStyle w:val="2"/>
      </w:pPr>
      <w:bookmarkStart w:id="160" w:name="_GoBack"/>
      <w:bookmarkEnd w:id="160"/>
    </w:p>
    <w:sectPr>
      <w:footerReference r:id="rId4" w:type="default"/>
      <w:footerReference r:id="rId5" w:type="even"/>
      <w:pgSz w:w="11906" w:h="16838"/>
      <w:pgMar w:top="2041" w:right="1417" w:bottom="1417"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ngXian">
    <w:altName w:val="华文仿宋"/>
    <w:panose1 w:val="00000000000000000000"/>
    <w:charset w:val="86"/>
    <w:family w:val="auto"/>
    <w:pitch w:val="default"/>
    <w:sig w:usb0="00000000" w:usb1="00000000" w:usb2="00000000" w:usb3="00000000" w:csb0="00000000" w:csb1="00000000"/>
  </w:font>
  <w:font w:name="等线">
    <w:altName w:val="华文仿宋"/>
    <w:panose1 w:val="02010600030101010101"/>
    <w:charset w:val="86"/>
    <w:family w:val="auto"/>
    <w:pitch w:val="default"/>
    <w:sig w:usb0="00000000" w:usb1="00000000" w:usb2="00000016" w:usb3="00000000" w:csb0="0004000F" w:csb1="00000000"/>
  </w:font>
  <w:font w:name="等线 Light">
    <w:altName w:val="华文仿宋"/>
    <w:panose1 w:val="02010600030101010101"/>
    <w:charset w:val="86"/>
    <w:family w:val="auto"/>
    <w:pitch w:val="default"/>
    <w:sig w:usb0="00000000" w:usb1="00000000" w:usb2="00000016" w:usb3="00000000" w:csb0="0004000F" w:csb1="00000000"/>
  </w:font>
  <w:font w:name="Cambria">
    <w:altName w:val="FreeSerif"/>
    <w:panose1 w:val="02040503050406030204"/>
    <w:charset w:val="00"/>
    <w:family w:val="roman"/>
    <w:pitch w:val="default"/>
    <w:sig w:usb0="00000000" w:usb1="00000000" w:usb2="02000000" w:usb3="00000000" w:csb0="0000019F" w:csb1="00000000"/>
  </w:font>
  <w:font w:name="华文楷体">
    <w:panose1 w:val="02010600040101010101"/>
    <w:charset w:val="86"/>
    <w:family w:val="auto"/>
    <w:pitch w:val="default"/>
    <w:sig w:usb0="00000287" w:usb1="080F0000" w:usb2="00000000" w:usb3="00000000" w:csb0="0004009F" w:csb1="DFD70000"/>
  </w:font>
  <w:font w:name="LF_Kai">
    <w:altName w:val="华文仿宋"/>
    <w:panose1 w:val="00000000000000000000"/>
    <w:charset w:val="86"/>
    <w:family w:val="script"/>
    <w:pitch w:val="default"/>
    <w:sig w:usb0="00000000" w:usb1="00000000" w:usb2="00000010" w:usb3="00000000" w:csb0="00040000" w:csb1="00000000"/>
  </w:font>
  <w:font w:name="楷体_GB2312">
    <w:altName w:val="方正楷体_GBK"/>
    <w:panose1 w:val="02010609030101010101"/>
    <w:charset w:val="86"/>
    <w:family w:val="modern"/>
    <w:pitch w:val="default"/>
    <w:sig w:usb0="00000000" w:usb1="00000000" w:usb2="00000000" w:usb3="00000000" w:csb0="0006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60000" w:csb1="00000000"/>
  </w:font>
  <w:font w:name="华文细黑">
    <w:panose1 w:val="02010600040101010101"/>
    <w:charset w:val="86"/>
    <w:family w:val="auto"/>
    <w:pitch w:val="default"/>
    <w:sig w:usb0="00000287" w:usb1="080F0000" w:usb2="00000000" w:usb3="00000000" w:csb0="0004009F" w:csb1="DFD70000"/>
  </w:font>
  <w:font w:name="CESI仿宋-GB2312">
    <w:panose1 w:val="02000500000000000000"/>
    <w:charset w:val="86"/>
    <w:family w:val="auto"/>
    <w:pitch w:val="default"/>
    <w:sig w:usb0="800002AF" w:usb1="084F6CF8" w:usb2="00000010" w:usb3="00000000" w:csb0="0004000F" w:csb1="00000000"/>
  </w:font>
  <w:font w:name="华文仿宋">
    <w:panose1 w:val="02010600040101010101"/>
    <w:charset w:val="86"/>
    <w:family w:val="auto"/>
    <w:pitch w:val="default"/>
    <w:sig w:usb0="00000287" w:usb1="080F0000" w:usb2="00000000" w:usb3="00000000" w:csb0="0004009F" w:csb1="DFD70000"/>
  </w:font>
  <w:font w:name="Nimbus Roman No9 L">
    <w:panose1 w:val="00000000000000000000"/>
    <w:charset w:val="00"/>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等线 Light">
    <w:altName w:val="URW Bookman"/>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 w:name="Arial">
    <w:altName w:val="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328618"/>
    </w:sdtPr>
    <w:sdtEndPr>
      <w:rPr>
        <w:rFonts w:ascii="宋体" w:hAnsi="宋体" w:eastAsia="宋体"/>
        <w:sz w:val="28"/>
        <w:szCs w:val="28"/>
      </w:rPr>
    </w:sdtEndPr>
    <w:sdtContent>
      <w:p>
        <w:pPr>
          <w:pStyle w:val="11"/>
          <w:jc w:val="right"/>
          <w:rPr>
            <w:rFonts w:ascii="仿宋_GB2312" w:eastAsia="仿宋_GB2312"/>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9 -</w:t>
        </w:r>
        <w:r>
          <w:rPr>
            <w:rFonts w:ascii="宋体" w:hAnsi="宋体" w:eastAsia="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0994535"/>
      <w:docPartObj>
        <w:docPartGallery w:val="autotext"/>
      </w:docPartObj>
    </w:sdtPr>
    <w:sdtEndPr>
      <w:rPr>
        <w:rFonts w:ascii="宋体" w:hAnsi="宋体" w:eastAsia="宋体"/>
        <w:sz w:val="28"/>
        <w:szCs w:val="28"/>
      </w:rPr>
    </w:sdtEndPr>
    <w:sdtContent>
      <w:p>
        <w:pPr>
          <w:pStyle w:val="11"/>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8 -</w:t>
        </w:r>
        <w:r>
          <w:rPr>
            <w:rFonts w:ascii="宋体" w:hAnsi="宋体" w:eastAsia="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spacing w:line="240" w:lineRule="exact"/>
        <w:rPr>
          <w:rFonts w:ascii="宋体" w:hAnsi="宋体" w:eastAsia="宋体" w:cs="仿宋_GB2312"/>
          <w:sz w:val="18"/>
          <w:szCs w:val="18"/>
          <w:lang w:val="zh-TW" w:eastAsia="zh-TW"/>
        </w:rPr>
      </w:pPr>
      <w:r>
        <w:rPr>
          <w:rStyle w:val="23"/>
          <w:rFonts w:ascii="宋体" w:hAnsi="宋体" w:eastAsia="宋体"/>
          <w:szCs w:val="18"/>
        </w:rPr>
        <w:footnoteRef/>
      </w:r>
      <w:r>
        <w:rPr>
          <w:rFonts w:ascii="宋体" w:hAnsi="宋体" w:eastAsia="宋体"/>
          <w:szCs w:val="18"/>
        </w:rPr>
        <w:t xml:space="preserve"> 绩效得分等级分为四级，分值≥90分为优；80≤分值＜90为良，60≤分值＜80为中，分值＜60为差。</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trackRevisions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866"/>
    <w:rsid w:val="000035B6"/>
    <w:rsid w:val="00004DEE"/>
    <w:rsid w:val="00016F07"/>
    <w:rsid w:val="000339AA"/>
    <w:rsid w:val="000341B5"/>
    <w:rsid w:val="00034FB0"/>
    <w:rsid w:val="00040F23"/>
    <w:rsid w:val="00042618"/>
    <w:rsid w:val="00084DD2"/>
    <w:rsid w:val="00086ED3"/>
    <w:rsid w:val="00092D93"/>
    <w:rsid w:val="00097B91"/>
    <w:rsid w:val="000A082C"/>
    <w:rsid w:val="000A0865"/>
    <w:rsid w:val="000C0AE2"/>
    <w:rsid w:val="000C3F86"/>
    <w:rsid w:val="000C74E1"/>
    <w:rsid w:val="000D0EB0"/>
    <w:rsid w:val="000D703D"/>
    <w:rsid w:val="000E01B7"/>
    <w:rsid w:val="000F6A4E"/>
    <w:rsid w:val="000F7C14"/>
    <w:rsid w:val="000F7DE1"/>
    <w:rsid w:val="00127D20"/>
    <w:rsid w:val="00133BBC"/>
    <w:rsid w:val="00136382"/>
    <w:rsid w:val="00141DA7"/>
    <w:rsid w:val="00143A44"/>
    <w:rsid w:val="00154A02"/>
    <w:rsid w:val="0016186D"/>
    <w:rsid w:val="0016715B"/>
    <w:rsid w:val="00177187"/>
    <w:rsid w:val="001A23FD"/>
    <w:rsid w:val="001A379C"/>
    <w:rsid w:val="001A784F"/>
    <w:rsid w:val="001B5CF7"/>
    <w:rsid w:val="001C1316"/>
    <w:rsid w:val="001C48A9"/>
    <w:rsid w:val="001E4847"/>
    <w:rsid w:val="00206979"/>
    <w:rsid w:val="002114BF"/>
    <w:rsid w:val="0021257D"/>
    <w:rsid w:val="002127D2"/>
    <w:rsid w:val="00212DC2"/>
    <w:rsid w:val="00213747"/>
    <w:rsid w:val="00213C07"/>
    <w:rsid w:val="002229C2"/>
    <w:rsid w:val="00233BFB"/>
    <w:rsid w:val="00235AE2"/>
    <w:rsid w:val="00237868"/>
    <w:rsid w:val="0025183B"/>
    <w:rsid w:val="00252AD1"/>
    <w:rsid w:val="00265991"/>
    <w:rsid w:val="0027101D"/>
    <w:rsid w:val="00277EA0"/>
    <w:rsid w:val="00285DA3"/>
    <w:rsid w:val="002863EC"/>
    <w:rsid w:val="00297255"/>
    <w:rsid w:val="002A450F"/>
    <w:rsid w:val="002A6547"/>
    <w:rsid w:val="002C7C1E"/>
    <w:rsid w:val="002C7D5C"/>
    <w:rsid w:val="002F5A26"/>
    <w:rsid w:val="00304570"/>
    <w:rsid w:val="003107E4"/>
    <w:rsid w:val="00321AE1"/>
    <w:rsid w:val="00327553"/>
    <w:rsid w:val="00335181"/>
    <w:rsid w:val="0033559E"/>
    <w:rsid w:val="0034057F"/>
    <w:rsid w:val="00345A17"/>
    <w:rsid w:val="00360FE6"/>
    <w:rsid w:val="00361088"/>
    <w:rsid w:val="00364787"/>
    <w:rsid w:val="00371961"/>
    <w:rsid w:val="00374212"/>
    <w:rsid w:val="00375049"/>
    <w:rsid w:val="003775EE"/>
    <w:rsid w:val="00377B39"/>
    <w:rsid w:val="00381242"/>
    <w:rsid w:val="003A1026"/>
    <w:rsid w:val="003C2B90"/>
    <w:rsid w:val="003C6108"/>
    <w:rsid w:val="003C66C2"/>
    <w:rsid w:val="003D52D7"/>
    <w:rsid w:val="003E3969"/>
    <w:rsid w:val="003F08A9"/>
    <w:rsid w:val="003F2378"/>
    <w:rsid w:val="003F36F4"/>
    <w:rsid w:val="004061C6"/>
    <w:rsid w:val="00427146"/>
    <w:rsid w:val="00430825"/>
    <w:rsid w:val="00432829"/>
    <w:rsid w:val="004418EE"/>
    <w:rsid w:val="004707AF"/>
    <w:rsid w:val="0048003A"/>
    <w:rsid w:val="004841A5"/>
    <w:rsid w:val="004912C0"/>
    <w:rsid w:val="0049322F"/>
    <w:rsid w:val="004D3E1D"/>
    <w:rsid w:val="004E05C8"/>
    <w:rsid w:val="004F2206"/>
    <w:rsid w:val="005026D2"/>
    <w:rsid w:val="0051237D"/>
    <w:rsid w:val="00513146"/>
    <w:rsid w:val="00522921"/>
    <w:rsid w:val="00530CFA"/>
    <w:rsid w:val="00532EE7"/>
    <w:rsid w:val="005529A4"/>
    <w:rsid w:val="00554BF6"/>
    <w:rsid w:val="00563D4B"/>
    <w:rsid w:val="0056627F"/>
    <w:rsid w:val="00566AFB"/>
    <w:rsid w:val="00572EF9"/>
    <w:rsid w:val="005766ED"/>
    <w:rsid w:val="00595EA8"/>
    <w:rsid w:val="005A754F"/>
    <w:rsid w:val="005C67EB"/>
    <w:rsid w:val="005C6841"/>
    <w:rsid w:val="005C772B"/>
    <w:rsid w:val="00604650"/>
    <w:rsid w:val="006057C1"/>
    <w:rsid w:val="0061057A"/>
    <w:rsid w:val="006371EC"/>
    <w:rsid w:val="00637D3A"/>
    <w:rsid w:val="006433B1"/>
    <w:rsid w:val="0064630F"/>
    <w:rsid w:val="00646B5A"/>
    <w:rsid w:val="0065462D"/>
    <w:rsid w:val="00654C71"/>
    <w:rsid w:val="006730F1"/>
    <w:rsid w:val="00682965"/>
    <w:rsid w:val="00685373"/>
    <w:rsid w:val="00685A72"/>
    <w:rsid w:val="006940D7"/>
    <w:rsid w:val="006A157C"/>
    <w:rsid w:val="006A6938"/>
    <w:rsid w:val="006B0B3D"/>
    <w:rsid w:val="006C11BC"/>
    <w:rsid w:val="006E5DEC"/>
    <w:rsid w:val="006E671B"/>
    <w:rsid w:val="00703272"/>
    <w:rsid w:val="00706025"/>
    <w:rsid w:val="00712969"/>
    <w:rsid w:val="00713866"/>
    <w:rsid w:val="00727689"/>
    <w:rsid w:val="0074731D"/>
    <w:rsid w:val="007533B9"/>
    <w:rsid w:val="00765506"/>
    <w:rsid w:val="0076726F"/>
    <w:rsid w:val="00767543"/>
    <w:rsid w:val="007812A2"/>
    <w:rsid w:val="007A340D"/>
    <w:rsid w:val="007A4CEE"/>
    <w:rsid w:val="007B0A6E"/>
    <w:rsid w:val="007D795C"/>
    <w:rsid w:val="007E7584"/>
    <w:rsid w:val="007F3563"/>
    <w:rsid w:val="007F4F2D"/>
    <w:rsid w:val="007F637B"/>
    <w:rsid w:val="00806371"/>
    <w:rsid w:val="00810947"/>
    <w:rsid w:val="00815248"/>
    <w:rsid w:val="00817B77"/>
    <w:rsid w:val="00827008"/>
    <w:rsid w:val="00827B15"/>
    <w:rsid w:val="00834F7C"/>
    <w:rsid w:val="00836477"/>
    <w:rsid w:val="00866D33"/>
    <w:rsid w:val="00871C59"/>
    <w:rsid w:val="00880D6E"/>
    <w:rsid w:val="0088159B"/>
    <w:rsid w:val="00886469"/>
    <w:rsid w:val="008D649C"/>
    <w:rsid w:val="008E6B90"/>
    <w:rsid w:val="00905DA8"/>
    <w:rsid w:val="0091007A"/>
    <w:rsid w:val="00910863"/>
    <w:rsid w:val="00915AE1"/>
    <w:rsid w:val="009371FB"/>
    <w:rsid w:val="00952808"/>
    <w:rsid w:val="00976142"/>
    <w:rsid w:val="00984751"/>
    <w:rsid w:val="0098660D"/>
    <w:rsid w:val="00992F54"/>
    <w:rsid w:val="009B1176"/>
    <w:rsid w:val="009B3535"/>
    <w:rsid w:val="009B7D4C"/>
    <w:rsid w:val="009C4C08"/>
    <w:rsid w:val="009C5811"/>
    <w:rsid w:val="009D0229"/>
    <w:rsid w:val="009D491C"/>
    <w:rsid w:val="009E311B"/>
    <w:rsid w:val="009F76A8"/>
    <w:rsid w:val="00A06B70"/>
    <w:rsid w:val="00A12ECB"/>
    <w:rsid w:val="00A47387"/>
    <w:rsid w:val="00A55996"/>
    <w:rsid w:val="00A56D14"/>
    <w:rsid w:val="00A62E17"/>
    <w:rsid w:val="00A75153"/>
    <w:rsid w:val="00A763FF"/>
    <w:rsid w:val="00A8775B"/>
    <w:rsid w:val="00A90537"/>
    <w:rsid w:val="00A90C4A"/>
    <w:rsid w:val="00A91D2C"/>
    <w:rsid w:val="00A96B69"/>
    <w:rsid w:val="00AA2406"/>
    <w:rsid w:val="00AC729F"/>
    <w:rsid w:val="00AD37E9"/>
    <w:rsid w:val="00AF56C7"/>
    <w:rsid w:val="00B02833"/>
    <w:rsid w:val="00B10046"/>
    <w:rsid w:val="00B12323"/>
    <w:rsid w:val="00B14850"/>
    <w:rsid w:val="00B27EC5"/>
    <w:rsid w:val="00B420E3"/>
    <w:rsid w:val="00B445EA"/>
    <w:rsid w:val="00B4768C"/>
    <w:rsid w:val="00B47FF1"/>
    <w:rsid w:val="00B53522"/>
    <w:rsid w:val="00B601F8"/>
    <w:rsid w:val="00B625CB"/>
    <w:rsid w:val="00B653B7"/>
    <w:rsid w:val="00B755A2"/>
    <w:rsid w:val="00B805B8"/>
    <w:rsid w:val="00B970A8"/>
    <w:rsid w:val="00BB12D3"/>
    <w:rsid w:val="00BB1560"/>
    <w:rsid w:val="00BB3E0D"/>
    <w:rsid w:val="00BB3E3C"/>
    <w:rsid w:val="00BB65FA"/>
    <w:rsid w:val="00BB764D"/>
    <w:rsid w:val="00BC3EC6"/>
    <w:rsid w:val="00BC7E52"/>
    <w:rsid w:val="00BD2789"/>
    <w:rsid w:val="00BD3686"/>
    <w:rsid w:val="00BD60CF"/>
    <w:rsid w:val="00C026CE"/>
    <w:rsid w:val="00C152AD"/>
    <w:rsid w:val="00C2364E"/>
    <w:rsid w:val="00C44E38"/>
    <w:rsid w:val="00C515FC"/>
    <w:rsid w:val="00C65473"/>
    <w:rsid w:val="00C72870"/>
    <w:rsid w:val="00C9577C"/>
    <w:rsid w:val="00C9790D"/>
    <w:rsid w:val="00CB3F66"/>
    <w:rsid w:val="00CC43F1"/>
    <w:rsid w:val="00CF0EDE"/>
    <w:rsid w:val="00CF55F3"/>
    <w:rsid w:val="00D1103C"/>
    <w:rsid w:val="00D14862"/>
    <w:rsid w:val="00D15F44"/>
    <w:rsid w:val="00D20855"/>
    <w:rsid w:val="00D2166C"/>
    <w:rsid w:val="00D25E8B"/>
    <w:rsid w:val="00D26C59"/>
    <w:rsid w:val="00D27CE0"/>
    <w:rsid w:val="00D27F99"/>
    <w:rsid w:val="00D36FDB"/>
    <w:rsid w:val="00D43F47"/>
    <w:rsid w:val="00D553CE"/>
    <w:rsid w:val="00D62152"/>
    <w:rsid w:val="00D72667"/>
    <w:rsid w:val="00D72E3D"/>
    <w:rsid w:val="00D80F95"/>
    <w:rsid w:val="00D813C9"/>
    <w:rsid w:val="00D92A70"/>
    <w:rsid w:val="00D93B16"/>
    <w:rsid w:val="00DA5230"/>
    <w:rsid w:val="00DB18D5"/>
    <w:rsid w:val="00DB35C7"/>
    <w:rsid w:val="00DB4EAF"/>
    <w:rsid w:val="00DC4ADB"/>
    <w:rsid w:val="00DE6326"/>
    <w:rsid w:val="00DF2EA2"/>
    <w:rsid w:val="00DF336E"/>
    <w:rsid w:val="00E0174D"/>
    <w:rsid w:val="00E04F23"/>
    <w:rsid w:val="00E117DB"/>
    <w:rsid w:val="00E14F62"/>
    <w:rsid w:val="00E20D11"/>
    <w:rsid w:val="00E214CA"/>
    <w:rsid w:val="00EA3D93"/>
    <w:rsid w:val="00EA45D5"/>
    <w:rsid w:val="00EA759E"/>
    <w:rsid w:val="00EB5DA9"/>
    <w:rsid w:val="00EC1342"/>
    <w:rsid w:val="00EC2084"/>
    <w:rsid w:val="00EC7985"/>
    <w:rsid w:val="00ED31EB"/>
    <w:rsid w:val="00EF455F"/>
    <w:rsid w:val="00EF4693"/>
    <w:rsid w:val="00EF5690"/>
    <w:rsid w:val="00F00CAA"/>
    <w:rsid w:val="00F06649"/>
    <w:rsid w:val="00F11ACB"/>
    <w:rsid w:val="00F225D2"/>
    <w:rsid w:val="00F22A14"/>
    <w:rsid w:val="00F24B2B"/>
    <w:rsid w:val="00F30EB5"/>
    <w:rsid w:val="00F32D0B"/>
    <w:rsid w:val="00F40AA6"/>
    <w:rsid w:val="00F43D37"/>
    <w:rsid w:val="00F442BD"/>
    <w:rsid w:val="00F50D69"/>
    <w:rsid w:val="00F5271D"/>
    <w:rsid w:val="00F54738"/>
    <w:rsid w:val="00F54D61"/>
    <w:rsid w:val="00F67BDE"/>
    <w:rsid w:val="00F74023"/>
    <w:rsid w:val="00F863DD"/>
    <w:rsid w:val="00F972B2"/>
    <w:rsid w:val="00FA2A1B"/>
    <w:rsid w:val="00FC214C"/>
    <w:rsid w:val="00FE064A"/>
    <w:rsid w:val="00FE24E8"/>
    <w:rsid w:val="00FE4426"/>
    <w:rsid w:val="00FF570B"/>
    <w:rsid w:val="00FF68C6"/>
    <w:rsid w:val="196A266C"/>
    <w:rsid w:val="1FEC8447"/>
    <w:rsid w:val="1FF645EE"/>
    <w:rsid w:val="1FFF9B04"/>
    <w:rsid w:val="2FCFE7B0"/>
    <w:rsid w:val="35B71654"/>
    <w:rsid w:val="35CD770F"/>
    <w:rsid w:val="35E7D292"/>
    <w:rsid w:val="3653B116"/>
    <w:rsid w:val="3797BCFA"/>
    <w:rsid w:val="39DF36A7"/>
    <w:rsid w:val="476E4986"/>
    <w:rsid w:val="4EE7FA65"/>
    <w:rsid w:val="53FB1648"/>
    <w:rsid w:val="5EFEC6B4"/>
    <w:rsid w:val="5FBF9AD6"/>
    <w:rsid w:val="676E1A80"/>
    <w:rsid w:val="6AAEF754"/>
    <w:rsid w:val="6BFA7C7C"/>
    <w:rsid w:val="6FBDFA05"/>
    <w:rsid w:val="6FE7F3CB"/>
    <w:rsid w:val="6FEB92EC"/>
    <w:rsid w:val="777BF92A"/>
    <w:rsid w:val="7B7DA3DE"/>
    <w:rsid w:val="7BBFC2F9"/>
    <w:rsid w:val="7D375E20"/>
    <w:rsid w:val="7DDD2D40"/>
    <w:rsid w:val="7DEDF2ED"/>
    <w:rsid w:val="7DF324CD"/>
    <w:rsid w:val="7DFDD585"/>
    <w:rsid w:val="7DFE7B46"/>
    <w:rsid w:val="7F7FF1E3"/>
    <w:rsid w:val="7FA78318"/>
    <w:rsid w:val="7FD60A44"/>
    <w:rsid w:val="7FF620AF"/>
    <w:rsid w:val="869B30D4"/>
    <w:rsid w:val="ABD58071"/>
    <w:rsid w:val="ACE9215F"/>
    <w:rsid w:val="B78FB57F"/>
    <w:rsid w:val="BB770ED0"/>
    <w:rsid w:val="BEFE001C"/>
    <w:rsid w:val="BFF64AF9"/>
    <w:rsid w:val="C8DD24A3"/>
    <w:rsid w:val="CBFEF3CA"/>
    <w:rsid w:val="CFFDF282"/>
    <w:rsid w:val="D57A54A5"/>
    <w:rsid w:val="DA3F81CF"/>
    <w:rsid w:val="DA77EF15"/>
    <w:rsid w:val="DAFF10D4"/>
    <w:rsid w:val="DBFEC0AE"/>
    <w:rsid w:val="E27F40BC"/>
    <w:rsid w:val="E2BD1498"/>
    <w:rsid w:val="EE960D76"/>
    <w:rsid w:val="EFDF6E34"/>
    <w:rsid w:val="F2BEACBD"/>
    <w:rsid w:val="F3FF5CC8"/>
    <w:rsid w:val="F94DDE70"/>
    <w:rsid w:val="FA7E0DFB"/>
    <w:rsid w:val="FBBFA0C2"/>
    <w:rsid w:val="FC5F00B1"/>
    <w:rsid w:val="FE774412"/>
    <w:rsid w:val="FE7BD36D"/>
    <w:rsid w:val="FF9783B9"/>
    <w:rsid w:val="FFD205E9"/>
    <w:rsid w:val="FFFB2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engXian" w:hAnsi="DengXian" w:eastAsia="DengXian" w:cs="DengXi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9"/>
    <w:qFormat/>
    <w:uiPriority w:val="0"/>
    <w:pPr>
      <w:keepNext/>
      <w:keepLines/>
      <w:widowControl/>
      <w:spacing w:before="260" w:after="260" w:line="413" w:lineRule="auto"/>
      <w:jc w:val="left"/>
      <w:outlineLvl w:val="2"/>
    </w:pPr>
    <w:rPr>
      <w:rFonts w:ascii="Times New Roman" w:hAnsi="Times New Roman" w:eastAsia="Times New Roman" w:cs="Times New Roman"/>
      <w:b/>
      <w:kern w:val="0"/>
      <w:sz w:val="32"/>
      <w:szCs w:val="24"/>
    </w:rPr>
  </w:style>
  <w:style w:type="character" w:default="1" w:styleId="19">
    <w:name w:val="Default Paragraph Font"/>
    <w:semiHidden/>
    <w:unhideWhenUsed/>
    <w:qFormat/>
    <w:uiPriority w:val="1"/>
  </w:style>
  <w:style w:type="table" w:default="1" w:styleId="1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qFormat/>
    <w:uiPriority w:val="0"/>
    <w:pPr>
      <w:spacing w:before="100" w:beforeAutospacing="1" w:after="120"/>
    </w:pPr>
    <w:rPr>
      <w:rFonts w:ascii="Times New Roman" w:hAnsi="Times New Roman" w:eastAsia="宋体" w:cs="Times New Roman"/>
    </w:rPr>
  </w:style>
  <w:style w:type="paragraph" w:styleId="3">
    <w:name w:val="Title"/>
    <w:basedOn w:val="1"/>
    <w:next w:val="1"/>
    <w:qFormat/>
    <w:uiPriority w:val="0"/>
    <w:pPr>
      <w:spacing w:before="240" w:after="60"/>
      <w:jc w:val="center"/>
      <w:outlineLvl w:val="0"/>
    </w:pPr>
    <w:rPr>
      <w:rFonts w:ascii="Cambria" w:hAnsi="Cambria"/>
      <w:b/>
      <w:bCs/>
      <w:sz w:val="32"/>
      <w:szCs w:val="32"/>
    </w:rPr>
  </w:style>
  <w:style w:type="paragraph" w:styleId="7">
    <w:name w:val="Normal Indent"/>
    <w:basedOn w:val="1"/>
    <w:qFormat/>
    <w:uiPriority w:val="0"/>
    <w:pPr>
      <w:widowControl/>
      <w:ind w:firstLine="420" w:firstLineChars="200"/>
      <w:jc w:val="left"/>
    </w:pPr>
    <w:rPr>
      <w:rFonts w:ascii="Times New Roman" w:hAnsi="Times New Roman" w:eastAsia="Times New Roman" w:cs="Times New Roman"/>
      <w:kern w:val="0"/>
      <w:sz w:val="24"/>
      <w:szCs w:val="24"/>
    </w:rPr>
  </w:style>
  <w:style w:type="paragraph" w:styleId="8">
    <w:name w:val="annotation text"/>
    <w:basedOn w:val="1"/>
    <w:link w:val="26"/>
    <w:unhideWhenUsed/>
    <w:qFormat/>
    <w:uiPriority w:val="99"/>
    <w:pPr>
      <w:jc w:val="left"/>
    </w:pPr>
  </w:style>
  <w:style w:type="paragraph" w:styleId="9">
    <w:name w:val="endnote text"/>
    <w:basedOn w:val="1"/>
    <w:link w:val="40"/>
    <w:semiHidden/>
    <w:unhideWhenUsed/>
    <w:qFormat/>
    <w:uiPriority w:val="99"/>
    <w:pPr>
      <w:snapToGrid w:val="0"/>
      <w:jc w:val="left"/>
    </w:pPr>
  </w:style>
  <w:style w:type="paragraph" w:styleId="10">
    <w:name w:val="Balloon Text"/>
    <w:basedOn w:val="1"/>
    <w:link w:val="28"/>
    <w:semiHidden/>
    <w:unhideWhenUsed/>
    <w:qFormat/>
    <w:uiPriority w:val="99"/>
    <w:rPr>
      <w:sz w:val="18"/>
      <w:szCs w:val="18"/>
    </w:r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spacing w:after="100" w:line="276" w:lineRule="auto"/>
      <w:jc w:val="left"/>
    </w:pPr>
    <w:rPr>
      <w:rFonts w:ascii="Times New Roman" w:hAnsi="Times New Roman" w:eastAsia="Times New Roman" w:cs="Times New Roman"/>
      <w:kern w:val="0"/>
      <w:sz w:val="22"/>
      <w:szCs w:val="24"/>
    </w:rPr>
  </w:style>
  <w:style w:type="paragraph" w:styleId="14">
    <w:name w:val="footnote text"/>
    <w:basedOn w:val="1"/>
    <w:link w:val="32"/>
    <w:qFormat/>
    <w:uiPriority w:val="99"/>
    <w:pPr>
      <w:widowControl/>
      <w:spacing w:line="260" w:lineRule="atLeast"/>
      <w:ind w:firstLine="567"/>
      <w:jc w:val="left"/>
    </w:pPr>
    <w:rPr>
      <w:rFonts w:ascii="华文楷体" w:hAnsi="华文楷体" w:eastAsia="LF_Kai" w:cs="Times New Roman"/>
      <w:kern w:val="0"/>
      <w:sz w:val="24"/>
      <w:szCs w:val="20"/>
      <w:lang w:val="en-GB" w:eastAsia="zh-HK"/>
    </w:rPr>
  </w:style>
  <w:style w:type="paragraph" w:styleId="15">
    <w:name w:val="toc 2"/>
    <w:basedOn w:val="1"/>
    <w:next w:val="1"/>
    <w:unhideWhenUsed/>
    <w:qFormat/>
    <w:uiPriority w:val="39"/>
    <w:pPr>
      <w:widowControl/>
      <w:spacing w:after="100" w:line="276" w:lineRule="auto"/>
      <w:ind w:left="220"/>
      <w:jc w:val="left"/>
    </w:pPr>
    <w:rPr>
      <w:rFonts w:ascii="Times New Roman" w:hAnsi="Times New Roman" w:eastAsia="Times New Roman" w:cs="Times New Roman"/>
      <w:kern w:val="0"/>
      <w:sz w:val="22"/>
      <w:szCs w:val="24"/>
    </w:rPr>
  </w:style>
  <w:style w:type="paragraph" w:styleId="16">
    <w:name w:val="annotation subject"/>
    <w:basedOn w:val="8"/>
    <w:next w:val="8"/>
    <w:link w:val="27"/>
    <w:semiHidden/>
    <w:unhideWhenUsed/>
    <w:qFormat/>
    <w:uiPriority w:val="99"/>
    <w:rPr>
      <w:b/>
      <w:bCs/>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endnote reference"/>
    <w:basedOn w:val="19"/>
    <w:semiHidden/>
    <w:unhideWhenUsed/>
    <w:qFormat/>
    <w:uiPriority w:val="99"/>
    <w:rPr>
      <w:vertAlign w:val="superscript"/>
    </w:rPr>
  </w:style>
  <w:style w:type="character" w:styleId="21">
    <w:name w:val="Hyperlink"/>
    <w:unhideWhenUsed/>
    <w:qFormat/>
    <w:uiPriority w:val="99"/>
    <w:rPr>
      <w:color w:val="0000FF"/>
      <w:u w:val="single"/>
    </w:rPr>
  </w:style>
  <w:style w:type="character" w:styleId="22">
    <w:name w:val="annotation reference"/>
    <w:basedOn w:val="19"/>
    <w:semiHidden/>
    <w:unhideWhenUsed/>
    <w:qFormat/>
    <w:uiPriority w:val="99"/>
    <w:rPr>
      <w:sz w:val="21"/>
      <w:szCs w:val="21"/>
    </w:rPr>
  </w:style>
  <w:style w:type="character" w:styleId="23">
    <w:name w:val="footnote reference"/>
    <w:qFormat/>
    <w:uiPriority w:val="99"/>
    <w:rPr>
      <w:vertAlign w:val="superscript"/>
    </w:rPr>
  </w:style>
  <w:style w:type="character" w:customStyle="1" w:styleId="24">
    <w:name w:val="页眉 字符"/>
    <w:basedOn w:val="19"/>
    <w:link w:val="12"/>
    <w:qFormat/>
    <w:uiPriority w:val="99"/>
    <w:rPr>
      <w:sz w:val="18"/>
      <w:szCs w:val="18"/>
    </w:rPr>
  </w:style>
  <w:style w:type="character" w:customStyle="1" w:styleId="25">
    <w:name w:val="页脚 字符"/>
    <w:basedOn w:val="19"/>
    <w:link w:val="11"/>
    <w:qFormat/>
    <w:uiPriority w:val="99"/>
    <w:rPr>
      <w:sz w:val="18"/>
      <w:szCs w:val="18"/>
    </w:rPr>
  </w:style>
  <w:style w:type="character" w:customStyle="1" w:styleId="26">
    <w:name w:val="批注文字 字符"/>
    <w:basedOn w:val="19"/>
    <w:link w:val="8"/>
    <w:qFormat/>
    <w:uiPriority w:val="99"/>
  </w:style>
  <w:style w:type="character" w:customStyle="1" w:styleId="27">
    <w:name w:val="批注主题 字符"/>
    <w:basedOn w:val="26"/>
    <w:link w:val="16"/>
    <w:semiHidden/>
    <w:qFormat/>
    <w:uiPriority w:val="99"/>
    <w:rPr>
      <w:b/>
      <w:bCs/>
    </w:rPr>
  </w:style>
  <w:style w:type="character" w:customStyle="1" w:styleId="28">
    <w:name w:val="批注框文本 字符"/>
    <w:basedOn w:val="19"/>
    <w:link w:val="10"/>
    <w:semiHidden/>
    <w:qFormat/>
    <w:uiPriority w:val="99"/>
    <w:rPr>
      <w:sz w:val="18"/>
      <w:szCs w:val="18"/>
    </w:rPr>
  </w:style>
  <w:style w:type="character" w:customStyle="1" w:styleId="29">
    <w:name w:val="标题 3 字符"/>
    <w:basedOn w:val="19"/>
    <w:link w:val="6"/>
    <w:qFormat/>
    <w:uiPriority w:val="0"/>
    <w:rPr>
      <w:rFonts w:ascii="Times New Roman" w:hAnsi="Times New Roman" w:eastAsia="Times New Roman" w:cs="Times New Roman"/>
      <w:b/>
      <w:kern w:val="0"/>
      <w:sz w:val="32"/>
      <w:szCs w:val="24"/>
    </w:rPr>
  </w:style>
  <w:style w:type="paragraph" w:customStyle="1" w:styleId="30">
    <w:name w:val="p15"/>
    <w:basedOn w:val="1"/>
    <w:qFormat/>
    <w:uiPriority w:val="0"/>
    <w:pPr>
      <w:widowControl/>
      <w:spacing w:before="100" w:after="100"/>
      <w:jc w:val="left"/>
    </w:pPr>
    <w:rPr>
      <w:rFonts w:ascii="宋体" w:hAnsi="宋体" w:eastAsia="宋体" w:cs="宋体"/>
      <w:kern w:val="0"/>
      <w:sz w:val="24"/>
      <w:szCs w:val="24"/>
      <w:lang w:val="en-GB"/>
    </w:rPr>
  </w:style>
  <w:style w:type="character" w:customStyle="1" w:styleId="31">
    <w:name w:val="脚注文本 字符"/>
    <w:basedOn w:val="19"/>
    <w:qFormat/>
    <w:uiPriority w:val="99"/>
    <w:rPr>
      <w:sz w:val="18"/>
      <w:szCs w:val="18"/>
    </w:rPr>
  </w:style>
  <w:style w:type="character" w:customStyle="1" w:styleId="32">
    <w:name w:val="脚注文本 字符1"/>
    <w:basedOn w:val="19"/>
    <w:link w:val="14"/>
    <w:qFormat/>
    <w:uiPriority w:val="99"/>
    <w:rPr>
      <w:rFonts w:ascii="华文楷体" w:hAnsi="华文楷体" w:eastAsia="LF_Kai" w:cs="Times New Roman"/>
      <w:kern w:val="0"/>
      <w:sz w:val="24"/>
      <w:szCs w:val="20"/>
      <w:lang w:val="en-GB" w:eastAsia="zh-HK"/>
    </w:rPr>
  </w:style>
  <w:style w:type="character" w:customStyle="1" w:styleId="33">
    <w:name w:val="标题 2 字符"/>
    <w:basedOn w:val="19"/>
    <w:link w:val="5"/>
    <w:qFormat/>
    <w:uiPriority w:val="9"/>
    <w:rPr>
      <w:rFonts w:asciiTheme="majorHAnsi" w:hAnsiTheme="majorHAnsi" w:eastAsiaTheme="majorEastAsia" w:cstheme="majorBidi"/>
      <w:b/>
      <w:bCs/>
      <w:sz w:val="32"/>
      <w:szCs w:val="32"/>
    </w:rPr>
  </w:style>
  <w:style w:type="paragraph" w:customStyle="1" w:styleId="34">
    <w:name w:val="公文一级标题"/>
    <w:basedOn w:val="4"/>
    <w:qFormat/>
    <w:uiPriority w:val="0"/>
    <w:pPr>
      <w:widowControl/>
      <w:spacing w:before="0" w:after="240" w:line="560" w:lineRule="exact"/>
      <w:ind w:firstLine="640" w:firstLineChars="200"/>
      <w:jc w:val="left"/>
    </w:pPr>
    <w:rPr>
      <w:rFonts w:ascii="黑体" w:hAnsi="黑体" w:eastAsia="黑体" w:cs="黑体"/>
      <w:b w:val="0"/>
      <w:bCs w:val="0"/>
      <w:sz w:val="32"/>
      <w:szCs w:val="32"/>
    </w:rPr>
  </w:style>
  <w:style w:type="character" w:customStyle="1" w:styleId="35">
    <w:name w:val="标题 1 字符"/>
    <w:basedOn w:val="19"/>
    <w:link w:val="4"/>
    <w:qFormat/>
    <w:uiPriority w:val="9"/>
    <w:rPr>
      <w:b/>
      <w:bCs/>
      <w:kern w:val="44"/>
      <w:sz w:val="44"/>
      <w:szCs w:val="44"/>
    </w:rPr>
  </w:style>
  <w:style w:type="paragraph" w:customStyle="1" w:styleId="36">
    <w:name w:val="TOC 标题2"/>
    <w:basedOn w:val="4"/>
    <w:next w:val="1"/>
    <w:qFormat/>
    <w:uiPriority w:val="39"/>
    <w:pPr>
      <w:widowControl/>
      <w:spacing w:before="240" w:after="0" w:line="259" w:lineRule="auto"/>
      <w:jc w:val="left"/>
      <w:outlineLvl w:val="9"/>
    </w:pPr>
    <w:rPr>
      <w:rFonts w:ascii="Cambria" w:hAnsi="Cambria" w:eastAsia="宋体" w:cs="Times New Roman"/>
      <w:b w:val="0"/>
      <w:bCs w:val="0"/>
      <w:color w:val="366091"/>
      <w:kern w:val="0"/>
      <w:sz w:val="32"/>
      <w:szCs w:val="32"/>
    </w:rPr>
  </w:style>
  <w:style w:type="paragraph" w:customStyle="1" w:styleId="37">
    <w:name w:val="Default"/>
    <w:qFormat/>
    <w:uiPriority w:val="0"/>
    <w:pPr>
      <w:widowControl w:val="0"/>
      <w:autoSpaceDE w:val="0"/>
      <w:autoSpaceDN w:val="0"/>
      <w:adjustRightInd w:val="0"/>
    </w:pPr>
    <w:rPr>
      <w:rFonts w:ascii="楷体_GB2312" w:eastAsia="楷体_GB2312" w:cs="楷体_GB2312" w:hAnsiTheme="minorHAnsi"/>
      <w:color w:val="000000"/>
      <w:sz w:val="24"/>
      <w:szCs w:val="24"/>
      <w:lang w:val="en-US" w:eastAsia="zh-CN" w:bidi="ar-SA"/>
    </w:rPr>
  </w:style>
  <w:style w:type="paragraph" w:styleId="38">
    <w:name w:val="List Paragraph"/>
    <w:basedOn w:val="1"/>
    <w:qFormat/>
    <w:uiPriority w:val="34"/>
    <w:pPr>
      <w:ind w:firstLine="420" w:firstLineChars="200"/>
    </w:pPr>
  </w:style>
  <w:style w:type="paragraph" w:customStyle="1" w:styleId="39">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0">
    <w:name w:val="尾注文本 字符"/>
    <w:basedOn w:val="19"/>
    <w:link w:val="9"/>
    <w:semiHidden/>
    <w:qFormat/>
    <w:uiPriority w:val="99"/>
  </w:style>
  <w:style w:type="paragraph" w:customStyle="1" w:styleId="41">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2">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3">
    <w:name w:val="修订4"/>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GT</Company>
  <Pages>9</Pages>
  <Words>746</Words>
  <Characters>4257</Characters>
  <Lines>35</Lines>
  <Paragraphs>9</Paragraphs>
  <TotalTime>1</TotalTime>
  <ScaleCrop>false</ScaleCrop>
  <LinksUpToDate>false</LinksUpToDate>
  <CharactersWithSpaces>4994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2022-12-09T01:05:00Z</dcterms:created>
  <dc:creator>Wang Yifei 王艺飞</dc:creator>
  <cp:lastModifiedBy>yt</cp:lastModifiedBy>
  <dcterms:modified xsi:type="dcterms:W3CDTF">2022-12-09T18:56:07Z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3A3141AF54FF0F9BC0F78E6354FA1839</vt:lpwstr>
  </property>
</Properties>
</file>