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847"/>
        <w:tblOverlap w:val="never"/>
        <w:tblW w:w="93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19"/>
        <w:gridCol w:w="1209"/>
        <w:gridCol w:w="1196"/>
        <w:gridCol w:w="1196"/>
        <w:gridCol w:w="1196"/>
        <w:gridCol w:w="1196"/>
        <w:gridCol w:w="1196"/>
        <w:gridCol w:w="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政府信息公开信息处理费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《国务院办公厅关于印发&lt;政府信息公开信息处理费管理办法&gt;的通知》（国办函〔2020〕109号）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申请公开政府信息超出一定数量或者频次范围的申请人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收费时限及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行政机关依法决定收取信息处理费的，应当在政府信息公开申请处理期限内，按照申请人获取信息的途径向申请人发出收费通知，说明收费的依据、标准、数额、缴纳方式等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缴费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申请人应当在收到收费通知次日起20个工作日内缴纳费用，逾期未缴纳的视为放弃申请，行政机关不再处理该政府信息公开申请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按件计收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按量计收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适用于所有政府信息公开申请处理决定类型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适用于申请人要求以提供纸质件、发送电子邮件、复制电子数据等方式获取政府信息的情形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申请人的一份政府信息公开申请包含多项内容的，按照“一事一申请”原则，以合理的最小单位拆分计算件数。同一申请人一个自然月累计申请件数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以单件政府信息公开申请为单位分别计算页数（A4及以下幅面纸张的单面为1页），对同一申请人提交的多件政府信息公开申请不累加计算页数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10件以下（含10件）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11-30件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（含30件）的部分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31件以上的部分，以10件为一档，每增加一档，收费标准提高100元/件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30页以下（含30页）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31—100页（含100页）的部分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101—200页（含200页）的部分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201页以上的部分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100元/件</w:t>
            </w:r>
          </w:p>
        </w:tc>
        <w:tc>
          <w:tcPr>
            <w:tcW w:w="11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10元/页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20元/页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40元/页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8F2887"/>
    <w:rsid w:val="78EDB3AC"/>
    <w:rsid w:val="EB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dcterms:modified xsi:type="dcterms:W3CDTF">2025-03-11T16:00:05Z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FF9422313BEA9F4985EDCF6787F18891</vt:lpwstr>
  </property>
</Properties>
</file>