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年报操作指引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2020年年度工作报告填报指引</w:t>
      </w:r>
    </w:p>
    <w:p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1、填报网址：http://218.17.84.148:9009/SOCSP_O/loginSucceed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2020年1月1日至12月31日成立的社会组织登录前需点击“注册账号”注册（此处需要法定代表人手机号码接收验证码）。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2291401800@qq.com邮箱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5、开始填报：点击工作平台左侧“业务办理”按键，然后点击右下角“申请”按键即可进入年报申报界面。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2405" cy="2429510"/>
            <wp:effectExtent l="0" t="0" r="4445" b="889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人手签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、“住所”、“法定代表人”等信息均为登记事项，由系统直接从登记系统导出无法进行修改，如这类无法修改的信息与实际情况不相符的，请联系我局登记处进行变更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“基本信息”保存成功后点击左侧目录“理事单位名单”进行填写，理事人数较少的社会组织可以直接在网页上填写理事情况，可点击表格上的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“增加”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0500" cy="1721485"/>
            <wp:effectExtent l="0" t="0" r="635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如何打印年报材料？</w:t>
      </w:r>
    </w:p>
    <w:p>
      <w:pPr>
        <w:numPr>
          <w:ilvl w:val="0"/>
          <w:numId w:val="0"/>
        </w:numPr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3681730"/>
            <wp:effectExtent l="0" t="0" r="12065" b="139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8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点击打印可以打印对应的表格。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到盐田区海景二路1088号工青妇活动中心大楼2楼203室区民政局社会组织管理科盖年报章。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4C07"/>
    <w:multiLevelType w:val="singleLevel"/>
    <w:tmpl w:val="28044C0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3084"/>
    <w:rsid w:val="01026E3C"/>
    <w:rsid w:val="01805546"/>
    <w:rsid w:val="09835436"/>
    <w:rsid w:val="10CF2E9E"/>
    <w:rsid w:val="1EC93084"/>
    <w:rsid w:val="210E75CA"/>
    <w:rsid w:val="286C34E3"/>
    <w:rsid w:val="2CD8406D"/>
    <w:rsid w:val="31D86731"/>
    <w:rsid w:val="324B7DD3"/>
    <w:rsid w:val="35034046"/>
    <w:rsid w:val="394A6DFB"/>
    <w:rsid w:val="3FC2692C"/>
    <w:rsid w:val="4144400B"/>
    <w:rsid w:val="417F3BA0"/>
    <w:rsid w:val="4F5B6BC5"/>
    <w:rsid w:val="51F00DC5"/>
    <w:rsid w:val="59060CC9"/>
    <w:rsid w:val="593C7E58"/>
    <w:rsid w:val="5A0A4AA7"/>
    <w:rsid w:val="68382EEE"/>
    <w:rsid w:val="739E785D"/>
    <w:rsid w:val="773A4239"/>
    <w:rsid w:val="7A4A3F5B"/>
    <w:rsid w:val="7D234D33"/>
    <w:rsid w:val="7F4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2019-01-07T01:31:00Z</dcterms:created>
  <dc:creator>管理服务处</dc:creator>
  <cp:lastModifiedBy>计珍</cp:lastModifiedBy>
  <dcterms:modified xsi:type="dcterms:W3CDTF">2021-01-07T01:38:37Z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