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B0FFE">
      <w:pPr>
        <w:widowControl w:val="0"/>
        <w:shd w:val="clear" w:color="auto" w:fill="auto"/>
        <w:spacing w:before="0" w:beforeLines="0" w:after="0" w:afterLines="0" w:line="579" w:lineRule="exact"/>
        <w:ind w:firstLine="0" w:firstLineChars="0"/>
        <w:jc w:val="center"/>
        <w:outlineLvl w:val="9"/>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_GBK" w:hAnsi="方正小标宋_GBK" w:eastAsia="方正小标宋_GBK" w:cs="方正小标宋_GBK"/>
          <w:b w:val="0"/>
          <w:bCs/>
          <w:color w:val="auto"/>
          <w:sz w:val="44"/>
          <w:szCs w:val="44"/>
          <w:highlight w:val="none"/>
          <w:lang w:val="en-US" w:eastAsia="zh-CN"/>
        </w:rPr>
        <w:t>限额以下小型工程和零星作业</w:t>
      </w:r>
    </w:p>
    <w:p w14:paraId="7E4960E8">
      <w:pPr>
        <w:jc w:val="center"/>
        <w:rPr>
          <w:rFonts w:hint="eastAsia" w:ascii="方正小标宋_GBK" w:hAnsi="方正小标宋_GBK" w:eastAsia="方正小标宋_GBK" w:cs="方正小标宋_GBK"/>
          <w:b w:val="0"/>
          <w:bCs/>
          <w:color w:val="auto"/>
          <w:sz w:val="44"/>
          <w:szCs w:val="44"/>
          <w:highlight w:val="none"/>
          <w:lang w:val="en-US" w:eastAsia="zh-CN"/>
        </w:rPr>
      </w:pPr>
      <w:r>
        <w:rPr>
          <w:rFonts w:hint="eastAsia" w:ascii="方正小标宋_GBK" w:hAnsi="方正小标宋_GBK" w:eastAsia="方正小标宋_GBK" w:cs="方正小标宋_GBK"/>
          <w:b w:val="0"/>
          <w:bCs/>
          <w:color w:val="auto"/>
          <w:sz w:val="44"/>
          <w:szCs w:val="44"/>
          <w:highlight w:val="none"/>
          <w:lang w:val="en-US" w:eastAsia="zh-CN"/>
        </w:rPr>
        <w:t>常见违法情形及法律责任</w:t>
      </w:r>
    </w:p>
    <w:tbl>
      <w:tblPr>
        <w:tblStyle w:val="3"/>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719"/>
        <w:gridCol w:w="5423"/>
      </w:tblGrid>
      <w:tr w14:paraId="2F22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838" w:type="dxa"/>
            <w:noWrap w:val="0"/>
            <w:vAlign w:val="center"/>
          </w:tcPr>
          <w:p w14:paraId="27F2C382">
            <w:pPr>
              <w:pStyle w:val="5"/>
              <w:keepNext w:val="0"/>
              <w:keepLines w:val="0"/>
              <w:suppressLineNumbers w:val="0"/>
              <w:shd w:val="clear" w:color="auto" w:fill="auto"/>
              <w:spacing w:before="0" w:beforeLines="0" w:beforeAutospacing="0" w:after="0" w:afterLines="0" w:afterAutospacing="0" w:line="360" w:lineRule="exact"/>
              <w:ind w:left="0" w:right="0"/>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序号</w:t>
            </w:r>
          </w:p>
        </w:tc>
        <w:tc>
          <w:tcPr>
            <w:tcW w:w="2719" w:type="dxa"/>
            <w:noWrap w:val="0"/>
            <w:vAlign w:val="center"/>
          </w:tcPr>
          <w:p w14:paraId="27085050">
            <w:pPr>
              <w:pStyle w:val="5"/>
              <w:keepNext w:val="0"/>
              <w:keepLines w:val="0"/>
              <w:suppressLineNumbers w:val="0"/>
              <w:shd w:val="clear" w:color="auto" w:fill="auto"/>
              <w:spacing w:before="0" w:beforeLines="0" w:beforeAutospacing="0" w:after="0" w:afterLines="0" w:afterAutospacing="0" w:line="360" w:lineRule="exact"/>
              <w:ind w:left="0" w:right="0"/>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违法情形</w:t>
            </w:r>
          </w:p>
        </w:tc>
        <w:tc>
          <w:tcPr>
            <w:tcW w:w="5423" w:type="dxa"/>
            <w:noWrap w:val="0"/>
            <w:vAlign w:val="center"/>
          </w:tcPr>
          <w:p w14:paraId="79AAF611">
            <w:pPr>
              <w:pStyle w:val="5"/>
              <w:keepNext w:val="0"/>
              <w:keepLines w:val="0"/>
              <w:suppressLineNumbers w:val="0"/>
              <w:shd w:val="clear" w:color="auto" w:fill="auto"/>
              <w:spacing w:before="0" w:beforeLines="0" w:beforeAutospacing="0" w:after="0" w:afterLines="0" w:afterAutospacing="0" w:line="360" w:lineRule="exact"/>
              <w:ind w:left="0" w:right="0"/>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法律责任</w:t>
            </w:r>
          </w:p>
        </w:tc>
      </w:tr>
      <w:tr w14:paraId="09DA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0" w:hRule="atLeast"/>
          <w:jc w:val="center"/>
        </w:trPr>
        <w:tc>
          <w:tcPr>
            <w:tcW w:w="838" w:type="dxa"/>
            <w:noWrap w:val="0"/>
            <w:vAlign w:val="center"/>
          </w:tcPr>
          <w:p w14:paraId="0D4FACB1">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eastAsia"/>
                <w:color w:val="auto"/>
                <w:sz w:val="24"/>
                <w:szCs w:val="24"/>
                <w:highlight w:val="none"/>
                <w:lang w:val="en-US" w:eastAsia="zh-CN"/>
              </w:rPr>
            </w:pPr>
          </w:p>
        </w:tc>
        <w:tc>
          <w:tcPr>
            <w:tcW w:w="2719" w:type="dxa"/>
            <w:noWrap w:val="0"/>
            <w:vAlign w:val="center"/>
          </w:tcPr>
          <w:p w14:paraId="29686269">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color w:val="auto"/>
                <w:sz w:val="24"/>
                <w:szCs w:val="24"/>
                <w:highlight w:val="none"/>
                <w:lang w:val="en-US" w:eastAsia="zh-CN"/>
              </w:rPr>
              <w:t>未申报登记进行房屋装饰装修、修缮、改造的。</w:t>
            </w:r>
          </w:p>
        </w:tc>
        <w:tc>
          <w:tcPr>
            <w:tcW w:w="5423" w:type="dxa"/>
            <w:noWrap w:val="0"/>
            <w:vAlign w:val="center"/>
          </w:tcPr>
          <w:p w14:paraId="63D45E4D">
            <w:pPr>
              <w:pStyle w:val="5"/>
              <w:keepNext w:val="0"/>
              <w:keepLines w:val="0"/>
              <w:numPr>
                <w:ilvl w:val="0"/>
                <w:numId w:val="2"/>
              </w:numPr>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eastAsia="zh-CN"/>
              </w:rPr>
              <w:t>《住宅室内装饰装修管理办法》第三十五条</w:t>
            </w:r>
            <w:r>
              <w:rPr>
                <w:rFonts w:hint="eastAsia"/>
                <w:color w:val="auto"/>
                <w:sz w:val="24"/>
                <w:szCs w:val="24"/>
                <w:highlight w:val="none"/>
                <w:lang w:val="en-US" w:eastAsia="zh-CN"/>
              </w:rPr>
              <w:t xml:space="preserve"> 装修人未申报登记进行住宅室内装饰装修活动的，由城市房地产行政主管部门责令改正，处5百元以上1千元以下的罚款。第四十四条　工程投资额在30万元以下或者建筑面积在300平方米以下,可以不申请办理施工许可证的非住宅装饰装修活动参照本办法执行。</w:t>
            </w:r>
          </w:p>
          <w:p w14:paraId="7AEC2CC5">
            <w:pPr>
              <w:pStyle w:val="5"/>
              <w:keepNext w:val="0"/>
              <w:keepLines w:val="0"/>
              <w:numPr>
                <w:ilvl w:val="0"/>
                <w:numId w:val="2"/>
              </w:numPr>
              <w:suppressLineNumbers w:val="0"/>
              <w:shd w:val="clear" w:color="auto" w:fill="auto"/>
              <w:spacing w:before="0" w:beforeLines="0" w:beforeAutospacing="0" w:after="0" w:afterLines="0" w:afterAutospacing="0" w:line="360" w:lineRule="exact"/>
              <w:ind w:left="0" w:leftChars="0" w:right="0"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color w:val="auto"/>
                <w:sz w:val="24"/>
                <w:szCs w:val="24"/>
                <w:highlight w:val="none"/>
                <w:lang w:val="en-US" w:eastAsia="zh-CN"/>
              </w:rPr>
              <w:t>《深圳市房屋安全管理办法》第四十二条 违反本办法第十五条第二款规定，房屋安全责任人未申报登记的，由区主管部门责令改正，并对个人处以一千元以下罚款，对单位处以一万元以上五万元以下罚款。</w:t>
            </w:r>
          </w:p>
        </w:tc>
      </w:tr>
      <w:tr w14:paraId="298A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838" w:type="dxa"/>
            <w:noWrap w:val="0"/>
            <w:vAlign w:val="center"/>
          </w:tcPr>
          <w:p w14:paraId="6E449F4F">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6F2C248C">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应当申请办理施工许可证工程，未取得施工许可证或者为规避办理施工许可证将工程项目分解后擅自施工的。</w:t>
            </w:r>
          </w:p>
        </w:tc>
        <w:tc>
          <w:tcPr>
            <w:tcW w:w="5423" w:type="dxa"/>
            <w:noWrap w:val="0"/>
            <w:vAlign w:val="center"/>
          </w:tcPr>
          <w:p w14:paraId="5B2E5CA4">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val="en-US" w:eastAsia="zh-CN"/>
              </w:rPr>
              <w:t>《建筑工程施工许可管理办法》第十二条 对于未取得施工许可证或者为规避办理施工许可证将工程项目分解后擅自施工的，由有管辖权的发证机关责令停止施工，限期改正，对建设单位处工程合同价款1%以上2%以下罚款；对施工单位处3万元以下罚款。</w:t>
            </w:r>
          </w:p>
        </w:tc>
      </w:tr>
      <w:tr w14:paraId="3C66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838" w:type="dxa"/>
            <w:noWrap w:val="0"/>
            <w:vAlign w:val="center"/>
          </w:tcPr>
          <w:p w14:paraId="209B6202">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5E36237C">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涉及必须委托具有相应资质等级的企业情形，建设单位委托给不具有相应资质等级的企业施工的。</w:t>
            </w:r>
          </w:p>
        </w:tc>
        <w:tc>
          <w:tcPr>
            <w:tcW w:w="5423" w:type="dxa"/>
            <w:noWrap w:val="0"/>
            <w:vAlign w:val="center"/>
          </w:tcPr>
          <w:p w14:paraId="641967EC">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eastAsia="zh-CN"/>
              </w:rPr>
              <w:t>《住宅室内装饰装修管理办法》第三十六条</w:t>
            </w:r>
            <w:r>
              <w:rPr>
                <w:rFonts w:hint="eastAsia"/>
                <w:color w:val="auto"/>
                <w:sz w:val="24"/>
                <w:szCs w:val="24"/>
                <w:highlight w:val="none"/>
                <w:lang w:val="en-US" w:eastAsia="zh-CN"/>
              </w:rPr>
              <w:t>　装修人违反本办法规定，将住宅室内装饰装修工程委托给不具有相应资质等级企业的，处5百元以上1千元以下的罚款。第四十四条 可以不申请办理施工许可证的非</w:t>
            </w: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HYPERLINK "https://baike.baidu.com/item/%E4%BD%8F%E5%AE%85%E8%A3%85%E9%A5%B0%E8%A3%85%E4%BF%AE/0?fromModule=lemma_inlink" \t "/home/zalf/文档\\x/_blank"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住宅装饰装修</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活动参照本办法执行。</w:t>
            </w:r>
          </w:p>
        </w:tc>
      </w:tr>
      <w:tr w14:paraId="4AEF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14:paraId="38F488F0">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67A7991A">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涉及变动建筑主体和承重结构，改变房屋使用功能影响房屋安全使用，超过设计标准或者规范增加楼面荷载等情形，房屋安全责任人没有委托原设计单位或者具有相应资质等级的设计单位提出设计方案、出具施工图，或者没有委托有相应资质等级的施工单位实施的。</w:t>
            </w:r>
          </w:p>
        </w:tc>
        <w:tc>
          <w:tcPr>
            <w:tcW w:w="5423" w:type="dxa"/>
            <w:noWrap w:val="0"/>
            <w:vAlign w:val="center"/>
          </w:tcPr>
          <w:p w14:paraId="7412300F">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《深圳市房屋安全管理办法》第四十一条 违反本办法第十四条规定，房屋安全责任人没有委托原设计单位或者具有相应资质等级的设计单位提出设计方案、出具施工图，或者没有委托有相应资质等级的施工单位实施的，由区主管部门责令停止违法行为、限期恢复原状或者采取修缮加固等安全技术措施治理，并对个人处以一千元罚款，对单位处以五万元以上十万元以下罚款。给他人造成损失的，依法承担赔偿责任。</w:t>
            </w:r>
          </w:p>
          <w:p w14:paraId="1AC17AB8">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《建设工程质量管理条例》第六十九条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tc>
      </w:tr>
      <w:tr w14:paraId="2C19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8" w:type="dxa"/>
            <w:noWrap w:val="0"/>
            <w:vAlign w:val="center"/>
          </w:tcPr>
          <w:p w14:paraId="54B053D7">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2B90D1AB">
            <w:pPr>
              <w:pStyle w:val="5"/>
              <w:keepNext w:val="0"/>
              <w:keepLines w:val="0"/>
              <w:suppressLineNumbers w:val="0"/>
              <w:shd w:val="clear" w:color="auto" w:fill="auto"/>
              <w:spacing w:before="0" w:beforeLines="0" w:beforeAutospacing="0" w:after="0" w:afterLines="0" w:afterAutospacing="0" w:line="360" w:lineRule="exact"/>
              <w:ind w:left="0" w:leftChars="0" w:right="0" w:rightChars="0" w:firstLine="480" w:firstLineChars="200"/>
              <w:jc w:val="both"/>
              <w:rPr>
                <w:rFonts w:hint="default" w:ascii="仿宋_GB2312" w:hAnsi="仿宋_GB2312" w:eastAsia="仿宋_GB2312" w:cs="仿宋_GB2312"/>
                <w:color w:val="auto"/>
                <w:sz w:val="24"/>
                <w:szCs w:val="24"/>
                <w:highlight w:val="none"/>
                <w:lang w:val="en-US" w:eastAsia="zh-CN"/>
              </w:rPr>
            </w:pPr>
            <w:r>
              <w:rPr>
                <w:rFonts w:hint="default"/>
                <w:color w:val="auto"/>
                <w:sz w:val="24"/>
                <w:szCs w:val="24"/>
                <w:highlight w:val="none"/>
                <w:lang w:val="en-US" w:eastAsia="zh-CN"/>
              </w:rPr>
              <w:t>建筑施工企业转让、出借资质证书</w:t>
            </w:r>
            <w:r>
              <w:rPr>
                <w:rFonts w:hint="eastAsia"/>
                <w:color w:val="auto"/>
                <w:sz w:val="24"/>
                <w:szCs w:val="24"/>
                <w:highlight w:val="none"/>
                <w:lang w:val="en-US" w:eastAsia="zh-CN"/>
              </w:rPr>
              <w:t>或者</w:t>
            </w:r>
            <w:r>
              <w:rPr>
                <w:rFonts w:hint="default"/>
                <w:color w:val="auto"/>
                <w:sz w:val="24"/>
                <w:szCs w:val="24"/>
                <w:highlight w:val="none"/>
                <w:lang w:val="en-US" w:eastAsia="zh-CN"/>
              </w:rPr>
              <w:t>以其他方式允许他人以本企业的名义承揽工程的</w:t>
            </w:r>
            <w:r>
              <w:rPr>
                <w:rFonts w:hint="eastAsia"/>
                <w:color w:val="auto"/>
                <w:sz w:val="24"/>
                <w:szCs w:val="24"/>
                <w:highlight w:val="none"/>
                <w:lang w:val="en-US" w:eastAsia="zh-CN"/>
              </w:rPr>
              <w:t>。</w:t>
            </w:r>
          </w:p>
        </w:tc>
        <w:tc>
          <w:tcPr>
            <w:tcW w:w="5423" w:type="dxa"/>
            <w:noWrap w:val="0"/>
            <w:vAlign w:val="center"/>
          </w:tcPr>
          <w:p w14:paraId="10492E79">
            <w:pPr>
              <w:pStyle w:val="5"/>
              <w:keepNext w:val="0"/>
              <w:keepLines w:val="0"/>
              <w:suppressLineNumbers w:val="0"/>
              <w:shd w:val="clear" w:color="auto" w:fill="auto"/>
              <w:spacing w:before="0" w:beforeLines="0" w:beforeAutospacing="0" w:after="0" w:afterLines="0" w:afterAutospacing="0" w:line="360" w:lineRule="exact"/>
              <w:ind w:left="0" w:leftChars="0" w:right="0" w:rightChars="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《中华人民共和国建筑法》第六十六条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14:paraId="6D66F697">
            <w:pPr>
              <w:pStyle w:val="5"/>
              <w:keepNext w:val="0"/>
              <w:keepLines w:val="0"/>
              <w:suppressLineNumbers w:val="0"/>
              <w:shd w:val="clear" w:color="auto" w:fill="auto"/>
              <w:spacing w:before="0" w:beforeLines="0" w:beforeAutospacing="0" w:after="0" w:afterLines="0" w:afterAutospacing="0" w:line="360" w:lineRule="exact"/>
              <w:ind w:left="0" w:leftChars="0" w:right="0" w:rightChars="0" w:firstLine="480" w:firstLineChars="200"/>
              <w:jc w:val="both"/>
              <w:rPr>
                <w:rFonts w:hint="default" w:ascii="仿宋_GB2312" w:hAnsi="仿宋_GB2312" w:eastAsia="仿宋_GB2312" w:cs="仿宋_GB2312"/>
                <w:color w:val="auto"/>
                <w:sz w:val="24"/>
                <w:szCs w:val="24"/>
                <w:highlight w:val="none"/>
                <w:lang w:val="en-US" w:eastAsia="zh-CN"/>
              </w:rPr>
            </w:pPr>
            <w:r>
              <w:rPr>
                <w:rFonts w:hint="eastAsia"/>
                <w:color w:val="auto"/>
                <w:sz w:val="24"/>
                <w:szCs w:val="24"/>
                <w:highlight w:val="none"/>
                <w:lang w:val="en-US" w:eastAsia="zh-CN"/>
              </w:rPr>
              <w:t>《建设工程质量管理条例》</w:t>
            </w:r>
            <w:r>
              <w:rPr>
                <w:rFonts w:hint="default"/>
                <w:color w:val="auto"/>
                <w:sz w:val="24"/>
                <w:szCs w:val="24"/>
                <w:highlight w:val="none"/>
                <w:lang w:val="en-US" w:eastAsia="zh-CN"/>
              </w:rPr>
              <w:t>第六十一条</w:t>
            </w:r>
            <w:r>
              <w:rPr>
                <w:rFonts w:hint="eastAsia"/>
                <w:color w:val="auto"/>
                <w:sz w:val="24"/>
                <w:szCs w:val="24"/>
                <w:highlight w:val="none"/>
                <w:lang w:val="en-US" w:eastAsia="zh-CN"/>
              </w:rPr>
              <w:t xml:space="preserve"> </w:t>
            </w:r>
            <w:r>
              <w:rPr>
                <w:rFonts w:hint="default"/>
                <w:color w:val="auto"/>
                <w:sz w:val="24"/>
                <w:szCs w:val="24"/>
                <w:highlight w:val="none"/>
                <w:lang w:val="en-US" w:eastAsia="zh-CN"/>
              </w:rPr>
              <w:t>违反本条例规定</w:t>
            </w:r>
            <w:r>
              <w:rPr>
                <w:rFonts w:hint="eastAsia"/>
                <w:color w:val="auto"/>
                <w:sz w:val="24"/>
                <w:szCs w:val="24"/>
                <w:highlight w:val="none"/>
                <w:lang w:val="en-US" w:eastAsia="zh-CN"/>
              </w:rPr>
              <w:t>，</w:t>
            </w:r>
            <w:r>
              <w:rPr>
                <w:rFonts w:hint="default"/>
                <w:color w:val="auto"/>
                <w:sz w:val="24"/>
                <w:szCs w:val="24"/>
                <w:highlight w:val="none"/>
                <w:lang w:val="en-US" w:eastAsia="zh-CN"/>
              </w:rPr>
              <w:t>勘察、设计、施工、工程监理单位允许其他单位</w:t>
            </w:r>
            <w:r>
              <w:rPr>
                <w:rFonts w:hint="eastAsia"/>
                <w:color w:val="auto"/>
                <w:sz w:val="24"/>
                <w:szCs w:val="24"/>
                <w:highlight w:val="none"/>
                <w:lang w:val="en-US" w:eastAsia="zh-CN"/>
              </w:rPr>
              <w:t>或者</w:t>
            </w:r>
            <w:r>
              <w:rPr>
                <w:rFonts w:hint="default"/>
                <w:color w:val="auto"/>
                <w:sz w:val="24"/>
                <w:szCs w:val="24"/>
                <w:highlight w:val="none"/>
                <w:lang w:val="en-US" w:eastAsia="zh-CN"/>
              </w:rPr>
              <w:t>个人以本单位名义承揽工程的</w:t>
            </w:r>
            <w:r>
              <w:rPr>
                <w:rFonts w:hint="eastAsia"/>
                <w:color w:val="auto"/>
                <w:sz w:val="24"/>
                <w:szCs w:val="24"/>
                <w:highlight w:val="none"/>
                <w:lang w:val="en-US" w:eastAsia="zh-CN"/>
              </w:rPr>
              <w:t>，</w:t>
            </w:r>
            <w:r>
              <w:rPr>
                <w:rFonts w:hint="default"/>
                <w:color w:val="auto"/>
                <w:sz w:val="24"/>
                <w:szCs w:val="24"/>
                <w:highlight w:val="none"/>
                <w:lang w:val="en-US" w:eastAsia="zh-CN"/>
              </w:rPr>
              <w:t>责令改正</w:t>
            </w:r>
            <w:r>
              <w:rPr>
                <w:rFonts w:hint="eastAsia"/>
                <w:color w:val="auto"/>
                <w:sz w:val="24"/>
                <w:szCs w:val="24"/>
                <w:highlight w:val="none"/>
                <w:lang w:val="en-US" w:eastAsia="zh-CN"/>
              </w:rPr>
              <w:t>，</w:t>
            </w:r>
            <w:r>
              <w:rPr>
                <w:rFonts w:hint="default"/>
                <w:color w:val="auto"/>
                <w:sz w:val="24"/>
                <w:szCs w:val="24"/>
                <w:highlight w:val="none"/>
                <w:lang w:val="en-US" w:eastAsia="zh-CN"/>
              </w:rPr>
              <w:t>没收违法所得</w:t>
            </w:r>
            <w:r>
              <w:rPr>
                <w:rFonts w:hint="eastAsia"/>
                <w:color w:val="auto"/>
                <w:sz w:val="24"/>
                <w:szCs w:val="24"/>
                <w:highlight w:val="none"/>
                <w:lang w:val="en-US" w:eastAsia="zh-CN"/>
              </w:rPr>
              <w:t>，</w:t>
            </w:r>
            <w:r>
              <w:rPr>
                <w:rFonts w:hint="default"/>
                <w:color w:val="auto"/>
                <w:sz w:val="24"/>
                <w:szCs w:val="24"/>
                <w:highlight w:val="none"/>
                <w:lang w:val="en-US" w:eastAsia="zh-CN"/>
              </w:rPr>
              <w:t>对勘察、设计单位和工程监理单位处合同约定的勘察费、设计费和监理酬金1倍以上2倍以下的罚款；对施工单位处工程合同价款百分之二以上百分之四以下的罚款；可以责令停业整顿</w:t>
            </w:r>
            <w:r>
              <w:rPr>
                <w:rFonts w:hint="eastAsia"/>
                <w:color w:val="auto"/>
                <w:sz w:val="24"/>
                <w:szCs w:val="24"/>
                <w:highlight w:val="none"/>
                <w:lang w:val="en-US" w:eastAsia="zh-CN"/>
              </w:rPr>
              <w:t>，</w:t>
            </w:r>
            <w:r>
              <w:rPr>
                <w:rFonts w:hint="default"/>
                <w:color w:val="auto"/>
                <w:sz w:val="24"/>
                <w:szCs w:val="24"/>
                <w:highlight w:val="none"/>
                <w:lang w:val="en-US" w:eastAsia="zh-CN"/>
              </w:rPr>
              <w:t>降低资质等级；情节严重的</w:t>
            </w:r>
            <w:r>
              <w:rPr>
                <w:rFonts w:hint="eastAsia"/>
                <w:color w:val="auto"/>
                <w:sz w:val="24"/>
                <w:szCs w:val="24"/>
                <w:highlight w:val="none"/>
                <w:lang w:val="en-US" w:eastAsia="zh-CN"/>
              </w:rPr>
              <w:t>，</w:t>
            </w:r>
            <w:r>
              <w:rPr>
                <w:rFonts w:hint="default"/>
                <w:color w:val="auto"/>
                <w:sz w:val="24"/>
                <w:szCs w:val="24"/>
                <w:highlight w:val="none"/>
                <w:lang w:val="en-US" w:eastAsia="zh-CN"/>
              </w:rPr>
              <w:t>吊销资质证书。</w:t>
            </w:r>
          </w:p>
        </w:tc>
      </w:tr>
      <w:tr w14:paraId="5FD6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jc w:val="center"/>
        </w:trPr>
        <w:tc>
          <w:tcPr>
            <w:tcW w:w="838" w:type="dxa"/>
            <w:noWrap w:val="0"/>
            <w:vAlign w:val="center"/>
          </w:tcPr>
          <w:p w14:paraId="5B456F6E">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37E6B776">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default"/>
                <w:color w:val="auto"/>
                <w:sz w:val="24"/>
                <w:szCs w:val="24"/>
                <w:highlight w:val="none"/>
                <w:lang w:val="en-US" w:eastAsia="zh-CN"/>
              </w:rPr>
            </w:pPr>
            <w:r>
              <w:rPr>
                <w:rFonts w:hint="default"/>
                <w:color w:val="auto"/>
                <w:sz w:val="24"/>
                <w:szCs w:val="24"/>
                <w:highlight w:val="none"/>
                <w:lang w:val="en-US" w:eastAsia="zh-CN"/>
              </w:rPr>
              <w:t>涉及在限额以下小型工程施工活动中进行违法建设的</w:t>
            </w:r>
            <w:r>
              <w:rPr>
                <w:rFonts w:hint="eastAsia"/>
                <w:color w:val="auto"/>
                <w:sz w:val="24"/>
                <w:szCs w:val="24"/>
                <w:highlight w:val="none"/>
                <w:lang w:val="en-US" w:eastAsia="zh-CN"/>
              </w:rPr>
              <w:t>。</w:t>
            </w:r>
          </w:p>
        </w:tc>
        <w:tc>
          <w:tcPr>
            <w:tcW w:w="5423" w:type="dxa"/>
            <w:noWrap w:val="0"/>
            <w:vAlign w:val="center"/>
          </w:tcPr>
          <w:p w14:paraId="6AB130EC">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default"/>
                <w:color w:val="auto"/>
                <w:sz w:val="24"/>
                <w:szCs w:val="24"/>
                <w:highlight w:val="none"/>
                <w:lang w:val="en-US" w:eastAsia="zh-CN"/>
              </w:rPr>
            </w:pPr>
            <w:r>
              <w:rPr>
                <w:rFonts w:hint="default"/>
                <w:color w:val="auto"/>
                <w:sz w:val="24"/>
                <w:szCs w:val="24"/>
                <w:highlight w:val="none"/>
                <w:lang w:val="en-US" w:eastAsia="zh-CN"/>
              </w:rPr>
              <w:t>《深圳市城市规划条例》第七十三条 因违法建设而严重影响城市规划</w:t>
            </w:r>
            <w:r>
              <w:rPr>
                <w:rFonts w:hint="eastAsia"/>
                <w:color w:val="auto"/>
                <w:sz w:val="24"/>
                <w:szCs w:val="24"/>
                <w:highlight w:val="none"/>
                <w:lang w:val="en-US" w:eastAsia="zh-CN"/>
              </w:rPr>
              <w:t>或者</w:t>
            </w:r>
            <w:r>
              <w:rPr>
                <w:rFonts w:hint="default"/>
                <w:color w:val="auto"/>
                <w:sz w:val="24"/>
                <w:szCs w:val="24"/>
                <w:highlight w:val="none"/>
                <w:lang w:val="en-US" w:eastAsia="zh-CN"/>
              </w:rPr>
              <w:t>影响城市规划又不能采取改正措施的</w:t>
            </w:r>
            <w:r>
              <w:rPr>
                <w:rFonts w:hint="eastAsia"/>
                <w:color w:val="auto"/>
                <w:sz w:val="24"/>
                <w:szCs w:val="24"/>
                <w:highlight w:val="none"/>
                <w:lang w:val="en-US" w:eastAsia="zh-CN"/>
              </w:rPr>
              <w:t>，</w:t>
            </w:r>
            <w:r>
              <w:rPr>
                <w:rFonts w:hint="default"/>
                <w:color w:val="auto"/>
                <w:sz w:val="24"/>
                <w:szCs w:val="24"/>
                <w:highlight w:val="none"/>
                <w:lang w:val="en-US" w:eastAsia="zh-CN"/>
              </w:rPr>
              <w:t>应当责令其停止建设</w:t>
            </w:r>
            <w:r>
              <w:rPr>
                <w:rFonts w:hint="eastAsia"/>
                <w:color w:val="auto"/>
                <w:sz w:val="24"/>
                <w:szCs w:val="24"/>
                <w:highlight w:val="none"/>
                <w:lang w:val="en-US" w:eastAsia="zh-CN"/>
              </w:rPr>
              <w:t>，</w:t>
            </w:r>
            <w:r>
              <w:rPr>
                <w:rFonts w:hint="default"/>
                <w:color w:val="auto"/>
                <w:sz w:val="24"/>
                <w:szCs w:val="24"/>
                <w:highlight w:val="none"/>
                <w:lang w:val="en-US" w:eastAsia="zh-CN"/>
              </w:rPr>
              <w:t>限期拆除违法建筑物、构筑物</w:t>
            </w:r>
            <w:r>
              <w:rPr>
                <w:rFonts w:hint="eastAsia"/>
                <w:color w:val="auto"/>
                <w:sz w:val="24"/>
                <w:szCs w:val="24"/>
                <w:highlight w:val="none"/>
                <w:lang w:val="en-US" w:eastAsia="zh-CN"/>
              </w:rPr>
              <w:t>，</w:t>
            </w:r>
            <w:r>
              <w:rPr>
                <w:rFonts w:hint="default"/>
                <w:color w:val="auto"/>
                <w:sz w:val="24"/>
                <w:szCs w:val="24"/>
                <w:highlight w:val="none"/>
                <w:lang w:val="en-US" w:eastAsia="zh-CN"/>
              </w:rPr>
              <w:t>造成公用设施和市政设施损坏的</w:t>
            </w:r>
            <w:r>
              <w:rPr>
                <w:rFonts w:hint="eastAsia"/>
                <w:color w:val="auto"/>
                <w:sz w:val="24"/>
                <w:szCs w:val="24"/>
                <w:highlight w:val="none"/>
                <w:lang w:val="en-US" w:eastAsia="zh-CN"/>
              </w:rPr>
              <w:t>，</w:t>
            </w:r>
            <w:r>
              <w:rPr>
                <w:rFonts w:hint="default"/>
                <w:color w:val="auto"/>
                <w:sz w:val="24"/>
                <w:szCs w:val="24"/>
                <w:highlight w:val="none"/>
                <w:lang w:val="en-US" w:eastAsia="zh-CN"/>
              </w:rPr>
              <w:t>当事人应当负修复及赔偿责任。</w:t>
            </w:r>
          </w:p>
          <w:p w14:paraId="6F12B623">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default"/>
                <w:color w:val="auto"/>
                <w:sz w:val="24"/>
                <w:szCs w:val="24"/>
                <w:highlight w:val="none"/>
                <w:lang w:val="en-US" w:eastAsia="zh-CN"/>
              </w:rPr>
            </w:pPr>
            <w:r>
              <w:rPr>
                <w:rFonts w:hint="default"/>
                <w:color w:val="auto"/>
                <w:sz w:val="24"/>
                <w:szCs w:val="24"/>
                <w:highlight w:val="none"/>
                <w:lang w:val="en-US" w:eastAsia="zh-CN"/>
              </w:rPr>
              <w:t>因违法建设影响城市规划尚可采取改正措施的</w:t>
            </w:r>
            <w:r>
              <w:rPr>
                <w:rFonts w:hint="eastAsia"/>
                <w:color w:val="auto"/>
                <w:sz w:val="24"/>
                <w:szCs w:val="24"/>
                <w:highlight w:val="none"/>
                <w:lang w:val="en-US" w:eastAsia="zh-CN"/>
              </w:rPr>
              <w:t>，</w:t>
            </w:r>
            <w:r>
              <w:rPr>
                <w:rFonts w:hint="default"/>
                <w:color w:val="auto"/>
                <w:sz w:val="24"/>
                <w:szCs w:val="24"/>
                <w:highlight w:val="none"/>
                <w:lang w:val="en-US" w:eastAsia="zh-CN"/>
              </w:rPr>
              <w:t>应当责令停止建设、限期改正</w:t>
            </w:r>
            <w:r>
              <w:rPr>
                <w:rFonts w:hint="eastAsia"/>
                <w:color w:val="auto"/>
                <w:sz w:val="24"/>
                <w:szCs w:val="24"/>
                <w:highlight w:val="none"/>
                <w:lang w:val="en-US" w:eastAsia="zh-CN"/>
              </w:rPr>
              <w:t>，</w:t>
            </w:r>
            <w:r>
              <w:rPr>
                <w:rFonts w:hint="default"/>
                <w:color w:val="auto"/>
                <w:sz w:val="24"/>
                <w:szCs w:val="24"/>
                <w:highlight w:val="none"/>
                <w:lang w:val="en-US" w:eastAsia="zh-CN"/>
              </w:rPr>
              <w:t>补办手续</w:t>
            </w:r>
            <w:r>
              <w:rPr>
                <w:rFonts w:hint="eastAsia"/>
                <w:color w:val="auto"/>
                <w:sz w:val="24"/>
                <w:szCs w:val="24"/>
                <w:highlight w:val="none"/>
                <w:lang w:val="en-US" w:eastAsia="zh-CN"/>
              </w:rPr>
              <w:t>，</w:t>
            </w:r>
            <w:r>
              <w:rPr>
                <w:rFonts w:hint="default"/>
                <w:color w:val="auto"/>
                <w:sz w:val="24"/>
                <w:szCs w:val="24"/>
                <w:highlight w:val="none"/>
                <w:lang w:val="en-US" w:eastAsia="zh-CN"/>
              </w:rPr>
              <w:t>并处单项工程违法部分土建总造价百分之四十至百分之六十罚款</w:t>
            </w:r>
            <w:r>
              <w:rPr>
                <w:rFonts w:hint="eastAsia"/>
                <w:color w:val="auto"/>
                <w:sz w:val="24"/>
                <w:szCs w:val="24"/>
                <w:highlight w:val="none"/>
                <w:lang w:val="en-US" w:eastAsia="zh-CN"/>
              </w:rPr>
              <w:t>，</w:t>
            </w:r>
            <w:r>
              <w:rPr>
                <w:rFonts w:hint="default"/>
                <w:color w:val="auto"/>
                <w:sz w:val="24"/>
                <w:szCs w:val="24"/>
                <w:highlight w:val="none"/>
                <w:lang w:val="en-US" w:eastAsia="zh-CN"/>
              </w:rPr>
              <w:t>并处没收违法所得。</w:t>
            </w:r>
          </w:p>
          <w:p w14:paraId="14FF7A96">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default"/>
                <w:color w:val="auto"/>
                <w:sz w:val="24"/>
                <w:szCs w:val="24"/>
                <w:highlight w:val="none"/>
                <w:lang w:val="en-US" w:eastAsia="zh-CN"/>
              </w:rPr>
            </w:pPr>
            <w:r>
              <w:rPr>
                <w:rFonts w:hint="default"/>
                <w:color w:val="auto"/>
                <w:sz w:val="24"/>
                <w:szCs w:val="24"/>
                <w:highlight w:val="none"/>
                <w:lang w:val="en-US" w:eastAsia="zh-CN"/>
              </w:rPr>
              <w:t>违法建设不影响城市规划的</w:t>
            </w:r>
            <w:r>
              <w:rPr>
                <w:rFonts w:hint="eastAsia"/>
                <w:color w:val="auto"/>
                <w:sz w:val="24"/>
                <w:szCs w:val="24"/>
                <w:highlight w:val="none"/>
                <w:lang w:val="en-US" w:eastAsia="zh-CN"/>
              </w:rPr>
              <w:t>，</w:t>
            </w:r>
            <w:r>
              <w:rPr>
                <w:rFonts w:hint="default"/>
                <w:color w:val="auto"/>
                <w:sz w:val="24"/>
                <w:szCs w:val="24"/>
                <w:highlight w:val="none"/>
                <w:lang w:val="en-US" w:eastAsia="zh-CN"/>
              </w:rPr>
              <w:t>应当责令停止建设</w:t>
            </w:r>
            <w:r>
              <w:rPr>
                <w:rFonts w:hint="eastAsia"/>
                <w:color w:val="auto"/>
                <w:sz w:val="24"/>
                <w:szCs w:val="24"/>
                <w:highlight w:val="none"/>
                <w:lang w:val="en-US" w:eastAsia="zh-CN"/>
              </w:rPr>
              <w:t>，</w:t>
            </w:r>
            <w:r>
              <w:rPr>
                <w:rFonts w:hint="default"/>
                <w:color w:val="auto"/>
                <w:sz w:val="24"/>
                <w:szCs w:val="24"/>
                <w:highlight w:val="none"/>
                <w:lang w:val="en-US" w:eastAsia="zh-CN"/>
              </w:rPr>
              <w:t>限期补办手续</w:t>
            </w:r>
            <w:r>
              <w:rPr>
                <w:rFonts w:hint="eastAsia"/>
                <w:color w:val="auto"/>
                <w:sz w:val="24"/>
                <w:szCs w:val="24"/>
                <w:highlight w:val="none"/>
                <w:lang w:val="en-US" w:eastAsia="zh-CN"/>
              </w:rPr>
              <w:t>，</w:t>
            </w:r>
            <w:r>
              <w:rPr>
                <w:rFonts w:hint="default"/>
                <w:color w:val="auto"/>
                <w:sz w:val="24"/>
                <w:szCs w:val="24"/>
                <w:highlight w:val="none"/>
                <w:lang w:val="en-US" w:eastAsia="zh-CN"/>
              </w:rPr>
              <w:t>并处单项工程土建总造价百分之四十至百分之六十罚款</w:t>
            </w:r>
            <w:r>
              <w:rPr>
                <w:rFonts w:hint="eastAsia"/>
                <w:color w:val="auto"/>
                <w:sz w:val="24"/>
                <w:szCs w:val="24"/>
                <w:highlight w:val="none"/>
                <w:lang w:val="en-US" w:eastAsia="zh-CN"/>
              </w:rPr>
              <w:t>，</w:t>
            </w:r>
            <w:r>
              <w:rPr>
                <w:rFonts w:hint="default"/>
                <w:color w:val="auto"/>
                <w:sz w:val="24"/>
                <w:szCs w:val="24"/>
                <w:highlight w:val="none"/>
                <w:lang w:val="en-US" w:eastAsia="zh-CN"/>
              </w:rPr>
              <w:t>并处没收违法所得。</w:t>
            </w:r>
          </w:p>
          <w:p w14:paraId="044EA8B2">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default"/>
                <w:color w:val="auto"/>
                <w:sz w:val="24"/>
                <w:szCs w:val="24"/>
                <w:highlight w:val="none"/>
                <w:lang w:val="en-US" w:eastAsia="zh-CN"/>
              </w:rPr>
            </w:pPr>
            <w:r>
              <w:rPr>
                <w:rFonts w:hint="default"/>
                <w:color w:val="auto"/>
                <w:sz w:val="24"/>
                <w:szCs w:val="24"/>
                <w:highlight w:val="none"/>
                <w:lang w:val="en-US" w:eastAsia="zh-CN"/>
              </w:rPr>
              <w:t>第七十八条 对违法建设的投资单位、施工单位及进行违法设计的单位的主要负责人和直接责任人员</w:t>
            </w:r>
            <w:r>
              <w:rPr>
                <w:rFonts w:hint="eastAsia"/>
                <w:color w:val="auto"/>
                <w:sz w:val="24"/>
                <w:szCs w:val="24"/>
                <w:highlight w:val="none"/>
                <w:lang w:val="en-US" w:eastAsia="zh-CN"/>
              </w:rPr>
              <w:t>，</w:t>
            </w:r>
            <w:r>
              <w:rPr>
                <w:rFonts w:hint="default"/>
                <w:color w:val="auto"/>
                <w:sz w:val="24"/>
                <w:szCs w:val="24"/>
                <w:highlight w:val="none"/>
                <w:lang w:val="en-US" w:eastAsia="zh-CN"/>
              </w:rPr>
              <w:t>应当追究其行政责任</w:t>
            </w:r>
            <w:r>
              <w:rPr>
                <w:rFonts w:hint="eastAsia"/>
                <w:color w:val="auto"/>
                <w:sz w:val="24"/>
                <w:szCs w:val="24"/>
                <w:highlight w:val="none"/>
                <w:lang w:val="en-US" w:eastAsia="zh-CN"/>
              </w:rPr>
              <w:t>，</w:t>
            </w:r>
            <w:r>
              <w:rPr>
                <w:rFonts w:hint="default"/>
                <w:color w:val="auto"/>
                <w:sz w:val="24"/>
                <w:szCs w:val="24"/>
                <w:highlight w:val="none"/>
                <w:lang w:val="en-US" w:eastAsia="zh-CN"/>
              </w:rPr>
              <w:t>处一万元以上二万元以下罚款</w:t>
            </w:r>
            <w:r>
              <w:rPr>
                <w:rFonts w:hint="eastAsia"/>
                <w:color w:val="auto"/>
                <w:sz w:val="24"/>
                <w:szCs w:val="24"/>
                <w:highlight w:val="none"/>
                <w:lang w:val="en-US" w:eastAsia="zh-CN"/>
              </w:rPr>
              <w:t>，</w:t>
            </w:r>
            <w:r>
              <w:rPr>
                <w:rFonts w:hint="default"/>
                <w:color w:val="auto"/>
                <w:sz w:val="24"/>
                <w:szCs w:val="24"/>
                <w:highlight w:val="none"/>
                <w:lang w:val="en-US" w:eastAsia="zh-CN"/>
              </w:rPr>
              <w:t>并没收违法设计和施工单位的违法所得。</w:t>
            </w:r>
          </w:p>
        </w:tc>
      </w:tr>
      <w:tr w14:paraId="3D11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jc w:val="center"/>
        </w:trPr>
        <w:tc>
          <w:tcPr>
            <w:tcW w:w="838" w:type="dxa"/>
            <w:noWrap w:val="0"/>
            <w:vAlign w:val="center"/>
          </w:tcPr>
          <w:p w14:paraId="7FACAA17">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397B7F18">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生产经营单位的主要负责人、其他负责人和安全生产管理人员未履安全生产管理职责的。</w:t>
            </w:r>
          </w:p>
        </w:tc>
        <w:tc>
          <w:tcPr>
            <w:tcW w:w="5423" w:type="dxa"/>
            <w:noWrap w:val="0"/>
            <w:vAlign w:val="center"/>
          </w:tcPr>
          <w:p w14:paraId="2F8E9372">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《中华人民共和国安全生产法》第九十四条　生产经营单位的主要负责人未履行本法规定的安全生产管理职责的，责令限期改正，处二万元以上五万元以下的罚款；逾期未改正的，处五万元以上十万元以下的罚款，责令生产经营单位停产停业整顿。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r>
      <w:tr w14:paraId="1CAE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838" w:type="dxa"/>
            <w:noWrap w:val="0"/>
            <w:vAlign w:val="center"/>
          </w:tcPr>
          <w:p w14:paraId="099BB6A4">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7E4A3189">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未按照规定对从业人员、被派遣劳动者、实习学生进行安全生产教育和培训，或者未按照规定如实告知有关的安全生产事项的；未如实记录安全生产教育和培训情况的。</w:t>
            </w:r>
          </w:p>
        </w:tc>
        <w:tc>
          <w:tcPr>
            <w:tcW w:w="5423" w:type="dxa"/>
            <w:noWrap w:val="0"/>
            <w:vAlign w:val="center"/>
          </w:tcPr>
          <w:p w14:paraId="479E3D9E">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F5A7B6D">
            <w:pPr>
              <w:pStyle w:val="5"/>
              <w:keepNext w:val="0"/>
              <w:keepLines w:val="0"/>
              <w:suppressLineNumbers w:val="0"/>
              <w:shd w:val="clear" w:color="auto" w:fill="auto"/>
              <w:spacing w:before="0" w:beforeLines="0" w:beforeAutospacing="0" w:after="0" w:afterLines="0" w:afterAutospacing="0" w:line="360" w:lineRule="exact"/>
              <w:ind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（三）未按照规定对从业人员、被派遣劳动者、实习学生进行安全生产教育和培训，或者未按照规定如实告知有关的安全生产事项的；</w:t>
            </w:r>
          </w:p>
          <w:p w14:paraId="63C99462">
            <w:pPr>
              <w:pStyle w:val="5"/>
              <w:keepNext w:val="0"/>
              <w:keepLines w:val="0"/>
              <w:suppressLineNumbers w:val="0"/>
              <w:shd w:val="clear" w:color="auto" w:fill="auto"/>
              <w:spacing w:before="0" w:beforeLines="0" w:beforeAutospacing="0" w:after="0" w:afterLines="0" w:afterAutospacing="0" w:line="360" w:lineRule="exact"/>
              <w:ind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（四）未如实记录安全生产教育和培训情况的；</w:t>
            </w:r>
          </w:p>
        </w:tc>
      </w:tr>
      <w:tr w14:paraId="304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838" w:type="dxa"/>
            <w:noWrap w:val="0"/>
            <w:vAlign w:val="center"/>
          </w:tcPr>
          <w:p w14:paraId="191ADC69">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2CB96776">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特种作业人员未按照规定经专门的安全作业培训并取得相应资格，上岗作业的。</w:t>
            </w:r>
          </w:p>
        </w:tc>
        <w:tc>
          <w:tcPr>
            <w:tcW w:w="5423" w:type="dxa"/>
            <w:noWrap w:val="0"/>
            <w:vAlign w:val="center"/>
          </w:tcPr>
          <w:p w14:paraId="6E8EF0DC">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31368E8">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（七）特种作业人员未按照规定经专门的安全作业培训并取得相应资格，上岗作业的。</w:t>
            </w:r>
          </w:p>
        </w:tc>
      </w:tr>
      <w:tr w14:paraId="2319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838" w:type="dxa"/>
            <w:noWrap w:val="0"/>
            <w:vAlign w:val="center"/>
          </w:tcPr>
          <w:p w14:paraId="3AC48C51">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6BFD4AF2">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未在有较大危险因素的生产经营场所和有关设施、设备上设置明显的安全警示标志的。</w:t>
            </w:r>
          </w:p>
        </w:tc>
        <w:tc>
          <w:tcPr>
            <w:tcW w:w="5423" w:type="dxa"/>
            <w:noWrap w:val="0"/>
            <w:vAlign w:val="center"/>
          </w:tcPr>
          <w:p w14:paraId="7B891B65">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0591FDC">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　（一）未在有较大危险因素的生产经营场所和有关设施、设备上设置明显的安全警示标志的；</w:t>
            </w:r>
          </w:p>
        </w:tc>
      </w:tr>
      <w:tr w14:paraId="2DCD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838" w:type="dxa"/>
            <w:noWrap w:val="0"/>
            <w:vAlign w:val="center"/>
          </w:tcPr>
          <w:p w14:paraId="10D22C07">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06AED295">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关闭、破坏直接关系生产安全的监控、报警、防护、救生设备、设施，或者篡改、隐瞒、销毁其相关数据、信息的。</w:t>
            </w:r>
          </w:p>
        </w:tc>
        <w:tc>
          <w:tcPr>
            <w:tcW w:w="5423" w:type="dxa"/>
            <w:noWrap w:val="0"/>
            <w:vAlign w:val="center"/>
          </w:tcPr>
          <w:p w14:paraId="63559664">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431A6CA">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（四）关闭、破坏直接关系生产安全的监控、报警、防护、救生设备、设施，或者篡改、隐瞒、销毁其相关数据、信息的；</w:t>
            </w:r>
          </w:p>
        </w:tc>
      </w:tr>
      <w:tr w14:paraId="4375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0" w:hRule="atLeast"/>
          <w:jc w:val="center"/>
        </w:trPr>
        <w:tc>
          <w:tcPr>
            <w:tcW w:w="838" w:type="dxa"/>
            <w:noWrap w:val="0"/>
            <w:vAlign w:val="center"/>
          </w:tcPr>
          <w:p w14:paraId="25BD112E">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42DE5889">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未为从业人员提供符合国家标准或者行业标准的劳动防护用品的。</w:t>
            </w:r>
          </w:p>
        </w:tc>
        <w:tc>
          <w:tcPr>
            <w:tcW w:w="5423" w:type="dxa"/>
            <w:noWrap w:val="0"/>
            <w:vAlign w:val="center"/>
          </w:tcPr>
          <w:p w14:paraId="2089BFFD">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8013E69">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（五）未为从业人员提供符合国家标准或者行业标准的劳动防护用品的；</w:t>
            </w:r>
          </w:p>
        </w:tc>
      </w:tr>
      <w:tr w14:paraId="0B54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jc w:val="center"/>
        </w:trPr>
        <w:tc>
          <w:tcPr>
            <w:tcW w:w="838" w:type="dxa"/>
            <w:noWrap w:val="0"/>
            <w:vAlign w:val="center"/>
          </w:tcPr>
          <w:p w14:paraId="29C37110">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351E3B90">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进行爆破、吊装、动火、临时用电以及国务院应急管理部门会同国务院有关部门规定的其他危险作业，未安排专门人员进行现场安全管理的。</w:t>
            </w:r>
          </w:p>
        </w:tc>
        <w:tc>
          <w:tcPr>
            <w:tcW w:w="5423" w:type="dxa"/>
            <w:noWrap w:val="0"/>
            <w:vAlign w:val="center"/>
          </w:tcPr>
          <w:p w14:paraId="582C3680">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6C58616">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（三）进行爆破、吊装、动火、临时用电以及国务院应急管理部门会同国务院有关部门规定的其他危险作业，未安排专门人员进行现场安全管理的；</w:t>
            </w:r>
          </w:p>
        </w:tc>
      </w:tr>
      <w:tr w14:paraId="25E1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838" w:type="dxa"/>
            <w:noWrap w:val="0"/>
            <w:vAlign w:val="center"/>
          </w:tcPr>
          <w:p w14:paraId="5FEB3E7F">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409B4B9E">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未建立事故隐患排查治理制度，或者重大事故隐患排查治理情况未按照规定报告的。</w:t>
            </w:r>
          </w:p>
        </w:tc>
        <w:tc>
          <w:tcPr>
            <w:tcW w:w="5423" w:type="dxa"/>
            <w:noWrap w:val="0"/>
            <w:vAlign w:val="center"/>
          </w:tcPr>
          <w:p w14:paraId="00E4F7DB">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4126CC6">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（五）未建立事故隐患排查治理制度，或者重大事故隐患排查治理情况未按照规定报告的。</w:t>
            </w:r>
          </w:p>
        </w:tc>
      </w:tr>
      <w:tr w14:paraId="10B7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838" w:type="dxa"/>
            <w:noWrap w:val="0"/>
            <w:vAlign w:val="center"/>
          </w:tcPr>
          <w:p w14:paraId="7A6B7167">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3FCAC5D5">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生产经营单位未采取措施消除事故隐患的。</w:t>
            </w:r>
          </w:p>
        </w:tc>
        <w:tc>
          <w:tcPr>
            <w:tcW w:w="5423" w:type="dxa"/>
            <w:noWrap w:val="0"/>
            <w:vAlign w:val="center"/>
          </w:tcPr>
          <w:p w14:paraId="09D30C77">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《中华人民共和国安全生产法》</w:t>
            </w:r>
            <w:r>
              <w:rPr>
                <w:rFonts w:hint="eastAsia"/>
                <w:color w:val="auto"/>
                <w:sz w:val="24"/>
                <w:szCs w:val="24"/>
                <w:highlight w:val="none"/>
                <w:lang w:val="en-US" w:eastAsia="zh-CN"/>
              </w:rPr>
              <w:t>第一百零二条生产经营单位未采取措施消除事故隐患的，责令立即消除或者限期消除，处五万元以下的罚款；生产经营单位拒不执行的，责令停产停业整顿； 对其直接负责的主管人员和其他直接责任人员处五万元以上十万元以下的罚款； 构成犯罪的，依照刑法有关规定追究刑事责任。 </w:t>
            </w:r>
          </w:p>
        </w:tc>
      </w:tr>
      <w:tr w14:paraId="26A4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38" w:type="dxa"/>
            <w:noWrap w:val="0"/>
            <w:vAlign w:val="center"/>
          </w:tcPr>
          <w:p w14:paraId="0B276D5C">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3677F4C9">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生产经营单位拒绝、阻碍负有安全生产监督管理职责的部门依法实施监督检查的。</w:t>
            </w:r>
          </w:p>
        </w:tc>
        <w:tc>
          <w:tcPr>
            <w:tcW w:w="5423" w:type="dxa"/>
            <w:noWrap w:val="0"/>
            <w:vAlign w:val="center"/>
          </w:tcPr>
          <w:p w14:paraId="0FBE45F8">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《中华人民共和国安全生产法》第一百零八条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r>
      <w:tr w14:paraId="0387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38" w:type="dxa"/>
            <w:noWrap w:val="0"/>
            <w:vAlign w:val="center"/>
          </w:tcPr>
          <w:p w14:paraId="6B6560E7">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eastAsia"/>
                <w:color w:val="auto"/>
                <w:sz w:val="24"/>
                <w:szCs w:val="24"/>
                <w:highlight w:val="none"/>
                <w:lang w:val="en-US" w:eastAsia="zh-CN"/>
              </w:rPr>
            </w:pPr>
          </w:p>
        </w:tc>
        <w:tc>
          <w:tcPr>
            <w:tcW w:w="2719" w:type="dxa"/>
            <w:noWrap w:val="0"/>
            <w:vAlign w:val="center"/>
          </w:tcPr>
          <w:p w14:paraId="49D3E087">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default"/>
                <w:color w:val="auto"/>
                <w:sz w:val="24"/>
                <w:szCs w:val="24"/>
                <w:highlight w:val="none"/>
                <w:lang w:val="en-US" w:eastAsia="zh-CN"/>
              </w:rPr>
            </w:pPr>
            <w:r>
              <w:rPr>
                <w:rFonts w:hint="eastAsia"/>
                <w:color w:val="auto"/>
                <w:sz w:val="24"/>
                <w:szCs w:val="24"/>
                <w:highlight w:val="none"/>
                <w:lang w:val="en-US" w:eastAsia="zh-CN"/>
              </w:rPr>
              <w:t>高危行业、领域的生产经营单位未按照国家规定投保安全生产责任保险的。</w:t>
            </w:r>
          </w:p>
        </w:tc>
        <w:tc>
          <w:tcPr>
            <w:tcW w:w="5423" w:type="dxa"/>
            <w:noWrap w:val="0"/>
            <w:vAlign w:val="center"/>
          </w:tcPr>
          <w:p w14:paraId="1C02369F">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r>
      <w:tr w14:paraId="76F3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838" w:type="dxa"/>
            <w:noWrap w:val="0"/>
            <w:vAlign w:val="center"/>
          </w:tcPr>
          <w:p w14:paraId="0AA5B9A6">
            <w:pPr>
              <w:pStyle w:val="5"/>
              <w:keepNext w:val="0"/>
              <w:keepLines w:val="0"/>
              <w:numPr>
                <w:ilvl w:val="0"/>
                <w:numId w:val="1"/>
              </w:numPr>
              <w:suppressLineNumbers w:val="0"/>
              <w:shd w:val="clear" w:color="auto" w:fill="auto"/>
              <w:spacing w:before="0" w:beforeLines="0" w:beforeAutospacing="0" w:after="0" w:afterLines="0" w:afterAutospacing="0" w:line="360" w:lineRule="exact"/>
              <w:ind w:left="0" w:right="0" w:firstLine="0" w:firstLineChars="0"/>
              <w:jc w:val="center"/>
              <w:rPr>
                <w:rFonts w:hint="default"/>
                <w:color w:val="auto"/>
                <w:sz w:val="24"/>
                <w:szCs w:val="24"/>
                <w:highlight w:val="none"/>
                <w:lang w:val="en-US" w:eastAsia="zh-CN"/>
              </w:rPr>
            </w:pPr>
          </w:p>
        </w:tc>
        <w:tc>
          <w:tcPr>
            <w:tcW w:w="2719" w:type="dxa"/>
            <w:noWrap w:val="0"/>
            <w:vAlign w:val="center"/>
          </w:tcPr>
          <w:p w14:paraId="143A16E7">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物业服务企业未及时对违法行为予以劝阻、未及时报告街道办事处或者有关职能部门的。</w:t>
            </w:r>
          </w:p>
        </w:tc>
        <w:tc>
          <w:tcPr>
            <w:tcW w:w="5423" w:type="dxa"/>
            <w:noWrap w:val="0"/>
            <w:vAlign w:val="center"/>
          </w:tcPr>
          <w:p w14:paraId="332E729C">
            <w:pPr>
              <w:pStyle w:val="5"/>
              <w:keepNext w:val="0"/>
              <w:keepLines w:val="0"/>
              <w:suppressLineNumbers w:val="0"/>
              <w:shd w:val="clear" w:color="auto" w:fill="auto"/>
              <w:spacing w:before="0" w:beforeLines="0" w:beforeAutospacing="0" w:after="0" w:afterLines="0" w:afterAutospacing="0" w:line="360" w:lineRule="exact"/>
              <w:ind w:left="0" w:right="0" w:firstLine="480" w:firstLineChars="200"/>
              <w:jc w:val="both"/>
              <w:rPr>
                <w:rFonts w:hint="eastAsia"/>
                <w:color w:val="auto"/>
                <w:sz w:val="24"/>
                <w:szCs w:val="24"/>
                <w:highlight w:val="none"/>
                <w:lang w:val="en-US" w:eastAsia="zh-CN"/>
              </w:rPr>
            </w:pPr>
            <w:r>
              <w:rPr>
                <w:rFonts w:hint="eastAsia"/>
                <w:color w:val="auto"/>
                <w:sz w:val="24"/>
                <w:szCs w:val="24"/>
                <w:highlight w:val="none"/>
                <w:lang w:val="en-US" w:eastAsia="zh-CN"/>
              </w:rPr>
              <w:t>《深圳经济特区物业管理条例》第一百一十四条 物业服务企业有下列情形之一的，由区住房和建设部门给予警告，并责令限期改正；逾期未改正的，处二万元以上五万元以下罚款：（八）违反本条例第七十九条第二款规定，未及时对违法行为予以劝阻、未及时报告街道办事处或者有关职能部门。</w:t>
            </w:r>
            <w:bookmarkStart w:id="0" w:name="_GoBack"/>
            <w:bookmarkEnd w:id="0"/>
          </w:p>
        </w:tc>
      </w:tr>
    </w:tbl>
    <w:p w14:paraId="27A84910">
      <w:pPr>
        <w:jc w:val="both"/>
        <w:rPr>
          <w:rFonts w:hint="eastAsia" w:ascii="方正小标宋_GBK" w:hAnsi="方正小标宋_GBK" w:eastAsia="方正小标宋_GBK" w:cs="方正小标宋_GBK"/>
          <w:b w:val="0"/>
          <w:bCs/>
          <w:color w:val="auto"/>
          <w:sz w:val="44"/>
          <w:szCs w:val="4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B3CD"/>
    <w:multiLevelType w:val="multilevel"/>
    <w:tmpl w:val="FDBEB3CD"/>
    <w:lvl w:ilvl="0" w:tentative="0">
      <w:start w:val="1"/>
      <w:numFmt w:val="decimal"/>
      <w:suff w:val="nothing"/>
      <w:lvlText w:val="%1"/>
      <w:lvlJc w:val="center"/>
      <w:pPr>
        <w:tabs>
          <w:tab w:val="left" w:pos="0"/>
        </w:tabs>
        <w:ind w:left="0" w:firstLine="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FE26880D"/>
    <w:multiLevelType w:val="multilevel"/>
    <w:tmpl w:val="FE26880D"/>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6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图"/>
    <w:qFormat/>
    <w:uiPriority w:val="0"/>
    <w:pPr>
      <w:widowControl w:val="0"/>
      <w:spacing w:line="240" w:lineRule="atLeast"/>
      <w:ind w:firstLine="0" w:firstLineChars="0"/>
      <w:jc w:val="center"/>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2025-06-03T06:54:06Z</dcterms:created>
  <dc:creator>Admin1</dc:creator>
  <cp:lastModifiedBy>か葉葉&amp; </cp:lastModifiedBy>
  <dcterms:modified xsi:type="dcterms:W3CDTF">2025-06-03T06:56:15Z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eyJoZGlkIjoiZDRlMjcxYzhhZjkyY2RhODhmMTk2NGI1NzdmYWFhYTkiLCJ1c2VySWQiOiI4OTE0MDE2NDYifQ==</vt:lpwstr>
  </property>
  <property fmtid="{D5CDD505-2E9C-101B-9397-08002B2CF9AE}" pid="4" name="ICV">
    <vt:lpwstr>DF3316CA011F4C5B84C4334F163AD390_12</vt:lpwstr>
  </property>
</Properties>
</file>