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9" w:leftChars="-95"/>
        <w:jc w:val="left"/>
        <w:rPr>
          <w:rFonts w:hint="eastAsia" w:ascii="仿宋_GB2312" w:hAnsi="黑体" w:eastAsia="仿宋_GB2312" w:cs="黑体"/>
          <w:sz w:val="32"/>
          <w:szCs w:val="32"/>
        </w:rPr>
      </w:pPr>
      <w:bookmarkStart w:id="0" w:name="_GoBack"/>
      <w:r>
        <w:rPr>
          <w:rFonts w:hint="eastAsia" w:ascii="仿宋_GB2312" w:hAnsi="黑体" w:eastAsia="仿宋_GB2312" w:cs="黑体"/>
          <w:sz w:val="32"/>
          <w:szCs w:val="32"/>
        </w:rPr>
        <w:t>附件</w:t>
      </w:r>
    </w:p>
    <w:p>
      <w:pPr>
        <w:ind w:left="-199" w:leftChars="-95"/>
        <w:jc w:val="center"/>
        <w:rPr>
          <w:rFonts w:ascii="黑体" w:hAnsi="黑体" w:eastAsia="黑体" w:cs="黑体"/>
          <w:sz w:val="44"/>
          <w:szCs w:val="44"/>
        </w:rPr>
      </w:pPr>
      <w:r>
        <w:rPr>
          <w:rFonts w:hint="eastAsia" w:ascii="黑体" w:hAnsi="黑体" w:eastAsia="黑体" w:cs="黑体"/>
          <w:sz w:val="44"/>
          <w:szCs w:val="44"/>
        </w:rPr>
        <w:t>盐田区政务服务中心基础设施及党群智能化设备运维服务项目设备清单</w:t>
      </w:r>
    </w:p>
    <w:bookmarkEnd w:id="0"/>
    <w:p>
      <w:pPr>
        <w:rPr>
          <w:sz w:val="22"/>
          <w:szCs w:val="28"/>
        </w:rPr>
      </w:pPr>
    </w:p>
    <w:p>
      <w:pPr>
        <w:pStyle w:val="4"/>
        <w:numPr>
          <w:ilvl w:val="1"/>
          <w:numId w:val="0"/>
        </w:numPr>
        <w:spacing w:before="234" w:after="234"/>
      </w:pPr>
      <w:r>
        <w:rPr>
          <w:rFonts w:hint="eastAsia"/>
        </w:rPr>
        <w:t>1、党群智能化设备</w:t>
      </w:r>
    </w:p>
    <w:tbl>
      <w:tblPr>
        <w:tblStyle w:val="11"/>
        <w:tblW w:w="9557" w:type="dxa"/>
        <w:tblInd w:w="-530" w:type="dxa"/>
        <w:tblLayout w:type="fixed"/>
        <w:tblCellMar>
          <w:top w:w="0" w:type="dxa"/>
          <w:left w:w="108" w:type="dxa"/>
          <w:bottom w:w="0" w:type="dxa"/>
          <w:right w:w="108" w:type="dxa"/>
        </w:tblCellMar>
      </w:tblPr>
      <w:tblGrid>
        <w:gridCol w:w="1042"/>
        <w:gridCol w:w="986"/>
        <w:gridCol w:w="1743"/>
        <w:gridCol w:w="3471"/>
        <w:gridCol w:w="1158"/>
        <w:gridCol w:w="1157"/>
      </w:tblGrid>
      <w:tr>
        <w:tblPrEx>
          <w:tblCellMar>
            <w:top w:w="0" w:type="dxa"/>
            <w:left w:w="108" w:type="dxa"/>
            <w:bottom w:w="0" w:type="dxa"/>
            <w:right w:w="108" w:type="dxa"/>
          </w:tblCellMar>
        </w:tblPrEx>
        <w:trPr>
          <w:trHeight w:val="324" w:hRule="atLeast"/>
        </w:trPr>
        <w:tc>
          <w:tcPr>
            <w:tcW w:w="1042"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系统</w:t>
            </w:r>
          </w:p>
        </w:tc>
        <w:tc>
          <w:tcPr>
            <w:tcW w:w="986"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序号</w:t>
            </w:r>
          </w:p>
        </w:tc>
        <w:tc>
          <w:tcPr>
            <w:tcW w:w="1743" w:type="dxa"/>
            <w:tcBorders>
              <w:top w:val="single" w:color="000000" w:sz="4" w:space="0"/>
              <w:left w:val="single" w:color="000000" w:sz="4" w:space="0"/>
              <w:bottom w:val="single" w:color="000000" w:sz="4" w:space="0"/>
              <w:right w:val="single" w:color="000000" w:sz="4" w:space="0"/>
            </w:tcBorders>
            <w:shd w:val="clear" w:color="auto" w:fill="C4D79B"/>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设备名称</w:t>
            </w:r>
          </w:p>
        </w:tc>
        <w:tc>
          <w:tcPr>
            <w:tcW w:w="3471" w:type="dxa"/>
            <w:tcBorders>
              <w:top w:val="single" w:color="000000" w:sz="4" w:space="0"/>
              <w:left w:val="single" w:color="000000" w:sz="4" w:space="0"/>
              <w:bottom w:val="single" w:color="000000" w:sz="4" w:space="0"/>
              <w:right w:val="single" w:color="000000" w:sz="4" w:space="0"/>
            </w:tcBorders>
            <w:shd w:val="clear" w:color="auto" w:fill="C4D79B"/>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型号</w:t>
            </w:r>
          </w:p>
        </w:tc>
        <w:tc>
          <w:tcPr>
            <w:tcW w:w="1158"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数量</w:t>
            </w:r>
          </w:p>
        </w:tc>
        <w:tc>
          <w:tcPr>
            <w:tcW w:w="1157" w:type="dxa"/>
            <w:tcBorders>
              <w:top w:val="single" w:color="000000" w:sz="4" w:space="0"/>
              <w:left w:val="single" w:color="000000" w:sz="4" w:space="0"/>
              <w:bottom w:val="single" w:color="000000" w:sz="4" w:space="0"/>
              <w:right w:val="single" w:color="000000" w:sz="4" w:space="0"/>
            </w:tcBorders>
            <w:shd w:val="clear" w:color="auto" w:fill="C4D79B"/>
            <w:noWrap/>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单位</w:t>
            </w:r>
          </w:p>
        </w:tc>
      </w:tr>
      <w:tr>
        <w:tblPrEx>
          <w:tblCellMar>
            <w:top w:w="0" w:type="dxa"/>
            <w:left w:w="108" w:type="dxa"/>
            <w:bottom w:w="0" w:type="dxa"/>
            <w:right w:w="108"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ind w:firstLine="440" w:firstLineChars="200"/>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一楼弱电系统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设备间机柜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1）32U，800*800*1600；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光纤配线架</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1）12口光纤盒；2）含光纤适配器；</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SMB-MS4024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H3CS1209F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TL-SL1218PE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无线AP</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TL-HDAP2600C-POE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TL-SG1210P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TP-link TL-SG1210PE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一楼会议系统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86寸一体机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CPU：I5，RK3288 ,四核；内存：2G DD3(最大支持4G）；储存：16G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会议音箱/支架</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TS-606H</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T-521UV</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调音台(12路数字K输出带2编组调音台）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TS-12P-2S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话筒前级处理器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TS-211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WIFI会议集成主机</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酷比魔方i7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TS-35B</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中控主机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TS-9100D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电源管理器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无线路由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C403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6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ind w:firstLine="440" w:firstLineChars="200"/>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一楼多媒体系统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360°全息柜及播放主机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1.8米*1.8米，全息展柜</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大厅顶面S形屏</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P3室内全彩“S型”异型LED显示屏</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S屏视频处理器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KS8000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P3 LED显示屏</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P3室内全彩LED显示屏</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视频处理器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KS910P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播放主机（含显示器）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i5/ 8GB/120G/独立显卡</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55寸触摸式一体机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 I5/ 4G/120G 电脑内/win操作系统</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55寸触摸式落地广告机含支架</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 I5/ 4G/120G 电脑内/win操作系统</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弱电系统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设备间机柜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32U，800*800*1600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H3CS1209F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H3CMS4024P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TL-SL1210PE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S5720-12TP—PWR-LI-AC</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TP-link TL-SL1218PC</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无线AP</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TL-HDAP2600C-POE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r>
      <w:tr>
        <w:tblPrEx>
          <w:tblCellMar>
            <w:top w:w="0" w:type="dxa"/>
            <w:left w:w="108" w:type="dxa"/>
            <w:bottom w:w="0" w:type="dxa"/>
            <w:right w:w="108" w:type="dxa"/>
          </w:tblCellMar>
        </w:tblPrEx>
        <w:trPr>
          <w:trHeight w:val="33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二楼中央会议室</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H3CS1209F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8口POE供电交换机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TS-W113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主音箱及支架</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TS-615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辅助音箱及支架</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TS-612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低音音箱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TS-618S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返听音箱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TS-612F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主功放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TS-700PI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辅助功放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TS-500PI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低音功放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TA-2900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返听功放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TS-500PI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二楼中央会议室</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T-521UV</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调音台(12路数字K输出带2编组调音台）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TS-16P-4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音频处理器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TS-P880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均衡器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TS-830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中控主机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TS-9100D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电源控制箱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路由器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C403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高清矩阵</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TS-9408UHM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双绞线传输收发器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TS-9506HDT/TS-9506HDR</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横屏转换发送器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微软雅黑" w:hAnsi="微软雅黑" w:eastAsia="微软雅黑" w:cs="微软雅黑"/>
                <w:color w:val="000000"/>
                <w:sz w:val="20"/>
                <w:szCs w:val="20"/>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横屏转换接收器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微软雅黑" w:hAnsi="微软雅黑" w:eastAsia="微软雅黑" w:cs="微软雅黑"/>
                <w:color w:val="000000"/>
                <w:sz w:val="20"/>
                <w:szCs w:val="20"/>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酷比魔方i7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765"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二楼共享空间</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86寸一体机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CPU：I5，RK3288 ,四核；内存：2G DD3(最大支持4G）；储存：16G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H3CS1209F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8口POE供电交换机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TS-W113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TS-606H</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T-521UV</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调音台(12路数字K输出带2编组调音台）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TS-12P-2S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话筒前级处理器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TS-211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电源控制箱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路由器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C403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酷比魔方i7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高清混合矩阵</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TS-9408UHM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双绞线传输收发器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TS-9506HDT/TS-9506HDR</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二楼小功能厅</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86寸一体机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CPU：I5，RK3288 ,四核；内存：2G DD3(最大支持4G）；储存：16G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TS-606H</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TS-200PI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TS-35B</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T-521UV</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调音台(12路数字K输出带2编组调音台）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TS-12P-2S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话筒前级处理器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TS-211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705"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adjustRightInd w:val="0"/>
              <w:snapToGrid w:val="0"/>
              <w:jc w:val="center"/>
              <w:textAlignment w:val="top"/>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t>二楼中型功能厅</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86寸一体机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CPU：I5，RK3288 ,四核；内存：2G DD3(最大支持4G）；储存：16G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POE供电交换机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TS-W113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TS-608A</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T-521UV</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调音台(12路数字K输出带2编组调音台）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TS-12P-2S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话筒前级处理器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TS-P88D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中控主机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TS-9100D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电源控制箱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路由器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C403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酷比魔方i7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90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ind w:firstLine="880" w:firstLineChars="400"/>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多媒体系统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主屏LED显示屏</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(1)P3全彩 9*2.5米；最大亮度:&gt;1200cd/㎡；校正后亮度:&gt;1000cd/㎡(6500K°</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副屏LED显示屏</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(1)P3全彩 3.6*2米；最大亮度:&gt;1200cd/㎡；校正后亮度:&gt;1000cd/㎡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LED视频处理器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KS920P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主屏播放主机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i5/ 8GB/120G/独立显卡</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2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76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55寸壁挂式一体机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分辨率 1920*1080 亮度 400-450cd/m 2；电脑主板 H81 CPU I5；电脑硬盘 120G 电脑内存 4G，win操作系统</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2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48" w:hRule="atLeast"/>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第三层</w:t>
            </w:r>
          </w:p>
        </w:tc>
      </w:tr>
      <w:tr>
        <w:tblPrEx>
          <w:tblCellMar>
            <w:top w:w="0" w:type="dxa"/>
            <w:left w:w="108" w:type="dxa"/>
            <w:bottom w:w="0" w:type="dxa"/>
            <w:right w:w="108"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弱电系统/三楼存储间</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设备间机柜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32U</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H3CS1209F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H3CMS4024P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TL-SG1210PE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TL-SL1218PE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3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br w:type="textWrapping"/>
            </w:r>
            <w:r>
              <w:rPr>
                <w:rFonts w:hint="eastAsia" w:ascii="微软雅黑" w:hAnsi="微软雅黑" w:eastAsia="微软雅黑" w:cs="微软雅黑"/>
                <w:b/>
                <w:bCs/>
                <w:color w:val="000000"/>
                <w:kern w:val="0"/>
                <w:sz w:val="22"/>
                <w:szCs w:val="22"/>
                <w:lang w:bidi="ar"/>
              </w:rPr>
              <w:t>弱电系统/三楼设备间</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操作间机柜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32U</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H3CS5120V2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H3CS1200-8F</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TL-SG1210PE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TL-SG1218PE</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路由器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TL-ER7520G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AC控制器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TL-AC300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IP网络音频采集终端</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T-7770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监听音箱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T-7707</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对</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加密狗</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left"/>
              <w:rPr>
                <w:rFonts w:ascii="微软雅黑" w:hAnsi="微软雅黑" w:eastAsia="微软雅黑" w:cs="微软雅黑"/>
                <w:color w:val="000000"/>
                <w:sz w:val="20"/>
                <w:szCs w:val="20"/>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个</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CD播放器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T-6221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前置放大器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T-6201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电源时序器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T-6216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消防报警采集器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T-7723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T-7760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远程会议电视终端</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HUAWEI TX50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三联操作台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KRT-CZTP03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张</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工作站（含键盘鼠标）</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戴尔/I5/8GB内存/1T硬盘/显示器21寸</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远程会议高清摄像机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HUAWEI VPC800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H3C MS4024P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解码器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 EC 6108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会议系统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会议机柜</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24U铝镁机柜600*600*1400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会议主机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无线桌面话筒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TS-W101A/TS-W101/TS358</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数字反馈抑制器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TS-234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无线单元十口充电箱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TS-W180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交换机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TS-W113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无线话筒</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T-521UH</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功放</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TS-350PI</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DVD播放机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SA-006</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12路数字K输出带2编组调音台</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TS-12P-2S</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话筒前级处理器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TS-211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时序电源</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TS-820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网络中控主机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TS-9100D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路由器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C403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8路手动、自动电源控制箱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TS-9101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高清矩阵</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TS-9416UHM</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双绞线传输收发器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TS-9506HDT/TS-9506HDR</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酷派JDN-W09D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音箱</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TS-608A</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900"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adjustRightInd w:val="0"/>
              <w:snapToGrid w:val="0"/>
              <w:jc w:val="center"/>
              <w:textAlignment w:val="center"/>
              <w:rPr>
                <w:rFonts w:ascii="微软雅黑" w:hAnsi="微软雅黑" w:eastAsia="微软雅黑" w:cs="微软雅黑"/>
                <w:b/>
                <w:bCs/>
                <w:color w:val="000000"/>
                <w:sz w:val="22"/>
                <w:szCs w:val="22"/>
              </w:rPr>
            </w:pPr>
            <w:r>
              <w:rPr>
                <w:rFonts w:hint="eastAsia" w:ascii="微软雅黑" w:hAnsi="微软雅黑" w:eastAsia="微软雅黑" w:cs="微软雅黑"/>
                <w:b/>
                <w:bCs/>
                <w:color w:val="000000"/>
                <w:kern w:val="0"/>
                <w:sz w:val="22"/>
                <w:szCs w:val="22"/>
                <w:lang w:bidi="ar"/>
              </w:rPr>
              <w:t>多媒体系统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主屏LED显示屏</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P3 全彩 直径4米；最大亮度:&gt;1200cd/㎡；校正后亮度:&gt;1000cd/㎡(6500K°色温下,校正后)；</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9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LED视频处理器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信号输入接口；远程RS-232、USB、TCP/IP控制   KS910P</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圆形LED屏播放主机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 酷睿i5；内存:DDR4 8GB；硬盘容量:固态128G；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显示设备</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82寸LCD透明屏拼接单元；(2)2*2拼接含钢化玻璃 </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4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液晶橱窗播放主机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戴尔/I5/8GB内存/1T硬盘/显示器21寸</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55寸透明液晶拼接单元</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1X4拼接 </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4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块</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展示墙透明屏播放主机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戴尔/I5/8GB内存/1T硬盘/显示器21寸</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799"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动态画廊播放主机</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CPU:Intel 酷睿i7；内存:DDR4 8GB；硬盘容量:固态128G；</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55寸接近式触摸屏</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双系统操作（windows和安卓），带无线网卡</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4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块</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55寸移动透明屏</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定制移动透明屏</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块</w:t>
            </w:r>
          </w:p>
        </w:tc>
      </w:tr>
      <w:tr>
        <w:tblPrEx>
          <w:tblCellMar>
            <w:top w:w="0" w:type="dxa"/>
            <w:left w:w="108" w:type="dxa"/>
            <w:bottom w:w="0" w:type="dxa"/>
            <w:right w:w="108" w:type="dxa"/>
          </w:tblCellMar>
        </w:tblPrEx>
        <w:trPr>
          <w:trHeight w:val="1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移动轨道及步进电机（订制）</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定制滑行轨道（4米）、传感器、控制主机等组成，对感应位移的探测可以精确到毫米；导轨接触良好、压力均匀、跟踪灵活，控制识别系统反应灵敏；</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套</w:t>
            </w:r>
          </w:p>
        </w:tc>
      </w:tr>
      <w:tr>
        <w:tblPrEx>
          <w:tblCellMar>
            <w:top w:w="0" w:type="dxa"/>
            <w:left w:w="108" w:type="dxa"/>
            <w:bottom w:w="0" w:type="dxa"/>
            <w:right w:w="108" w:type="dxa"/>
          </w:tblCellMar>
        </w:tblPrEx>
        <w:trPr>
          <w:trHeight w:val="54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荣誉墙播放主机</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CPU:Intel 酷睿i7；内存:DDR4 8GB；硬盘容量:固态128G；</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P2 LED显示屏</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P2真彩色LED屏</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51"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播放主机</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CPU:Intel 酷睿i5；内存:DDR4 8GB；硬盘容量:固态128G；</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74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音频功率放大器</w:t>
            </w:r>
          </w:p>
        </w:tc>
        <w:tc>
          <w:tcPr>
            <w:tcW w:w="347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AS-8001B</w:t>
            </w:r>
          </w:p>
        </w:tc>
        <w:tc>
          <w:tcPr>
            <w:tcW w:w="115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60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46寸立式一体机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 对比度：3000:1；分辨率：1920×1080mm;I5/8G/120G固态</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2020"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投影机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1）亮度：6000流明；对比度：10000：1；标准分辨率：1920×1200</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2）光源功率：370W；变焦方式：电动变焦；梯形校正：边角校正，水平和垂直梯形校正</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产品尺寸：498×167×437mm；重量：11.1Kg</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2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123"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投影机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小明光峰S2/3D?3600流明/4K高清</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2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213"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苹果ipad MR7F2ch/A</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274"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平板电脑</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酷派JDN-W09D</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1 </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48" w:hRule="atLeast"/>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第四层</w:t>
            </w:r>
          </w:p>
        </w:tc>
      </w:tr>
      <w:tr>
        <w:tblPrEx>
          <w:tblCellMar>
            <w:top w:w="0" w:type="dxa"/>
            <w:left w:w="108" w:type="dxa"/>
            <w:bottom w:w="0" w:type="dxa"/>
            <w:right w:w="108" w:type="dxa"/>
          </w:tblCellMar>
        </w:tblPrEx>
        <w:trPr>
          <w:trHeight w:val="312"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监视器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21寸</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1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adjustRightInd w:val="0"/>
              <w:snapToGrid w:val="0"/>
              <w:jc w:val="center"/>
              <w:rPr>
                <w:rFonts w:ascii="微软雅黑" w:hAnsi="微软雅黑" w:eastAsia="微软雅黑" w:cs="微软雅黑"/>
                <w:b/>
                <w:bCs/>
                <w:color w:val="000000"/>
                <w:sz w:val="22"/>
                <w:szCs w:val="22"/>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解码器</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16路解码器</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台</w:t>
            </w:r>
          </w:p>
        </w:tc>
      </w:tr>
      <w:tr>
        <w:tblPrEx>
          <w:tblCellMar>
            <w:top w:w="0" w:type="dxa"/>
            <w:left w:w="108" w:type="dxa"/>
            <w:bottom w:w="0" w:type="dxa"/>
            <w:right w:w="108" w:type="dxa"/>
          </w:tblCellMar>
        </w:tblPrEx>
        <w:trPr>
          <w:trHeight w:val="348" w:hRule="atLeast"/>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三楼机房基础设施</w:t>
            </w:r>
          </w:p>
        </w:tc>
      </w:tr>
      <w:tr>
        <w:tblPrEx>
          <w:tblCellMar>
            <w:top w:w="0" w:type="dxa"/>
            <w:left w:w="108" w:type="dxa"/>
            <w:bottom w:w="0" w:type="dxa"/>
            <w:right w:w="108" w:type="dxa"/>
          </w:tblCellMar>
        </w:tblPrEx>
        <w:trPr>
          <w:trHeight w:val="645"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widowControl/>
              <w:adjustRightInd w:val="0"/>
              <w:snapToGrid w:val="0"/>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三楼机房基础设施</w:t>
            </w: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UPS主机</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艾默生ITA2 20KVA（含备件更换）</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645"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0"/>
                <w:szCs w:val="20"/>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精密空调</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艾默生DME12.5kw（含备件更换）</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108" w:type="dxa"/>
            <w:bottom w:w="0" w:type="dxa"/>
            <w:right w:w="108" w:type="dxa"/>
          </w:tblCellMar>
        </w:tblPrEx>
        <w:trPr>
          <w:trHeight w:val="645"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0"/>
                <w:szCs w:val="20"/>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无管网气体系统</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含消防主机、烟感温感，七氟丙烷气瓶，不含专项测试</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645"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adjustRightInd w:val="0"/>
              <w:snapToGrid w:val="0"/>
              <w:jc w:val="center"/>
              <w:rPr>
                <w:rFonts w:ascii="微软雅黑" w:hAnsi="微软雅黑" w:eastAsia="微软雅黑" w:cs="微软雅黑"/>
                <w:b/>
                <w:bCs/>
                <w:color w:val="000000"/>
                <w:sz w:val="20"/>
                <w:szCs w:val="20"/>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动环系统</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共济含温湿度传感器、电池监控等末端，UPS及空调监控</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108" w:type="dxa"/>
            <w:bottom w:w="0" w:type="dxa"/>
            <w:right w:w="108" w:type="dxa"/>
          </w:tblCellMar>
        </w:tblPrEx>
        <w:trPr>
          <w:trHeight w:val="348" w:hRule="atLeast"/>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区级党群服务中心会场终端 （含社会组织和非公组织分会场终端 ）</w:t>
            </w:r>
          </w:p>
        </w:tc>
      </w:tr>
      <w:tr>
        <w:tblPrEx>
          <w:tblCellMar>
            <w:top w:w="0" w:type="dxa"/>
            <w:left w:w="108" w:type="dxa"/>
            <w:bottom w:w="0" w:type="dxa"/>
            <w:right w:w="108" w:type="dxa"/>
          </w:tblCellMar>
        </w:tblPrEx>
        <w:trPr>
          <w:trHeight w:val="36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多方会议系统</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多点控制单元MCU</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jc w:val="left"/>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华为VP9660</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台</w:t>
            </w:r>
          </w:p>
        </w:tc>
      </w:tr>
    </w:tbl>
    <w:p/>
    <w:p>
      <w:pPr>
        <w:rPr>
          <w:sz w:val="22"/>
          <w:szCs w:val="28"/>
        </w:rPr>
      </w:pPr>
    </w:p>
    <w:p>
      <w:pPr>
        <w:pStyle w:val="4"/>
        <w:widowControl/>
        <w:numPr>
          <w:ilvl w:val="0"/>
          <w:numId w:val="1"/>
        </w:numPr>
        <w:spacing w:before="234" w:beforeLines="75" w:after="234" w:afterLines="75" w:line="360" w:lineRule="auto"/>
        <w:jc w:val="left"/>
      </w:pPr>
      <w:r>
        <w:rPr>
          <w:rFonts w:hint="eastAsia"/>
        </w:rPr>
        <w:t>基础设施运维设备清单：</w:t>
      </w:r>
    </w:p>
    <w:tbl>
      <w:tblPr>
        <w:tblStyle w:val="11"/>
        <w:tblW w:w="9893" w:type="dxa"/>
        <w:jc w:val="center"/>
        <w:tblLayout w:type="autofit"/>
        <w:tblCellMar>
          <w:top w:w="0" w:type="dxa"/>
          <w:left w:w="108" w:type="dxa"/>
          <w:bottom w:w="0" w:type="dxa"/>
          <w:right w:w="108" w:type="dxa"/>
        </w:tblCellMar>
      </w:tblPr>
      <w:tblGrid>
        <w:gridCol w:w="1275"/>
        <w:gridCol w:w="519"/>
        <w:gridCol w:w="1115"/>
        <w:gridCol w:w="1141"/>
        <w:gridCol w:w="1843"/>
        <w:gridCol w:w="555"/>
        <w:gridCol w:w="519"/>
        <w:gridCol w:w="1132"/>
        <w:gridCol w:w="897"/>
        <w:gridCol w:w="897"/>
      </w:tblGrid>
      <w:tr>
        <w:tblPrEx>
          <w:tblCellMar>
            <w:top w:w="0" w:type="dxa"/>
            <w:left w:w="108" w:type="dxa"/>
            <w:bottom w:w="0" w:type="dxa"/>
            <w:right w:w="108" w:type="dxa"/>
          </w:tblCellMar>
        </w:tblPrEx>
        <w:trPr>
          <w:trHeight w:val="321"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位置</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序号</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设备分类</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设备名称</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设备型号</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数量</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单位</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启用时间</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标准年限</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D6E3BB"/>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剩余年限</w:t>
            </w:r>
          </w:p>
        </w:tc>
      </w:tr>
      <w:tr>
        <w:tblPrEx>
          <w:tblCellMar>
            <w:top w:w="0" w:type="dxa"/>
            <w:left w:w="108" w:type="dxa"/>
            <w:bottom w:w="0" w:type="dxa"/>
            <w:right w:w="108" w:type="dxa"/>
          </w:tblCellMar>
        </w:tblPrEx>
        <w:trPr>
          <w:trHeight w:val="359"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D6E3BB"/>
            <w:vAlign w:val="center"/>
          </w:tcPr>
          <w:p>
            <w:pPr>
              <w:jc w:val="center"/>
              <w:rPr>
                <w:rFonts w:ascii="宋体" w:hAnsi="宋体" w:cs="宋体"/>
                <w:b/>
                <w:color w:val="000000"/>
                <w:szCs w:val="21"/>
              </w:rPr>
            </w:pP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行政中心负1楼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电力系统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UPS主机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伊顿93E 100KVA</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0年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行政中心负1楼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UPS蓄电池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松下LC-PH12375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144</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2020年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图书馆3 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UPS主机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艾默生UHA3R- 0300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0年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工青妇大厅</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4</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电子屏幕</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工青妇LED屏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大族元亨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2013年12月</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0年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行政大厅</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5</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行政中心LED屏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联建光电</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2013年3月</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0年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工青妇19楼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制冷系统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世图兹ASD541A</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4</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2021年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77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工青妇负2楼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世图兹CCU121A-0210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2021年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档案馆4 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8</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艾默生DME12MCP1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行政中心负1楼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9</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世图兹SCF121A2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行政中心负1楼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世图兹SCF121A2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2019年6月</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行政中心负1楼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11</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挂机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格力KFR-50GW</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0年</w:t>
            </w:r>
          </w:p>
        </w:tc>
      </w:tr>
      <w:tr>
        <w:tblPrEx>
          <w:tblCellMar>
            <w:top w:w="0" w:type="dxa"/>
            <w:left w:w="108" w:type="dxa"/>
            <w:bottom w:w="0" w:type="dxa"/>
            <w:right w:w="108" w:type="dxa"/>
          </w:tblCellMar>
        </w:tblPrEx>
        <w:trPr>
          <w:trHeight w:val="63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行政中心6楼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12</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精密空调</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世图兹CPD321A</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3</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2019年6月</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77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工青妇负2楼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13</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Cs w:val="21"/>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天花机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格力KF-72W/tNhI02-3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2017年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7年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5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行政中心6楼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Cs w:val="21"/>
              </w:rPr>
            </w:pPr>
            <w:r>
              <w:rPr>
                <w:rFonts w:hint="eastAsia" w:ascii="宋体" w:hAnsi="宋体" w:eastAsia="宋体" w:cs="宋体"/>
                <w:b/>
                <w:color w:val="000000"/>
                <w:kern w:val="0"/>
                <w:szCs w:val="21"/>
                <w:lang w:bidi="ar"/>
              </w:rPr>
              <w:t>动环系统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机房环境监控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共济科技</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2018年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72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工青妇负2楼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15</w:t>
            </w:r>
          </w:p>
        </w:tc>
        <w:tc>
          <w:tcPr>
            <w:tcW w:w="111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电力系统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静态切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换开关</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施耐德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UPSILONsTS100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2009年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10年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eastAsia="宋体" w:cs="宋体"/>
                <w:color w:val="000000"/>
                <w:kern w:val="0"/>
                <w:sz w:val="22"/>
                <w:szCs w:val="22"/>
                <w:lang w:bidi="ar"/>
              </w:rPr>
              <w:t>0年</w:t>
            </w:r>
          </w:p>
        </w:tc>
      </w:tr>
      <w:tr>
        <w:tblPrEx>
          <w:tblCellMar>
            <w:top w:w="0" w:type="dxa"/>
            <w:left w:w="108" w:type="dxa"/>
            <w:bottom w:w="0" w:type="dxa"/>
            <w:right w:w="108" w:type="dxa"/>
          </w:tblCellMar>
        </w:tblPrEx>
        <w:trPr>
          <w:trHeight w:val="65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工青妇负</w:t>
            </w:r>
          </w:p>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11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UPS</w:t>
            </w:r>
          </w:p>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主机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华为UPS5000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2023年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6年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89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工青妇负</w:t>
            </w:r>
          </w:p>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11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100AH电池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松下 LC-QA系列12V 100AH</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192</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2023年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eastAsia="宋体" w:cs="宋体"/>
                <w:color w:val="000000"/>
                <w:kern w:val="0"/>
                <w:szCs w:val="21"/>
                <w:lang w:bidi="ar"/>
              </w:rPr>
              <w:t>年</w:t>
            </w:r>
          </w:p>
        </w:tc>
      </w:tr>
      <w:tr>
        <w:tblPrEx>
          <w:tblCellMar>
            <w:top w:w="0" w:type="dxa"/>
            <w:left w:w="108" w:type="dxa"/>
            <w:bottom w:w="0" w:type="dxa"/>
            <w:right w:w="108" w:type="dxa"/>
          </w:tblCellMar>
        </w:tblPrEx>
        <w:trPr>
          <w:trHeight w:val="65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档案馆机房</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1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电池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松下 LC-QA系列12V 65AH</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64</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2023年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eastAsia="宋体" w:cs="宋体"/>
                <w:color w:val="000000"/>
                <w:kern w:val="0"/>
                <w:szCs w:val="21"/>
                <w:lang w:bidi="ar"/>
              </w:rPr>
              <w:t>5年</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eastAsia="宋体" w:cs="宋体"/>
                <w:color w:val="000000"/>
                <w:kern w:val="0"/>
                <w:szCs w:val="21"/>
                <w:lang w:bidi="ar"/>
              </w:rPr>
              <w:t>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FD0C4"/>
    <w:multiLevelType w:val="singleLevel"/>
    <w:tmpl w:val="3EAFD0C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3E"/>
    <w:rsid w:val="002146AC"/>
    <w:rsid w:val="00263CB3"/>
    <w:rsid w:val="007F4DF1"/>
    <w:rsid w:val="009E44CB"/>
    <w:rsid w:val="00A2098F"/>
    <w:rsid w:val="00BF2AAC"/>
    <w:rsid w:val="00DA6D1C"/>
    <w:rsid w:val="00F2303E"/>
    <w:rsid w:val="00F3789C"/>
    <w:rsid w:val="01187EF0"/>
    <w:rsid w:val="01531C14"/>
    <w:rsid w:val="016E0399"/>
    <w:rsid w:val="018E7DE4"/>
    <w:rsid w:val="027613DD"/>
    <w:rsid w:val="02773A01"/>
    <w:rsid w:val="028143A1"/>
    <w:rsid w:val="02B91AA7"/>
    <w:rsid w:val="02F720A1"/>
    <w:rsid w:val="034A498F"/>
    <w:rsid w:val="0425193C"/>
    <w:rsid w:val="04556927"/>
    <w:rsid w:val="047C3162"/>
    <w:rsid w:val="04C27786"/>
    <w:rsid w:val="04C66203"/>
    <w:rsid w:val="04DA0A40"/>
    <w:rsid w:val="05090C8B"/>
    <w:rsid w:val="051D20BA"/>
    <w:rsid w:val="05677ACA"/>
    <w:rsid w:val="0594305D"/>
    <w:rsid w:val="05A51389"/>
    <w:rsid w:val="05A84168"/>
    <w:rsid w:val="05C4252C"/>
    <w:rsid w:val="05F60707"/>
    <w:rsid w:val="06774B1F"/>
    <w:rsid w:val="06C17510"/>
    <w:rsid w:val="06D87315"/>
    <w:rsid w:val="075D6081"/>
    <w:rsid w:val="075E1176"/>
    <w:rsid w:val="0793494D"/>
    <w:rsid w:val="079D708E"/>
    <w:rsid w:val="07B72B57"/>
    <w:rsid w:val="081642C6"/>
    <w:rsid w:val="0830783E"/>
    <w:rsid w:val="0838352F"/>
    <w:rsid w:val="08C66987"/>
    <w:rsid w:val="08F84843"/>
    <w:rsid w:val="09BF1D01"/>
    <w:rsid w:val="09FF4D04"/>
    <w:rsid w:val="0A8B33C8"/>
    <w:rsid w:val="0A947AE1"/>
    <w:rsid w:val="0A9532B4"/>
    <w:rsid w:val="0A973EF7"/>
    <w:rsid w:val="0AB23485"/>
    <w:rsid w:val="0AB749BD"/>
    <w:rsid w:val="0ABC0DBB"/>
    <w:rsid w:val="0AE65247"/>
    <w:rsid w:val="0AE67037"/>
    <w:rsid w:val="0B2850C7"/>
    <w:rsid w:val="0B4A2A1A"/>
    <w:rsid w:val="0B5E572E"/>
    <w:rsid w:val="0B8043FB"/>
    <w:rsid w:val="0B876D9E"/>
    <w:rsid w:val="0C2559C0"/>
    <w:rsid w:val="0C617D1F"/>
    <w:rsid w:val="0CBA090F"/>
    <w:rsid w:val="0CDA5C00"/>
    <w:rsid w:val="0D2930EA"/>
    <w:rsid w:val="0D481C42"/>
    <w:rsid w:val="0D781F7F"/>
    <w:rsid w:val="0DAD409B"/>
    <w:rsid w:val="0DBF2427"/>
    <w:rsid w:val="0DDE373B"/>
    <w:rsid w:val="0DEE23FB"/>
    <w:rsid w:val="0DFD51E4"/>
    <w:rsid w:val="0E4C4740"/>
    <w:rsid w:val="0EB761DC"/>
    <w:rsid w:val="0EEF489E"/>
    <w:rsid w:val="0F4072A8"/>
    <w:rsid w:val="0F517409"/>
    <w:rsid w:val="0F595DD0"/>
    <w:rsid w:val="0F7332E1"/>
    <w:rsid w:val="0F755F20"/>
    <w:rsid w:val="0FA347F0"/>
    <w:rsid w:val="0FAE105F"/>
    <w:rsid w:val="0FB305B4"/>
    <w:rsid w:val="101012FA"/>
    <w:rsid w:val="10247FF0"/>
    <w:rsid w:val="10A47A12"/>
    <w:rsid w:val="10C91F7A"/>
    <w:rsid w:val="10CD0188"/>
    <w:rsid w:val="10FA21B3"/>
    <w:rsid w:val="11045F23"/>
    <w:rsid w:val="110C504F"/>
    <w:rsid w:val="1122466D"/>
    <w:rsid w:val="113D2C77"/>
    <w:rsid w:val="11585684"/>
    <w:rsid w:val="1173458D"/>
    <w:rsid w:val="11AF2E05"/>
    <w:rsid w:val="11C52C15"/>
    <w:rsid w:val="11E50D8A"/>
    <w:rsid w:val="124C08C1"/>
    <w:rsid w:val="12824573"/>
    <w:rsid w:val="12C04B2D"/>
    <w:rsid w:val="12CF6990"/>
    <w:rsid w:val="1319392A"/>
    <w:rsid w:val="13404033"/>
    <w:rsid w:val="134635C6"/>
    <w:rsid w:val="138420B6"/>
    <w:rsid w:val="1470336C"/>
    <w:rsid w:val="14726A0D"/>
    <w:rsid w:val="14860487"/>
    <w:rsid w:val="14A3060B"/>
    <w:rsid w:val="14C672E8"/>
    <w:rsid w:val="14CE2605"/>
    <w:rsid w:val="14FF3B46"/>
    <w:rsid w:val="150B6B3F"/>
    <w:rsid w:val="1585189F"/>
    <w:rsid w:val="15985F50"/>
    <w:rsid w:val="15995321"/>
    <w:rsid w:val="15BA46EA"/>
    <w:rsid w:val="15F720B9"/>
    <w:rsid w:val="1609100F"/>
    <w:rsid w:val="167B2C21"/>
    <w:rsid w:val="16D73011"/>
    <w:rsid w:val="17194736"/>
    <w:rsid w:val="173B1883"/>
    <w:rsid w:val="178F7425"/>
    <w:rsid w:val="17EC3881"/>
    <w:rsid w:val="182A3887"/>
    <w:rsid w:val="18522F19"/>
    <w:rsid w:val="18790AED"/>
    <w:rsid w:val="18825932"/>
    <w:rsid w:val="18835D3E"/>
    <w:rsid w:val="190674F7"/>
    <w:rsid w:val="1913041E"/>
    <w:rsid w:val="19811A3A"/>
    <w:rsid w:val="1A631EB5"/>
    <w:rsid w:val="1AC14902"/>
    <w:rsid w:val="1AC615E4"/>
    <w:rsid w:val="1B40125A"/>
    <w:rsid w:val="1B9B1D4F"/>
    <w:rsid w:val="1BAC47C3"/>
    <w:rsid w:val="1BB168E5"/>
    <w:rsid w:val="1BBD119E"/>
    <w:rsid w:val="1C4826E3"/>
    <w:rsid w:val="1C5F3D83"/>
    <w:rsid w:val="1CAD0B5C"/>
    <w:rsid w:val="1CB527C2"/>
    <w:rsid w:val="1CE64378"/>
    <w:rsid w:val="1D053CC9"/>
    <w:rsid w:val="1D6525D9"/>
    <w:rsid w:val="1D72116D"/>
    <w:rsid w:val="1DA73D56"/>
    <w:rsid w:val="1DA86663"/>
    <w:rsid w:val="1DC412FA"/>
    <w:rsid w:val="1DC918FE"/>
    <w:rsid w:val="1E121135"/>
    <w:rsid w:val="1E343B62"/>
    <w:rsid w:val="1E873BF4"/>
    <w:rsid w:val="1E930EE8"/>
    <w:rsid w:val="1ED252B6"/>
    <w:rsid w:val="1EF93D57"/>
    <w:rsid w:val="1F2B20E9"/>
    <w:rsid w:val="1F52071A"/>
    <w:rsid w:val="1F853AC9"/>
    <w:rsid w:val="1FBE4810"/>
    <w:rsid w:val="1FC342F2"/>
    <w:rsid w:val="1FE278B2"/>
    <w:rsid w:val="209E1D3A"/>
    <w:rsid w:val="20D040F7"/>
    <w:rsid w:val="20F34FC1"/>
    <w:rsid w:val="211C400B"/>
    <w:rsid w:val="21B77625"/>
    <w:rsid w:val="21D874D4"/>
    <w:rsid w:val="22086B9C"/>
    <w:rsid w:val="221154FB"/>
    <w:rsid w:val="22805F72"/>
    <w:rsid w:val="22B44A1F"/>
    <w:rsid w:val="22DF7F9C"/>
    <w:rsid w:val="22F22A50"/>
    <w:rsid w:val="22FD1602"/>
    <w:rsid w:val="231E1668"/>
    <w:rsid w:val="23300DFA"/>
    <w:rsid w:val="235A0D8F"/>
    <w:rsid w:val="235B5098"/>
    <w:rsid w:val="236C3F87"/>
    <w:rsid w:val="237213F5"/>
    <w:rsid w:val="23C6468E"/>
    <w:rsid w:val="23D8204B"/>
    <w:rsid w:val="2416136F"/>
    <w:rsid w:val="24265E10"/>
    <w:rsid w:val="242835A3"/>
    <w:rsid w:val="252B0DCE"/>
    <w:rsid w:val="2554015D"/>
    <w:rsid w:val="258477C0"/>
    <w:rsid w:val="263D6FDF"/>
    <w:rsid w:val="265E3D60"/>
    <w:rsid w:val="26797C45"/>
    <w:rsid w:val="26D65F7E"/>
    <w:rsid w:val="270564D9"/>
    <w:rsid w:val="272D393D"/>
    <w:rsid w:val="273F54B0"/>
    <w:rsid w:val="27D56C99"/>
    <w:rsid w:val="27E11651"/>
    <w:rsid w:val="286B0657"/>
    <w:rsid w:val="28C15B4F"/>
    <w:rsid w:val="28E2386B"/>
    <w:rsid w:val="28F951E0"/>
    <w:rsid w:val="292F1EEE"/>
    <w:rsid w:val="29673CCE"/>
    <w:rsid w:val="299C19CC"/>
    <w:rsid w:val="29A50011"/>
    <w:rsid w:val="29CB716D"/>
    <w:rsid w:val="29CF27EA"/>
    <w:rsid w:val="2A3E7545"/>
    <w:rsid w:val="2AA47D70"/>
    <w:rsid w:val="2AED2EF0"/>
    <w:rsid w:val="2B2C0863"/>
    <w:rsid w:val="2B730A08"/>
    <w:rsid w:val="2BB62879"/>
    <w:rsid w:val="2C100B0A"/>
    <w:rsid w:val="2C2D2268"/>
    <w:rsid w:val="2C6B5D51"/>
    <w:rsid w:val="2D1C34DF"/>
    <w:rsid w:val="2D5A4D1C"/>
    <w:rsid w:val="2D6C6822"/>
    <w:rsid w:val="2D910924"/>
    <w:rsid w:val="2DBB20AF"/>
    <w:rsid w:val="2DD860B6"/>
    <w:rsid w:val="2DDB2EEF"/>
    <w:rsid w:val="2DF64FC7"/>
    <w:rsid w:val="2DF96C51"/>
    <w:rsid w:val="2E3010F3"/>
    <w:rsid w:val="2E3745BE"/>
    <w:rsid w:val="2E48162E"/>
    <w:rsid w:val="2E5B2AA8"/>
    <w:rsid w:val="2EA01E58"/>
    <w:rsid w:val="2F2C5DB0"/>
    <w:rsid w:val="308E6F65"/>
    <w:rsid w:val="31756A1C"/>
    <w:rsid w:val="31876E4C"/>
    <w:rsid w:val="318B1CE1"/>
    <w:rsid w:val="320E59B5"/>
    <w:rsid w:val="322310D8"/>
    <w:rsid w:val="329B6C72"/>
    <w:rsid w:val="32BE517F"/>
    <w:rsid w:val="32EB7272"/>
    <w:rsid w:val="33327C6A"/>
    <w:rsid w:val="33821312"/>
    <w:rsid w:val="34695A86"/>
    <w:rsid w:val="34F629FF"/>
    <w:rsid w:val="34FF7877"/>
    <w:rsid w:val="3568572E"/>
    <w:rsid w:val="35BB1767"/>
    <w:rsid w:val="35C66856"/>
    <w:rsid w:val="35EB651B"/>
    <w:rsid w:val="363C3178"/>
    <w:rsid w:val="364116DB"/>
    <w:rsid w:val="36812965"/>
    <w:rsid w:val="36A41581"/>
    <w:rsid w:val="37052BF0"/>
    <w:rsid w:val="372B5A3F"/>
    <w:rsid w:val="37515C49"/>
    <w:rsid w:val="3757001B"/>
    <w:rsid w:val="37574055"/>
    <w:rsid w:val="377D6136"/>
    <w:rsid w:val="37921B79"/>
    <w:rsid w:val="37CB15F2"/>
    <w:rsid w:val="37FF2C0A"/>
    <w:rsid w:val="38800682"/>
    <w:rsid w:val="38C33B86"/>
    <w:rsid w:val="38D455BA"/>
    <w:rsid w:val="38DE1F6F"/>
    <w:rsid w:val="38FE3A59"/>
    <w:rsid w:val="394A47C5"/>
    <w:rsid w:val="394F257A"/>
    <w:rsid w:val="39682B12"/>
    <w:rsid w:val="39724F0C"/>
    <w:rsid w:val="397A54F6"/>
    <w:rsid w:val="397B7A1A"/>
    <w:rsid w:val="39EE552B"/>
    <w:rsid w:val="3A1223B8"/>
    <w:rsid w:val="3A286989"/>
    <w:rsid w:val="3A4E46A9"/>
    <w:rsid w:val="3A612E89"/>
    <w:rsid w:val="3A691447"/>
    <w:rsid w:val="3A6F7982"/>
    <w:rsid w:val="3AE42255"/>
    <w:rsid w:val="3B0A7E9F"/>
    <w:rsid w:val="3B180B74"/>
    <w:rsid w:val="3B4D7AA6"/>
    <w:rsid w:val="3B6A47A6"/>
    <w:rsid w:val="3B760E6C"/>
    <w:rsid w:val="3BB6741C"/>
    <w:rsid w:val="3BD10E27"/>
    <w:rsid w:val="3BD332C0"/>
    <w:rsid w:val="3BDA56B1"/>
    <w:rsid w:val="3C015D82"/>
    <w:rsid w:val="3C334558"/>
    <w:rsid w:val="3C7E7199"/>
    <w:rsid w:val="3DE426E2"/>
    <w:rsid w:val="3DFE002D"/>
    <w:rsid w:val="3E0676F6"/>
    <w:rsid w:val="3E142A1E"/>
    <w:rsid w:val="3E6A013E"/>
    <w:rsid w:val="3F432CF9"/>
    <w:rsid w:val="3FFA4122"/>
    <w:rsid w:val="4029719F"/>
    <w:rsid w:val="403970AF"/>
    <w:rsid w:val="403F7C65"/>
    <w:rsid w:val="4046508F"/>
    <w:rsid w:val="404E59CA"/>
    <w:rsid w:val="40C31445"/>
    <w:rsid w:val="40DC08E7"/>
    <w:rsid w:val="410909C5"/>
    <w:rsid w:val="41203C4D"/>
    <w:rsid w:val="41283739"/>
    <w:rsid w:val="412A0111"/>
    <w:rsid w:val="41474C16"/>
    <w:rsid w:val="41686871"/>
    <w:rsid w:val="41C51656"/>
    <w:rsid w:val="41DB254C"/>
    <w:rsid w:val="424F1147"/>
    <w:rsid w:val="4257607E"/>
    <w:rsid w:val="426900C6"/>
    <w:rsid w:val="429938EB"/>
    <w:rsid w:val="42B75C24"/>
    <w:rsid w:val="43106462"/>
    <w:rsid w:val="43444014"/>
    <w:rsid w:val="43673B23"/>
    <w:rsid w:val="43674921"/>
    <w:rsid w:val="43803059"/>
    <w:rsid w:val="43E705EE"/>
    <w:rsid w:val="43E7576E"/>
    <w:rsid w:val="440055C8"/>
    <w:rsid w:val="445076F6"/>
    <w:rsid w:val="445B32D8"/>
    <w:rsid w:val="44A4616A"/>
    <w:rsid w:val="44AA74FC"/>
    <w:rsid w:val="44C57F5F"/>
    <w:rsid w:val="44F80157"/>
    <w:rsid w:val="450B6FF5"/>
    <w:rsid w:val="450E42A6"/>
    <w:rsid w:val="458D7606"/>
    <w:rsid w:val="45D24D68"/>
    <w:rsid w:val="45EF0300"/>
    <w:rsid w:val="460F77B3"/>
    <w:rsid w:val="46AB0A37"/>
    <w:rsid w:val="46D01DDA"/>
    <w:rsid w:val="476C7ADD"/>
    <w:rsid w:val="47903F07"/>
    <w:rsid w:val="47D50853"/>
    <w:rsid w:val="480F7918"/>
    <w:rsid w:val="48150895"/>
    <w:rsid w:val="48470480"/>
    <w:rsid w:val="486B2262"/>
    <w:rsid w:val="491077C5"/>
    <w:rsid w:val="492C460F"/>
    <w:rsid w:val="49682F0E"/>
    <w:rsid w:val="49756859"/>
    <w:rsid w:val="498804D4"/>
    <w:rsid w:val="49A52985"/>
    <w:rsid w:val="49B21E72"/>
    <w:rsid w:val="49B82590"/>
    <w:rsid w:val="49F75DB6"/>
    <w:rsid w:val="4AA41610"/>
    <w:rsid w:val="4AAF7433"/>
    <w:rsid w:val="4AE53582"/>
    <w:rsid w:val="4AEC6585"/>
    <w:rsid w:val="4B6D49E6"/>
    <w:rsid w:val="4BAE553C"/>
    <w:rsid w:val="4BCB59F1"/>
    <w:rsid w:val="4C430E2D"/>
    <w:rsid w:val="4C593E35"/>
    <w:rsid w:val="4C7D7D8F"/>
    <w:rsid w:val="4C7E2411"/>
    <w:rsid w:val="4C97255A"/>
    <w:rsid w:val="4C9779CA"/>
    <w:rsid w:val="4CB541EF"/>
    <w:rsid w:val="4CD4439B"/>
    <w:rsid w:val="4CF47680"/>
    <w:rsid w:val="4CF534A2"/>
    <w:rsid w:val="4D132D30"/>
    <w:rsid w:val="4D1712A2"/>
    <w:rsid w:val="4D3F23C1"/>
    <w:rsid w:val="4D811EB4"/>
    <w:rsid w:val="4DAE49A4"/>
    <w:rsid w:val="4DCB47C8"/>
    <w:rsid w:val="4E0025FA"/>
    <w:rsid w:val="4E28155E"/>
    <w:rsid w:val="4E4248A3"/>
    <w:rsid w:val="4E572C49"/>
    <w:rsid w:val="4E714808"/>
    <w:rsid w:val="4E7C0477"/>
    <w:rsid w:val="4E83068F"/>
    <w:rsid w:val="4EA651BE"/>
    <w:rsid w:val="4EE03606"/>
    <w:rsid w:val="4EE31ECA"/>
    <w:rsid w:val="4EFA3ABD"/>
    <w:rsid w:val="4F0E079E"/>
    <w:rsid w:val="4F3E602B"/>
    <w:rsid w:val="4F4644FE"/>
    <w:rsid w:val="4F79739E"/>
    <w:rsid w:val="4FC9558C"/>
    <w:rsid w:val="4FFB0C84"/>
    <w:rsid w:val="5021239D"/>
    <w:rsid w:val="50341BE2"/>
    <w:rsid w:val="50525876"/>
    <w:rsid w:val="50563C56"/>
    <w:rsid w:val="506C6EAD"/>
    <w:rsid w:val="50771C85"/>
    <w:rsid w:val="509C5323"/>
    <w:rsid w:val="50D7421A"/>
    <w:rsid w:val="50F41B5C"/>
    <w:rsid w:val="516F1CE5"/>
    <w:rsid w:val="51843F20"/>
    <w:rsid w:val="521D405A"/>
    <w:rsid w:val="523F626B"/>
    <w:rsid w:val="52BC1ACD"/>
    <w:rsid w:val="52C109B1"/>
    <w:rsid w:val="53383710"/>
    <w:rsid w:val="535C4DEE"/>
    <w:rsid w:val="539C67DF"/>
    <w:rsid w:val="53A377A0"/>
    <w:rsid w:val="53DC1D6B"/>
    <w:rsid w:val="542330A7"/>
    <w:rsid w:val="542B0346"/>
    <w:rsid w:val="54385D68"/>
    <w:rsid w:val="543B53F4"/>
    <w:rsid w:val="545F2512"/>
    <w:rsid w:val="54CA5485"/>
    <w:rsid w:val="54D54553"/>
    <w:rsid w:val="54E979C0"/>
    <w:rsid w:val="55030821"/>
    <w:rsid w:val="552251F7"/>
    <w:rsid w:val="55570ECF"/>
    <w:rsid w:val="557F71BB"/>
    <w:rsid w:val="558E1E40"/>
    <w:rsid w:val="560F6EE1"/>
    <w:rsid w:val="56BA775E"/>
    <w:rsid w:val="56CF4A2F"/>
    <w:rsid w:val="56D04647"/>
    <w:rsid w:val="56E22664"/>
    <w:rsid w:val="575E78BE"/>
    <w:rsid w:val="57A2538E"/>
    <w:rsid w:val="57D12F09"/>
    <w:rsid w:val="57FE7CE1"/>
    <w:rsid w:val="58294D74"/>
    <w:rsid w:val="583B1C3B"/>
    <w:rsid w:val="58617128"/>
    <w:rsid w:val="58B31A5A"/>
    <w:rsid w:val="58C910BD"/>
    <w:rsid w:val="594474D9"/>
    <w:rsid w:val="594F550C"/>
    <w:rsid w:val="59AE5BF6"/>
    <w:rsid w:val="59D81872"/>
    <w:rsid w:val="5A4C2E6C"/>
    <w:rsid w:val="5AAD5C1F"/>
    <w:rsid w:val="5ACB7BAE"/>
    <w:rsid w:val="5B076188"/>
    <w:rsid w:val="5B55048E"/>
    <w:rsid w:val="5B8228C4"/>
    <w:rsid w:val="5CCC58C5"/>
    <w:rsid w:val="5D2656B4"/>
    <w:rsid w:val="5D775327"/>
    <w:rsid w:val="5DB3043D"/>
    <w:rsid w:val="5DC61A8C"/>
    <w:rsid w:val="5E110E0A"/>
    <w:rsid w:val="5E523BE7"/>
    <w:rsid w:val="5E6F52F3"/>
    <w:rsid w:val="5F1B73A9"/>
    <w:rsid w:val="5F242883"/>
    <w:rsid w:val="5F310D30"/>
    <w:rsid w:val="5F43318B"/>
    <w:rsid w:val="5F517313"/>
    <w:rsid w:val="5F7476DA"/>
    <w:rsid w:val="5FAE0CA3"/>
    <w:rsid w:val="5FB10B20"/>
    <w:rsid w:val="5FF0100A"/>
    <w:rsid w:val="5FFF5543"/>
    <w:rsid w:val="60867C2C"/>
    <w:rsid w:val="60ED2D0A"/>
    <w:rsid w:val="60F66E2D"/>
    <w:rsid w:val="62266E43"/>
    <w:rsid w:val="62463497"/>
    <w:rsid w:val="62803272"/>
    <w:rsid w:val="62825212"/>
    <w:rsid w:val="62DD49D7"/>
    <w:rsid w:val="63496309"/>
    <w:rsid w:val="636E40E5"/>
    <w:rsid w:val="63732B9A"/>
    <w:rsid w:val="637B41FE"/>
    <w:rsid w:val="639D0095"/>
    <w:rsid w:val="63A479F4"/>
    <w:rsid w:val="63A77162"/>
    <w:rsid w:val="63D30C98"/>
    <w:rsid w:val="63F37F61"/>
    <w:rsid w:val="64032F12"/>
    <w:rsid w:val="64192FED"/>
    <w:rsid w:val="645C71E8"/>
    <w:rsid w:val="64661AF3"/>
    <w:rsid w:val="64687427"/>
    <w:rsid w:val="646D24D6"/>
    <w:rsid w:val="64C772BE"/>
    <w:rsid w:val="64DD212C"/>
    <w:rsid w:val="64EF2333"/>
    <w:rsid w:val="65000BA5"/>
    <w:rsid w:val="65320731"/>
    <w:rsid w:val="654B2E9F"/>
    <w:rsid w:val="657C2E74"/>
    <w:rsid w:val="65FB042E"/>
    <w:rsid w:val="66066668"/>
    <w:rsid w:val="66425A84"/>
    <w:rsid w:val="66703016"/>
    <w:rsid w:val="66CB479B"/>
    <w:rsid w:val="66D06F99"/>
    <w:rsid w:val="66E973F8"/>
    <w:rsid w:val="67085A3A"/>
    <w:rsid w:val="672A4BF7"/>
    <w:rsid w:val="6735725D"/>
    <w:rsid w:val="67664BE5"/>
    <w:rsid w:val="677C7877"/>
    <w:rsid w:val="67C91609"/>
    <w:rsid w:val="67DF6874"/>
    <w:rsid w:val="68A832B9"/>
    <w:rsid w:val="68AB1AC7"/>
    <w:rsid w:val="68BA3FFA"/>
    <w:rsid w:val="69152860"/>
    <w:rsid w:val="696D52FD"/>
    <w:rsid w:val="69BF504C"/>
    <w:rsid w:val="69DA3F85"/>
    <w:rsid w:val="69F66893"/>
    <w:rsid w:val="6A3610E0"/>
    <w:rsid w:val="6A665B92"/>
    <w:rsid w:val="6A6D77EC"/>
    <w:rsid w:val="6AFB0574"/>
    <w:rsid w:val="6B0B43DF"/>
    <w:rsid w:val="6B30365A"/>
    <w:rsid w:val="6BB47B93"/>
    <w:rsid w:val="6BE42E61"/>
    <w:rsid w:val="6C692279"/>
    <w:rsid w:val="6C7B7321"/>
    <w:rsid w:val="6C84643A"/>
    <w:rsid w:val="6CA2487D"/>
    <w:rsid w:val="6CB66CE1"/>
    <w:rsid w:val="6D007352"/>
    <w:rsid w:val="6D073325"/>
    <w:rsid w:val="6D1E3151"/>
    <w:rsid w:val="6D1E6F3D"/>
    <w:rsid w:val="6D3F1473"/>
    <w:rsid w:val="6D6D6D76"/>
    <w:rsid w:val="6DB57BBC"/>
    <w:rsid w:val="6DC36B77"/>
    <w:rsid w:val="6DE4688A"/>
    <w:rsid w:val="6E024DE8"/>
    <w:rsid w:val="6E3A6E1C"/>
    <w:rsid w:val="6E5824ED"/>
    <w:rsid w:val="6F127723"/>
    <w:rsid w:val="6F5A4954"/>
    <w:rsid w:val="6F8B5666"/>
    <w:rsid w:val="6F980115"/>
    <w:rsid w:val="6FE143D0"/>
    <w:rsid w:val="700A2DE2"/>
    <w:rsid w:val="700D52A5"/>
    <w:rsid w:val="705428BF"/>
    <w:rsid w:val="710457F5"/>
    <w:rsid w:val="71280451"/>
    <w:rsid w:val="71291677"/>
    <w:rsid w:val="714F72A2"/>
    <w:rsid w:val="715958EE"/>
    <w:rsid w:val="72151C48"/>
    <w:rsid w:val="722046D3"/>
    <w:rsid w:val="72227CA3"/>
    <w:rsid w:val="723C0078"/>
    <w:rsid w:val="723C6751"/>
    <w:rsid w:val="724309BC"/>
    <w:rsid w:val="72D03654"/>
    <w:rsid w:val="73431A72"/>
    <w:rsid w:val="73552738"/>
    <w:rsid w:val="7397337A"/>
    <w:rsid w:val="73AC62F0"/>
    <w:rsid w:val="73DF7319"/>
    <w:rsid w:val="74057F4E"/>
    <w:rsid w:val="74107C8B"/>
    <w:rsid w:val="74305779"/>
    <w:rsid w:val="74310676"/>
    <w:rsid w:val="74385E40"/>
    <w:rsid w:val="745F7C10"/>
    <w:rsid w:val="74A35164"/>
    <w:rsid w:val="74C64981"/>
    <w:rsid w:val="74DF6153"/>
    <w:rsid w:val="75290FB7"/>
    <w:rsid w:val="754529D8"/>
    <w:rsid w:val="755A033E"/>
    <w:rsid w:val="761F6D50"/>
    <w:rsid w:val="76601F50"/>
    <w:rsid w:val="767204B8"/>
    <w:rsid w:val="770C4DC8"/>
    <w:rsid w:val="77152E1E"/>
    <w:rsid w:val="771D79D7"/>
    <w:rsid w:val="776B132E"/>
    <w:rsid w:val="77B87049"/>
    <w:rsid w:val="77F172D0"/>
    <w:rsid w:val="77FB7928"/>
    <w:rsid w:val="78113247"/>
    <w:rsid w:val="781A27F6"/>
    <w:rsid w:val="78232466"/>
    <w:rsid w:val="78E8459F"/>
    <w:rsid w:val="79AA3213"/>
    <w:rsid w:val="79D135E9"/>
    <w:rsid w:val="79FB5CC7"/>
    <w:rsid w:val="7A0B728A"/>
    <w:rsid w:val="7A322637"/>
    <w:rsid w:val="7A5E26FF"/>
    <w:rsid w:val="7A6B3C19"/>
    <w:rsid w:val="7AB15BB2"/>
    <w:rsid w:val="7AC82A36"/>
    <w:rsid w:val="7ACC5178"/>
    <w:rsid w:val="7B0009C4"/>
    <w:rsid w:val="7B1D3CD0"/>
    <w:rsid w:val="7B227B86"/>
    <w:rsid w:val="7B47001F"/>
    <w:rsid w:val="7BD622B8"/>
    <w:rsid w:val="7BD85765"/>
    <w:rsid w:val="7C021D98"/>
    <w:rsid w:val="7C482459"/>
    <w:rsid w:val="7C813E87"/>
    <w:rsid w:val="7CA3771B"/>
    <w:rsid w:val="7CBC40EA"/>
    <w:rsid w:val="7CE943D0"/>
    <w:rsid w:val="7D45563E"/>
    <w:rsid w:val="7DA065FD"/>
    <w:rsid w:val="7DAC167E"/>
    <w:rsid w:val="7DC862E0"/>
    <w:rsid w:val="7E2B4FE3"/>
    <w:rsid w:val="7EA02299"/>
    <w:rsid w:val="7EB435B7"/>
    <w:rsid w:val="7EC1792C"/>
    <w:rsid w:val="7ECE3960"/>
    <w:rsid w:val="7EFF33DC"/>
    <w:rsid w:val="7F083FA2"/>
    <w:rsid w:val="7F0E3152"/>
    <w:rsid w:val="7F8844CB"/>
    <w:rsid w:val="7FB34AC8"/>
    <w:rsid w:val="7FD75B66"/>
    <w:rsid w:val="7FEE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szCs w:val="24"/>
    </w:rPr>
  </w:style>
  <w:style w:type="paragraph" w:styleId="6">
    <w:name w:val="Date"/>
    <w:basedOn w:val="1"/>
    <w:next w:val="1"/>
    <w:link w:val="20"/>
    <w:unhideWhenUsed/>
    <w:qFormat/>
    <w:uiPriority w:val="99"/>
    <w:pPr>
      <w:ind w:left="100" w:leftChars="2500"/>
    </w:pPr>
    <w:rPr>
      <w:rFonts w:ascii="Times New Roman" w:hAnsi="Times New Roman" w:eastAsia="宋体" w:cs="Times New Roman"/>
    </w:rPr>
  </w:style>
  <w:style w:type="paragraph" w:styleId="7">
    <w:name w:val="Balloon Text"/>
    <w:basedOn w:val="1"/>
    <w:link w:val="21"/>
    <w:unhideWhenUsed/>
    <w:qFormat/>
    <w:uiPriority w:val="99"/>
    <w:rPr>
      <w:rFonts w:ascii="Times New Roman" w:hAnsi="Times New Roman" w:eastAsia="宋体" w:cs="Times New Roman"/>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qFormat/>
    <w:uiPriority w:val="99"/>
    <w:rPr>
      <w:rFonts w:asciiTheme="minorHAnsi" w:hAnsiTheme="minorHAnsi" w:eastAsiaTheme="minorEastAsia" w:cstheme="minorBidi"/>
      <w:kern w:val="2"/>
      <w:sz w:val="18"/>
      <w:szCs w:val="18"/>
    </w:rPr>
  </w:style>
  <w:style w:type="character" w:customStyle="1" w:styleId="17">
    <w:name w:val="页脚 字符"/>
    <w:basedOn w:val="13"/>
    <w:link w:val="8"/>
    <w:qFormat/>
    <w:uiPriority w:val="99"/>
    <w:rPr>
      <w:rFonts w:asciiTheme="minorHAnsi" w:hAnsiTheme="minorHAnsi" w:eastAsiaTheme="minorEastAsia" w:cstheme="minorBidi"/>
      <w:kern w:val="2"/>
      <w:sz w:val="18"/>
      <w:szCs w:val="18"/>
    </w:rPr>
  </w:style>
  <w:style w:type="character" w:customStyle="1" w:styleId="18">
    <w:name w:val="标题 2 字符"/>
    <w:basedOn w:val="13"/>
    <w:link w:val="4"/>
    <w:qFormat/>
    <w:uiPriority w:val="0"/>
    <w:rPr>
      <w:rFonts w:asciiTheme="majorHAnsi" w:hAnsiTheme="majorHAnsi" w:eastAsiaTheme="majorEastAsia" w:cstheme="majorBidi"/>
      <w:b/>
      <w:bCs/>
      <w:kern w:val="2"/>
      <w:sz w:val="32"/>
      <w:szCs w:val="32"/>
    </w:rPr>
  </w:style>
  <w:style w:type="character" w:customStyle="1" w:styleId="19">
    <w:name w:val="标题 1 字符"/>
    <w:basedOn w:val="13"/>
    <w:link w:val="3"/>
    <w:qFormat/>
    <w:uiPriority w:val="0"/>
    <w:rPr>
      <w:rFonts w:ascii="宋体" w:hAnsi="宋体"/>
      <w:b/>
      <w:bCs/>
      <w:kern w:val="44"/>
      <w:sz w:val="48"/>
      <w:szCs w:val="48"/>
    </w:rPr>
  </w:style>
  <w:style w:type="character" w:customStyle="1" w:styleId="20">
    <w:name w:val="日期 字符"/>
    <w:basedOn w:val="13"/>
    <w:link w:val="6"/>
    <w:qFormat/>
    <w:uiPriority w:val="99"/>
    <w:rPr>
      <w:kern w:val="2"/>
      <w:sz w:val="21"/>
      <w:szCs w:val="24"/>
    </w:rPr>
  </w:style>
  <w:style w:type="character" w:customStyle="1" w:styleId="21">
    <w:name w:val="批注框文本 字符"/>
    <w:basedOn w:val="13"/>
    <w:link w:val="7"/>
    <w:qFormat/>
    <w:uiPriority w:val="99"/>
    <w:rPr>
      <w:kern w:val="2"/>
      <w:sz w:val="18"/>
      <w:szCs w:val="18"/>
    </w:rPr>
  </w:style>
  <w:style w:type="paragraph" w:styleId="22">
    <w:name w:val="List Paragraph"/>
    <w:basedOn w:val="1"/>
    <w:qFormat/>
    <w:uiPriority w:val="34"/>
    <w:pPr>
      <w:ind w:firstLine="420" w:firstLineChars="200"/>
    </w:pPr>
    <w:rPr>
      <w:rFonts w:ascii="Times New Roman" w:hAnsi="Times New Roman" w:eastAsia="宋体" w:cs="Times New Roman"/>
    </w:rPr>
  </w:style>
  <w:style w:type="character" w:customStyle="1" w:styleId="23">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1647</Words>
  <Characters>9390</Characters>
  <Lines>78</Lines>
  <Paragraphs>22</Paragraphs>
  <TotalTime>11</TotalTime>
  <ScaleCrop>false</ScaleCrop>
  <LinksUpToDate>false</LinksUpToDate>
  <CharactersWithSpaces>11015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2023-07-21T08:37:00Z</dcterms:created>
  <dc:creator>ITO</dc:creator>
  <cp:lastModifiedBy>XL</cp:lastModifiedBy>
  <cp:lastPrinted>2025-01-10T03:09:00Z</cp:lastPrinted>
  <dcterms:modified xsi:type="dcterms:W3CDTF">2025-01-10T07:36:43Z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AEB9677D314142F6BC0AF0E33E8AF0BB</vt:lpwstr>
  </property>
</Properties>
</file>