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val="en-US" w:eastAsia="zh-CN"/>
        </w:rPr>
      </w:pPr>
      <w:r>
        <w:rPr>
          <w:rFonts w:hint="eastAsia" w:ascii="黑体" w:hAnsi="黑体" w:cs="黑体"/>
          <w:b/>
          <w:bCs/>
          <w:snapToGrid w:val="0"/>
          <w:kern w:val="0"/>
          <w:sz w:val="28"/>
          <w:szCs w:val="28"/>
          <w:lang w:val="en-US" w:eastAsia="zh-CN"/>
        </w:rPr>
        <w:t>附录</w:t>
      </w:r>
      <w:r>
        <w:rPr>
          <w:rFonts w:hint="eastAsia" w:ascii="黑体" w:hAnsi="黑体" w:cs="黑体"/>
          <w:snapToGrid w:val="0"/>
          <w:kern w:val="0"/>
          <w:sz w:val="28"/>
          <w:szCs w:val="28"/>
          <w:lang w:val="en-US" w:eastAsia="zh-CN"/>
        </w:rPr>
        <w:t xml:space="preserve">  </w:t>
      </w:r>
      <w:r>
        <w:rPr>
          <w:rFonts w:hint="eastAsia" w:ascii="黑体" w:hAnsi="黑体" w:cs="黑体"/>
          <w:snapToGrid w:val="0"/>
          <w:kern w:val="0"/>
          <w:sz w:val="32"/>
          <w:szCs w:val="32"/>
          <w:lang w:val="en-US" w:eastAsia="zh-CN"/>
        </w:rPr>
        <w:t xml:space="preserve">              </w:t>
      </w:r>
    </w:p>
    <w:p>
      <w:pPr>
        <w:pStyle w:val="2"/>
        <w:keepNext/>
        <w:pageBreakBefore w:val="0"/>
        <w:kinsoku/>
        <w:wordWrap/>
        <w:overflowPunct/>
        <w:topLinePunct w:val="0"/>
        <w:autoSpaceDE/>
        <w:autoSpaceDN/>
        <w:bidi w:val="0"/>
        <w:adjustRightInd/>
        <w:spacing w:line="600" w:lineRule="exact"/>
        <w:jc w:val="center"/>
        <w:rPr>
          <w:rFonts w:hint="eastAsia" w:ascii="黑体" w:hAnsi="黑体" w:cs="黑体"/>
          <w:snapToGrid w:val="0"/>
          <w:kern w:val="0"/>
          <w:sz w:val="32"/>
          <w:szCs w:val="32"/>
        </w:rPr>
      </w:pPr>
      <w:r>
        <w:rPr>
          <w:rFonts w:hint="eastAsia" w:ascii="黑体" w:hAnsi="黑体" w:cs="黑体"/>
          <w:snapToGrid w:val="0"/>
          <w:kern w:val="0"/>
          <w:sz w:val="32"/>
          <w:szCs w:val="32"/>
          <w:lang w:eastAsia="zh-CN"/>
        </w:rPr>
        <w:t>表</w:t>
      </w:r>
      <w:r>
        <w:rPr>
          <w:rFonts w:hint="eastAsia" w:ascii="黑体" w:hAnsi="黑体" w:cs="黑体"/>
          <w:snapToGrid w:val="0"/>
          <w:kern w:val="0"/>
          <w:sz w:val="32"/>
          <w:szCs w:val="32"/>
          <w:lang w:val="en-US" w:eastAsia="zh-CN"/>
        </w:rPr>
        <w:t>1：</w:t>
      </w:r>
      <w:r>
        <w:rPr>
          <w:rFonts w:hint="eastAsia" w:ascii="黑体" w:hAnsi="黑体" w:cs="黑体"/>
          <w:snapToGrid w:val="0"/>
          <w:kern w:val="0"/>
          <w:sz w:val="32"/>
          <w:szCs w:val="32"/>
        </w:rPr>
        <w:t>深圳市重大活动供餐单位食品安全评估结果</w:t>
      </w:r>
    </w:p>
    <w:p>
      <w:pPr>
        <w:jc w:val="center"/>
        <w:rPr>
          <w:rFonts w:hint="eastAsia" w:eastAsia="宋体"/>
          <w:lang w:eastAsia="zh-CN"/>
        </w:rPr>
      </w:pPr>
      <w:r>
        <w:rPr>
          <w:rFonts w:hint="eastAsia" w:ascii="黑体" w:hAnsi="黑体" w:cs="黑体"/>
          <w:snapToGrid w:val="0"/>
          <w:kern w:val="0"/>
          <w:sz w:val="32"/>
          <w:szCs w:val="32"/>
          <w:lang w:eastAsia="zh-CN"/>
        </w:rPr>
        <w:t>（</w:t>
      </w:r>
      <w:r>
        <w:rPr>
          <w:rFonts w:hint="eastAsia" w:ascii="黑体" w:hAnsi="黑体" w:cs="黑体"/>
          <w:snapToGrid w:val="0"/>
          <w:kern w:val="0"/>
          <w:sz w:val="32"/>
          <w:szCs w:val="32"/>
          <w:lang w:val="en-US" w:eastAsia="zh-CN"/>
        </w:rPr>
        <w:t>2020年度</w:t>
      </w:r>
      <w:r>
        <w:rPr>
          <w:rFonts w:hint="eastAsia" w:ascii="黑体" w:hAnsi="黑体" w:cs="黑体"/>
          <w:snapToGrid w:val="0"/>
          <w:kern w:val="0"/>
          <w:sz w:val="32"/>
          <w:szCs w:val="32"/>
          <w:lang w:eastAsia="zh-CN"/>
        </w:rPr>
        <w:t>）</w:t>
      </w:r>
    </w:p>
    <w:tbl>
      <w:tblPr>
        <w:tblStyle w:val="4"/>
        <w:tblW w:w="13777" w:type="dxa"/>
        <w:jc w:val="center"/>
        <w:tblInd w:w="-67" w:type="dxa"/>
        <w:tblLayout w:type="fixed"/>
        <w:tblCellMar>
          <w:top w:w="0" w:type="dxa"/>
          <w:left w:w="108" w:type="dxa"/>
          <w:bottom w:w="0" w:type="dxa"/>
          <w:right w:w="108" w:type="dxa"/>
        </w:tblCellMar>
      </w:tblPr>
      <w:tblGrid>
        <w:gridCol w:w="462"/>
        <w:gridCol w:w="5085"/>
        <w:gridCol w:w="7417"/>
        <w:gridCol w:w="813"/>
      </w:tblGrid>
      <w:tr>
        <w:tblPrEx>
          <w:tblLayout w:type="fixed"/>
          <w:tblCellMar>
            <w:top w:w="0" w:type="dxa"/>
            <w:left w:w="108" w:type="dxa"/>
            <w:bottom w:w="0" w:type="dxa"/>
            <w:right w:w="108" w:type="dxa"/>
          </w:tblCellMar>
        </w:tblPrEx>
        <w:trPr>
          <w:trHeight w:val="320"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napToGrid w:val="0"/>
                <w:color w:val="000000"/>
                <w:kern w:val="0"/>
                <w:sz w:val="21"/>
                <w:szCs w:val="21"/>
              </w:rPr>
            </w:pPr>
            <w:r>
              <w:rPr>
                <w:rFonts w:hint="eastAsia" w:ascii="仿宋" w:hAnsi="仿宋" w:eastAsia="仿宋" w:cs="仿宋"/>
                <w:snapToGrid w:val="0"/>
                <w:color w:val="000000"/>
                <w:kern w:val="0"/>
                <w:sz w:val="21"/>
                <w:szCs w:val="21"/>
              </w:rPr>
              <w:t>序号</w:t>
            </w:r>
          </w:p>
        </w:tc>
        <w:tc>
          <w:tcPr>
            <w:tcW w:w="50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napToGrid w:val="0"/>
                <w:color w:val="000000"/>
                <w:kern w:val="0"/>
                <w:sz w:val="21"/>
                <w:szCs w:val="21"/>
              </w:rPr>
            </w:pPr>
            <w:r>
              <w:rPr>
                <w:rFonts w:hint="eastAsia" w:ascii="仿宋" w:hAnsi="仿宋" w:eastAsia="仿宋" w:cs="仿宋"/>
                <w:snapToGrid w:val="0"/>
                <w:color w:val="000000"/>
                <w:kern w:val="0"/>
                <w:sz w:val="21"/>
                <w:szCs w:val="21"/>
              </w:rPr>
              <w:t>单位名称</w:t>
            </w:r>
          </w:p>
        </w:tc>
        <w:tc>
          <w:tcPr>
            <w:tcW w:w="74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napToGrid w:val="0"/>
                <w:color w:val="000000"/>
                <w:kern w:val="0"/>
                <w:sz w:val="21"/>
                <w:szCs w:val="21"/>
              </w:rPr>
            </w:pPr>
            <w:r>
              <w:rPr>
                <w:rFonts w:hint="eastAsia" w:ascii="仿宋" w:hAnsi="仿宋" w:eastAsia="仿宋" w:cs="仿宋"/>
                <w:snapToGrid w:val="0"/>
                <w:color w:val="000000"/>
                <w:kern w:val="0"/>
                <w:sz w:val="21"/>
                <w:szCs w:val="21"/>
              </w:rPr>
              <w:t>单位地址</w:t>
            </w:r>
          </w:p>
        </w:tc>
        <w:tc>
          <w:tcPr>
            <w:tcW w:w="8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napToGrid w:val="0"/>
                <w:kern w:val="0"/>
                <w:sz w:val="21"/>
                <w:szCs w:val="21"/>
              </w:rPr>
            </w:pPr>
            <w:r>
              <w:rPr>
                <w:rFonts w:hint="eastAsia" w:ascii="仿宋" w:hAnsi="仿宋" w:eastAsia="仿宋" w:cs="仿宋"/>
                <w:snapToGrid w:val="0"/>
                <w:color w:val="000000"/>
                <w:kern w:val="0"/>
                <w:sz w:val="21"/>
                <w:szCs w:val="21"/>
              </w:rPr>
              <w:t>得分</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深圳金拱门食品有限公司后海地铁站分店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深圳市南山区粤海街道海德三道1688号天安科技广场B座</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98.1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百盛餐饮（深圳）有限公司肯德基彩田餐厅</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snapToGrid w:val="0"/>
                <w:color w:val="000000"/>
                <w:kern w:val="0"/>
                <w:sz w:val="21"/>
                <w:szCs w:val="21"/>
                <w:lang w:val="en-US" w:eastAsia="zh-CN"/>
              </w:rPr>
            </w:pPr>
            <w:r>
              <w:rPr>
                <w:rFonts w:hint="eastAsia" w:ascii="仿宋" w:hAnsi="仿宋" w:eastAsia="仿宋" w:cs="仿宋"/>
                <w:snapToGrid w:val="0"/>
                <w:color w:val="000000"/>
                <w:kern w:val="0"/>
                <w:sz w:val="21"/>
                <w:szCs w:val="21"/>
                <w:lang w:val="en-US" w:eastAsia="zh-CN"/>
              </w:rPr>
              <w:t>广东省深圳市福田区彩田路2066号江苏宾馆1-2层</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97.9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深圳蛇口海上世界酒店管理有限公司蛇口希尔顿南海酒店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深圳市南山区望海路1177号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97.8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星巴克咖啡（深圳）有限公司深圳湾科技生态园一分店福永同泰时代广场分店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snapToGrid w:val="0"/>
                <w:color w:val="000000"/>
                <w:kern w:val="0"/>
                <w:sz w:val="21"/>
                <w:szCs w:val="21"/>
                <w:lang w:val="en-US" w:eastAsia="zh-CN"/>
              </w:rPr>
              <w:t>深圳市宝安区宝安大道6259号同泰时代广场首层L1-44,45号铺</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97.2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5</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百胜餐饮（深圳）有限公司肯德基国展中心外卖店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深圳市宝安区福海街道和平社区展城路1号深圳国际会展中心中央廊道B1-102</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97.2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6</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百胜餐饮（深圳）有限公司肯德基国展中心餐厅</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深圳市宝安区福海街道和平社区展城路1号深圳国际会展中心南登录大厅东侧301</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97.2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7</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深圳市红荔村餐饮有限公司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snapToGrid w:val="0"/>
                <w:color w:val="000000"/>
                <w:kern w:val="0"/>
                <w:sz w:val="21"/>
                <w:szCs w:val="21"/>
                <w:lang w:val="en-US" w:eastAsia="zh-CN"/>
              </w:rPr>
              <w:t>深圳市龙岗区平湖街道上木古社区宝来工业区宝富路11号A栋3、4楼</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97.0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8</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深圳金拱门食品有限公司罗田路分店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深圳市宝安区新安街道创业路高发西岸花园1栋一层</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96.7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9</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星巴克咖啡（深圳）有限公司五洲星苑分店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snapToGrid w:val="0"/>
                <w:color w:val="000000"/>
                <w:kern w:val="0"/>
                <w:sz w:val="21"/>
                <w:szCs w:val="21"/>
                <w:lang w:val="en-US" w:eastAsia="zh-CN"/>
              </w:rPr>
              <w:t>深圳市新闻路12号五洲星苑B座南105及西106-107铺</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96.5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10</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深圳市蛇口育才教育集团育才中学食堂</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深圳市南山区招商街道工业六路二号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96.5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11</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深圳市蛇口育才教育集团育才二中食堂</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深圳市南山区招商街道爱榕路71号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96.5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12</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深圳市南山实验教育集团南海中学食堂</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深圳市月亮湾大道以东，前海路以西，东滨路以南</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95.6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13</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星巴克咖啡（深圳）有限公司深圳湾科技生态园一分店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深圳市沙河西路1819号深圳湾科技生态园7栋B座01层05-08,11-12号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95.1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14</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星巴克咖啡（深圳）有限公司福永国际会展中心分店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广东省深圳市宝安区展城路1号深圳国际会展中心中央廊道地上一层B4-A101商铺</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95.1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15</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深圳市鲜誉营养餐有限公司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深圳市龙华区福成街道福民社区鹏发第二工业区3号101</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94.6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16</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深圳市中食餐饮管理有限公司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龙华区清湖街道清湖工业城辉盛达工业厂房2栋</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94.2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17</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上海乐悦咖啡有限公司深圳国展中心店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深圳市宝安区福海街道和平社区展城路1号深圳国际会展中心中央廊道B1-103</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94.2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18</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深圳市南山区蛇口太子湾学校</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深圳市南山区望海路</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94.1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19</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星巴克咖啡（深圳）有限公司龙城广场分店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深圳市龙岗大道与龙城大道交汇处万科时代广场4栋零售商区地上一层L1-40A和L1-51单元</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93.7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20</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深圳市军供站</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深圳市龙华区民治街道志远北路2号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93.5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21</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深圳平安金融中心建设发展有限公司柏悦酒店（南塔）</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深圳市福田区益田路5023号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93.0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22</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深圳市南山区第二外国语学校（集团）学府中学食堂</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深圳市南山区商业文化中心区海德一道113号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92.9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23</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星巴克咖啡（深圳）有限公司京基百纳空间分店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深圳市深南东路5016号蔡屋围京基金融中心裙楼京基百纳空间一楼111号商铺</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92.3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24</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深圳青子衿餐饮实业有限公司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深圳市龙岗区平湖街道山厦社区新厦大道86号1-3层</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92.3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25</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南头中学</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深圳市南山区深南大道12034号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92.0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26</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深圳金拱门食品有限公司兴融二路分店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深圳市福田区民田路178号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91.7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27</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深圳骊阳春餐饮管理有限公司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深圳市宝安区福海街道和平社区展城路1号深圳国际会展中心1号展馆</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91.6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28</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深圳金拱门有限公司龙华星河传奇分店</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深圳市龙华区民治街道龙塘社区想和传奇花园三期商厦101-103</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90.8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29</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深圳市南山区蛇口学校食堂</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深圳市南山区蛇口花果路2号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90.6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30</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深圳市招华会展实业有限公司深圳国际会展中心皇冠假日酒店分公司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深圳市宝安区会展湾南岸广场B区2栋深圳国际会展中心皇冠假日酒店101</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89.6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31</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百胜餐饮（深圳）有限公司肯德基海上世界餐厅</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2"/>
                <w:sz w:val="21"/>
                <w:szCs w:val="21"/>
                <w:u w:val="none"/>
                <w:lang w:val="en-US" w:eastAsia="zh-CN" w:bidi="ar-SA"/>
              </w:rPr>
              <w:t>广东省深圳市南山区海滨花园商业中心1栋1-2层</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89.5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32</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香格里拉大酒店（深圳福田）有限公司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深圳市福田区益田路4088号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89.2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33</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北京师范大学南山附属学校初中部</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深圳市南山区东滨路3002号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88.5 </w:t>
            </w:r>
          </w:p>
        </w:tc>
      </w:tr>
      <w:tr>
        <w:tblPrEx>
          <w:tblLayout w:type="fixed"/>
          <w:tblCellMar>
            <w:top w:w="0" w:type="dxa"/>
            <w:left w:w="108" w:type="dxa"/>
            <w:bottom w:w="0" w:type="dxa"/>
            <w:right w:w="108" w:type="dxa"/>
          </w:tblCellMar>
        </w:tblPrEx>
        <w:trPr>
          <w:trHeight w:val="454" w:hRule="atLeast"/>
          <w:jc w:val="center"/>
        </w:trPr>
        <w:tc>
          <w:tcPr>
            <w:tcW w:w="46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34</w:t>
            </w:r>
          </w:p>
        </w:tc>
        <w:tc>
          <w:tcPr>
            <w:tcW w:w="508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深圳市欢筷营养配餐有限公司</w:t>
            </w:r>
          </w:p>
        </w:tc>
        <w:tc>
          <w:tcPr>
            <w:tcW w:w="741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深圳市宝安区新安街道布心社区74区布心二村C1栋201号</w:t>
            </w:r>
          </w:p>
        </w:tc>
        <w:tc>
          <w:tcPr>
            <w:tcW w:w="813"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88.5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35</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深圳市南山区第二实验学校师生食堂</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深圳市南山区香山西街6号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88.2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36</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深圳市唯绿农产品有限公司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龙岗区坪地街道龙岭南路26号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87.9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37</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深圳威尼斯酒店</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广东省深圳市南山区深南大道9026号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87.5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38</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彤心佳佳餐饮管理有限公司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深圳市南山区华侨城深南大道9026号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87.5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39</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深圳市合嘉乐食品有限公司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深圳市龙岗区龙城街道爱联社区陂头背新陂路220号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86.7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40</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加福投资（深圳）有限公司福朋喜来登酒店</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深圳市福田区桂花路5号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86.4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41</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深圳市大和丰餐饮管理有限公司（第二次评估）</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深圳市龙岗区南湾街道盛宝路12号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85.6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42</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深圳市山海轩酒店管理有限公司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深圳市盐田区北山道海美居2栋</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85.1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43</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南山区荔香学校</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广东省深圳市南山区南头街86号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84.6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44</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深圳市南山区前海学校食堂</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深圳市南山区桃李路1号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84.3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45</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深圳市万里旺餐饮管理有限公司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深圳市南山区桃源街道留仙大道同富裕工业城3号宿舍1楼108</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83.9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46</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深圳市鑫辉餐饮服务管理有限公司国创店</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深圳市福田区华富街道深南大道1006号A座负一层</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83.7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47</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深圳市和旭饮食文化传播有限公司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深圳市龙岗区平湖街道丹农路1号电商大厦2楼</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83.6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48</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深圳市蛇口教育集团育才三中师生食堂</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深圳市南山区海月路2号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83.5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49</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深圳大学师范学院附属中学（高中部）师生食堂</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深圳市南山区前海路42号</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83.3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50</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中教智康英达（深圳）餐饮有限责任公司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龙岗区平湖街道新木社区新园工业区33号101</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82.0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51</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深圳市饭饭得食品有限公司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 w:hAnsi="仿宋" w:eastAsia="仿宋" w:cs="仿宋"/>
                <w:b w:val="0"/>
                <w:bCs w:val="0"/>
                <w:snapToGrid w:val="0"/>
                <w:color w:val="000000"/>
                <w:kern w:val="0"/>
                <w:sz w:val="21"/>
                <w:szCs w:val="21"/>
                <w:lang w:val="en-US" w:eastAsia="zh-CN" w:bidi="ar-SA"/>
              </w:rPr>
            </w:pPr>
            <w:r>
              <w:rPr>
                <w:rFonts w:hint="eastAsia" w:ascii="仿宋" w:hAnsi="仿宋" w:eastAsia="仿宋" w:cs="仿宋"/>
                <w:b w:val="0"/>
                <w:bCs w:val="0"/>
                <w:snapToGrid w:val="0"/>
                <w:color w:val="000000"/>
                <w:kern w:val="0"/>
                <w:sz w:val="21"/>
                <w:szCs w:val="21"/>
                <w:lang w:val="en-US" w:eastAsia="zh-CN" w:bidi="ar-SA"/>
              </w:rPr>
              <w:t>深圳市光明区长丰工业园7栋b区</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81.9 </w:t>
            </w:r>
          </w:p>
        </w:tc>
      </w:tr>
      <w:tr>
        <w:tblPrEx>
          <w:tblLayout w:type="fixed"/>
          <w:tblCellMar>
            <w:top w:w="0" w:type="dxa"/>
            <w:left w:w="108" w:type="dxa"/>
            <w:bottom w:w="0" w:type="dxa"/>
            <w:right w:w="108" w:type="dxa"/>
          </w:tblCellMar>
        </w:tblPrEx>
        <w:trPr>
          <w:trHeight w:val="454" w:hRule="atLeast"/>
          <w:jc w:val="center"/>
        </w:trPr>
        <w:tc>
          <w:tcPr>
            <w:tcW w:w="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color w:val="000000"/>
                <w:kern w:val="0"/>
                <w:sz w:val="21"/>
                <w:szCs w:val="21"/>
              </w:rPr>
              <w:t>52</w:t>
            </w:r>
          </w:p>
        </w:tc>
        <w:tc>
          <w:tcPr>
            <w:tcW w:w="50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广东天地和实业控股集团有限公司</w:t>
            </w:r>
          </w:p>
        </w:tc>
        <w:tc>
          <w:tcPr>
            <w:tcW w:w="741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bottom"/>
              <w:rPr>
                <w:rFonts w:hint="eastAsia" w:ascii="仿宋" w:hAnsi="仿宋" w:eastAsia="仿宋" w:cs="仿宋"/>
                <w:i w:val="0"/>
                <w:color w:val="000000"/>
                <w:kern w:val="2"/>
                <w:sz w:val="21"/>
                <w:szCs w:val="21"/>
                <w:u w:val="none"/>
                <w:lang w:val="en-US" w:eastAsia="zh-CN" w:bidi="ar-SA"/>
              </w:rPr>
            </w:pPr>
            <w:r>
              <w:rPr>
                <w:rFonts w:hint="eastAsia" w:ascii="仿宋" w:hAnsi="仿宋" w:eastAsia="仿宋" w:cs="仿宋"/>
                <w:i w:val="0"/>
                <w:color w:val="000000"/>
                <w:kern w:val="0"/>
                <w:sz w:val="21"/>
                <w:szCs w:val="21"/>
                <w:u w:val="none"/>
                <w:lang w:val="en-US" w:eastAsia="zh-CN" w:bidi="ar"/>
              </w:rPr>
              <w:t>深圳宝安区航城街道黄田社区杨背吉祥工业区综合楼2栋</w:t>
            </w:r>
          </w:p>
        </w:tc>
        <w:tc>
          <w:tcPr>
            <w:tcW w:w="8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snapToGrid w:val="0"/>
                <w:kern w:val="0"/>
                <w:sz w:val="21"/>
                <w:szCs w:val="21"/>
                <w:lang w:val="en-US" w:eastAsia="zh-CN" w:bidi="ar-SA"/>
              </w:rPr>
            </w:pPr>
            <w:r>
              <w:rPr>
                <w:rFonts w:hint="eastAsia" w:ascii="仿宋" w:hAnsi="仿宋" w:eastAsia="仿宋" w:cs="仿宋"/>
                <w:i w:val="0"/>
                <w:color w:val="000000"/>
                <w:kern w:val="0"/>
                <w:sz w:val="21"/>
                <w:szCs w:val="21"/>
                <w:u w:val="none"/>
                <w:lang w:val="en-US" w:eastAsia="zh-CN" w:bidi="ar"/>
              </w:rPr>
              <w:t xml:space="preserve">80.7 </w:t>
            </w:r>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firstLine="420" w:firstLineChars="200"/>
        <w:jc w:val="both"/>
        <w:textAlignment w:val="auto"/>
        <w:rPr>
          <w:rFonts w:hint="eastAsia" w:ascii="仿宋_GB2312" w:hAnsi="宋体" w:eastAsia="仿宋_GB2312" w:cs="宋体"/>
          <w:b w:val="0"/>
          <w:bCs w:val="0"/>
          <w:snapToGrid w:val="0"/>
          <w:kern w:val="0"/>
          <w:sz w:val="21"/>
          <w:szCs w:val="21"/>
          <w:lang w:val="en-US" w:eastAsia="zh-CN" w:bidi="ar-SA"/>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rPr>
          <w:rFonts w:hint="eastAsia"/>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pStyle w:val="2"/>
        <w:keepNext/>
        <w:pageBreakBefore w:val="0"/>
        <w:kinsoku/>
        <w:wordWrap/>
        <w:overflowPunct/>
        <w:topLinePunct w:val="0"/>
        <w:autoSpaceDE/>
        <w:autoSpaceDN/>
        <w:bidi w:val="0"/>
        <w:adjustRightInd/>
        <w:spacing w:line="600" w:lineRule="exact"/>
        <w:jc w:val="both"/>
        <w:rPr>
          <w:rFonts w:hint="eastAsia" w:ascii="黑体" w:hAnsi="黑体" w:cs="黑体"/>
          <w:snapToGrid w:val="0"/>
          <w:kern w:val="0"/>
          <w:sz w:val="32"/>
          <w:szCs w:val="32"/>
          <w:lang w:eastAsia="zh-CN"/>
        </w:rPr>
      </w:pPr>
    </w:p>
    <w:p>
      <w:pPr>
        <w:rPr>
          <w:rFonts w:hint="eastAsia"/>
          <w:lang w:eastAsia="zh-CN"/>
        </w:rPr>
      </w:pPr>
    </w:p>
    <w:p>
      <w:pPr>
        <w:pStyle w:val="2"/>
        <w:keepNext/>
        <w:pageBreakBefore w:val="0"/>
        <w:kinsoku/>
        <w:wordWrap/>
        <w:overflowPunct/>
        <w:topLinePunct w:val="0"/>
        <w:autoSpaceDE/>
        <w:autoSpaceDN/>
        <w:bidi w:val="0"/>
        <w:adjustRightInd/>
        <w:spacing w:line="600" w:lineRule="exact"/>
        <w:jc w:val="center"/>
        <w:rPr>
          <w:rFonts w:hint="eastAsia" w:ascii="黑体" w:hAnsi="黑体" w:cs="黑体"/>
          <w:snapToGrid w:val="0"/>
          <w:kern w:val="0"/>
          <w:sz w:val="32"/>
          <w:szCs w:val="32"/>
          <w:lang w:eastAsia="zh-CN"/>
        </w:rPr>
      </w:pPr>
      <w:r>
        <w:rPr>
          <w:rFonts w:hint="eastAsia" w:ascii="黑体" w:hAnsi="黑体" w:cs="黑体"/>
          <w:snapToGrid w:val="0"/>
          <w:kern w:val="0"/>
          <w:sz w:val="32"/>
          <w:szCs w:val="32"/>
          <w:lang w:eastAsia="zh-CN"/>
        </w:rPr>
        <w:t>表</w:t>
      </w:r>
      <w:r>
        <w:rPr>
          <w:rFonts w:hint="eastAsia" w:ascii="黑体" w:hAnsi="黑体" w:cs="黑体"/>
          <w:snapToGrid w:val="0"/>
          <w:kern w:val="0"/>
          <w:sz w:val="32"/>
          <w:szCs w:val="32"/>
          <w:lang w:val="en-US" w:eastAsia="zh-CN"/>
        </w:rPr>
        <w:t>2：</w:t>
      </w:r>
      <w:r>
        <w:rPr>
          <w:rFonts w:hint="eastAsia" w:ascii="黑体" w:hAnsi="黑体" w:cs="黑体"/>
          <w:snapToGrid w:val="0"/>
          <w:kern w:val="0"/>
          <w:sz w:val="32"/>
          <w:szCs w:val="32"/>
          <w:lang w:eastAsia="zh-CN"/>
        </w:rPr>
        <w:t>深圳市重大活动供餐单位食品安全评估结果</w:t>
      </w:r>
    </w:p>
    <w:p>
      <w:pPr>
        <w:pStyle w:val="2"/>
        <w:keepNext/>
        <w:pageBreakBefore w:val="0"/>
        <w:kinsoku/>
        <w:wordWrap/>
        <w:overflowPunct/>
        <w:topLinePunct w:val="0"/>
        <w:autoSpaceDE/>
        <w:autoSpaceDN/>
        <w:bidi w:val="0"/>
        <w:adjustRightInd/>
        <w:spacing w:line="600" w:lineRule="exact"/>
        <w:jc w:val="center"/>
        <w:rPr>
          <w:rFonts w:hint="eastAsia" w:ascii="黑体" w:hAnsi="黑体" w:cs="黑体"/>
          <w:snapToGrid w:val="0"/>
          <w:kern w:val="0"/>
          <w:sz w:val="32"/>
          <w:szCs w:val="32"/>
          <w:lang w:val="en-US" w:eastAsia="zh-CN"/>
        </w:rPr>
      </w:pPr>
      <w:r>
        <w:rPr>
          <w:rFonts w:hint="eastAsia" w:ascii="黑体" w:hAnsi="黑体" w:cs="黑体"/>
          <w:snapToGrid w:val="0"/>
          <w:kern w:val="0"/>
          <w:sz w:val="32"/>
          <w:szCs w:val="32"/>
          <w:lang w:eastAsia="zh-CN"/>
        </w:rPr>
        <w:t>（</w:t>
      </w:r>
      <w:r>
        <w:rPr>
          <w:rFonts w:hint="eastAsia" w:ascii="黑体" w:hAnsi="黑体" w:cs="黑体"/>
          <w:snapToGrid w:val="0"/>
          <w:kern w:val="0"/>
          <w:sz w:val="32"/>
          <w:szCs w:val="32"/>
          <w:lang w:val="en-US" w:eastAsia="zh-CN"/>
        </w:rPr>
        <w:t>2019年度</w:t>
      </w:r>
      <w:r>
        <w:rPr>
          <w:rFonts w:hint="eastAsia" w:ascii="黑体" w:hAnsi="黑体" w:cs="黑体"/>
          <w:snapToGrid w:val="0"/>
          <w:kern w:val="0"/>
          <w:sz w:val="32"/>
          <w:szCs w:val="32"/>
          <w:lang w:eastAsia="zh-CN"/>
        </w:rPr>
        <w:t>）</w:t>
      </w:r>
    </w:p>
    <w:tbl>
      <w:tblPr>
        <w:tblStyle w:val="4"/>
        <w:tblW w:w="14080" w:type="dxa"/>
        <w:jc w:val="center"/>
        <w:tblInd w:w="0" w:type="dxa"/>
        <w:tblLayout w:type="fixed"/>
        <w:tblCellMar>
          <w:top w:w="0" w:type="dxa"/>
          <w:left w:w="108" w:type="dxa"/>
          <w:bottom w:w="0" w:type="dxa"/>
          <w:right w:w="108" w:type="dxa"/>
        </w:tblCellMar>
      </w:tblPr>
      <w:tblGrid>
        <w:gridCol w:w="448"/>
        <w:gridCol w:w="5715"/>
        <w:gridCol w:w="6867"/>
        <w:gridCol w:w="1050"/>
      </w:tblGrid>
      <w:tr>
        <w:tblPrEx>
          <w:tblLayout w:type="fixed"/>
          <w:tblCellMar>
            <w:top w:w="0" w:type="dxa"/>
            <w:left w:w="108" w:type="dxa"/>
            <w:bottom w:w="0" w:type="dxa"/>
            <w:right w:w="108" w:type="dxa"/>
          </w:tblCellMar>
        </w:tblPrEx>
        <w:trPr>
          <w:trHeight w:val="279"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序号</w:t>
            </w:r>
          </w:p>
        </w:tc>
        <w:tc>
          <w:tcPr>
            <w:tcW w:w="57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单位名称</w:t>
            </w:r>
          </w:p>
        </w:tc>
        <w:tc>
          <w:tcPr>
            <w:tcW w:w="68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单位地址</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得分</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深圳市红荔村餐饮有限公司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深圳市龙岗区平湖街道上木古社区宝来工业区宝富路11号红荔村加工厂</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95.3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深圳市五洲宾馆有限责任公司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深圳市福田区深南大道6001号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95.1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深圳市光明区高级中学食堂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深圳市光明新区公明街道将石村新围路5号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94.6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4</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深圳华侨城滨海有限公司华侨城万豪酒店</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深圳市宝安区新安街道宝兴路8号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94.3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5</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深圳市金谷园实业发展有限公司金穗营养配餐中心</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深圳市南山区西丽街道大磡村福丽农村200号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93.8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6</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深圳华侨城大酒店有限公司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深圳市南山区华侨城深南大道9009号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93.5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7</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深圳市第二职业技术学校（深圳市成人中等专业学校）二食堂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深圳市光明区光明新区公明街道楼村社区凤新路6号深圳市第二职业技术学校食堂大楼一层、二楼</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93.5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8</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深圳市光明区实验学校食堂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深圳市光明区公明街道东隆路92号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93.5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9</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深圳市欢筷营养配餐有限公司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深圳市宝安区新安街道布心社区74区布心二村C1栋201</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93.2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10</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深圳市光明书院食堂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深圳市光明区光明办事处红湖村168号公寓楼一楼</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11</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深圳市坪山区城投酒店管理有限公司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深圳市坪山区瑞景路36号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12</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深圳市军供站</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深圳市龙华区致远北路2号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92.7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13</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深圳面点王饮食连锁有限公司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深圳市福田区园玲街道八卦三路医药公司大厦一楼</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92.5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14</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深圳市光明新区公明中英文学校师生食堂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深圳市光明新区公明办事处别墅路6号公明中英文学校内</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92.4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15</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深圳市京基一百大厦酒店管理有限公司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深圳市罗湖区桂园街道 深南东路5016号京基一百大厦A栋-3、5、95、96、99、100层</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92.1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16</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百胜餐饮（深圳）有限公司肯德基华强餐厅</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深圳市福田区华强北路2001号深纺大厦AB座2层016</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92.1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17</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百胜餐饮（深圳）有限公司肯德基世界之窗餐厅</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深圳市南山区世界之窗前广场西侧一、二楼</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92.1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18</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深圳市坪山区坪山实验学校</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深圳市坪山街道长安一路与行政二路交汇处</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91.8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19</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深圳市育新学校食堂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深圳市光明新区光明华侨畜牧场谷坑E栋一楼</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91.5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20</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深圳麒麟山庄</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深圳市南山区西丽街道沁园路4599号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91.0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21</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百胜餐饮（深圳）有限公司肯德基星河时代餐厅</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深圳市龙岗区爱南路星河时代</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90.9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22</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深圳市坪山高级中学清真食堂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深圳市坪山区坪山街道沿河路1号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90.4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23</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百胜餐饮（深圳）有限公司肯德基大鹏餐厅</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深圳市大鹏新区大鹏街道王母社区迎宾北路18号103、202</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90.2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24</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深圳市光明中学师生食堂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深圳市光明新区光明办事处校园路光明中学师生宿舍楼一、二层</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90.1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25</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深圳市第二职业技术学校（深圳市成人中等专业学校）食堂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深圳市光明新区光明中心区公园大道北侧新疆学生班清真食堂</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89.9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26</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深圳市南岭股份合作公司求水山酒店（第二次评估）</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深圳市龙岗区南湾街道南园路2号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89.4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27</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深圳福田香格里拉大酒店</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深圳市福田区益田路4088号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89.1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28</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深圳蛇口海上世界酒店管理有限公司蛇口希尔顿南海酒店</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深圳市南山区蛇口望海路1177号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29</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深圳迎宾馆有限公司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深圳市罗湖区人民公园路20号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30</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深圳鸿兴莱华酒店有限公司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深圳市大鹏新区新东路28号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88.9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31</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深圳市高级中学中心校区（北）学生食堂</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深圳市福田区春田路2号</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88.8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32</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深圳金拱门食品有限公司怡景中心城分店</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深圳市福田区福华路大中华交易广场西侧怡景中心城G层FG002号商铺</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88.6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33</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深圳市圣淘沙酒店管理有限公司桃园分公司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深圳市南山区南头街道西厦国际中心金牛广场</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88.6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34</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深圳市鑫辉餐饮服务管理有限公司</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深圳市南山区粤海街道科技园科丰路2号特发信息港C栋2、3层</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88.5 </w:t>
            </w:r>
          </w:p>
        </w:tc>
      </w:tr>
      <w:tr>
        <w:tblPrEx>
          <w:tblLayout w:type="fixed"/>
          <w:tblCellMar>
            <w:top w:w="0" w:type="dxa"/>
            <w:left w:w="108" w:type="dxa"/>
            <w:bottom w:w="0" w:type="dxa"/>
            <w:right w:w="108" w:type="dxa"/>
          </w:tblCellMar>
        </w:tblPrEx>
        <w:trPr>
          <w:trHeight w:val="454" w:hRule="atLeast"/>
          <w:jc w:val="center"/>
        </w:trPr>
        <w:tc>
          <w:tcPr>
            <w:tcW w:w="44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35</w:t>
            </w:r>
          </w:p>
        </w:tc>
        <w:tc>
          <w:tcPr>
            <w:tcW w:w="5715"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百胜餐饮（广东）有限公司深圳必胜客中心城餐厅</w:t>
            </w:r>
          </w:p>
        </w:tc>
        <w:tc>
          <w:tcPr>
            <w:tcW w:w="6867" w:type="dxa"/>
            <w:tcBorders>
              <w:top w:val="nil"/>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深圳市福田区福田街道福华路大中华交易广场西侧怡景中心城G层、UG层部分</w:t>
            </w:r>
          </w:p>
        </w:tc>
        <w:tc>
          <w:tcPr>
            <w:tcW w:w="1050"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88.4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36</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深圳香格里拉大酒店有限公司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深圳市罗湖区建设路1002号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88.3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37</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深圳阳光酒店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深圳市罗湖区嘉宾路一号芙蓉大厦c座一、二层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87.7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38</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深圳金拱门食品有限公司深圳机场交通中心分店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深圳市宝安区宝安国际机场空港8道地面交通中心二楼GTC-209室</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87.5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39</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深圳市龙岗区布吉高级中学食堂</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深圳市龙岗区南湾街道南岭社区黄金南路49号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87.4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40</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深圳紫荆山庄</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深圳市南山区丽紫路1号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87.2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41</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西贝第一餐饮有限公司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深圳市南山区白石路东8号欢乐海岸曲水湾2栋H区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87.2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color w:val="000000"/>
                <w:kern w:val="0"/>
                <w:sz w:val="21"/>
                <w:szCs w:val="21"/>
              </w:rPr>
              <w:t>42</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深圳市龙岗区布吉街道可园学校教职工食堂</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深圳市龙岗区布吉街道育苗路3号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87.1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43</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京基集团有限公司大梅沙喜来登酒店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深圳市盐田区大梅沙盐梅路南侧</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44</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深圳正中酒店餐饮管理有限公司隐秀山居酒店中、西餐厅</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深圳市龙岗区宝荷路正中高尔夫球场内</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45</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深圳市中海凯骊酒店有限公司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深圳市龙岗区龙城街道大运路168号塔楼裙楼二、三层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46</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深圳金拱门食品有限公司T3航站楼分店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深圳市宝安区宝安国际机场T3航站楼编号为5R-01-05经营网点</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86.5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47</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深圳威尼斯睿途酒店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深圳市南山区华侨城深南大道9026号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86.4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48</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深圳市博林酒店有限公司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深圳市福田区侨城东路2002号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86.1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49</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深圳市嘉旺餐饮连锁有限公司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深圳市龙岗区龙岗街道同乐社区坑尾村工业区景盛路72号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86.0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50</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深圳高级中学（集体）北校区师生食堂</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深圳市龙华区民繁路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85.9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51</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深圳金拱门食品有限公司大运得来速分店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深圳市龙岗区龙翔大道3001号大运中心之3号地块部位</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85.8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52</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深圳市金沙湾大酒店有限公司佳兆业万豪酒店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深圳市大鹏新区大鹏街道下沙金沙大道8号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85.6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53</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深圳市雅枫国际酒店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深圳市福田区景田商报东路70号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85.1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54</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百胜餐饮（广东）有限公司深圳必胜客星河时代餐厅</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深圳市龙岗区爱南路星河时代</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85.1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55</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华润（深圳）君悦酒店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深圳市罗湖区宝安南路1881号华润中心君悦酒店</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85.0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56</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深圳市高级中学（中心校区）师生食堂</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深圳市福田区春田路2号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84.7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57</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深圳市葵南粤南春餐饮有限公司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深圳市大鹏新区大鹏街道布新路12号宝资源科技园C栋1-2楼</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84.5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58</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深圳市大都乐餐饮管理有限公司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深圳市宝安区松岗街道燕川社区燕山大道99号永建鸿科技园B栋104</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84.3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59</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深圳市万里旺餐饮管理有限公司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深圳市南山区桃源街道留仙大道同富裕工业城3号宿舍1楼108</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84.3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60</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深圳市饭饭得食品有限公司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深圳市光明新区公明办事处东坑社区长丰工业园第7栋1-5楼B区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83.7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61</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深圳市珠江广场投资有限公司酒店管理分公司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深圳市龙岗区龙城街道龙岗中心城龙翔大道9009号C栋1层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83.7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62</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圣淘沙酒店（翡翠明珠店）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深圳市南山区桃园路北侧田厦翡翠明珠花园</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83.5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63</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深圳市香江置业有限公司中洲万豪酒店分公司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深圳市南山区后海大道与海德一道交汇处中洲控股中心A座44层、B座层、A座负一层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82.9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64</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开元餐饮管理有限公司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深圳市南山区南海大道1029号万融大厦C座G层02-03号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82.6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65</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深圳市会展国宴餐饮管理有限公司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深圳市福田区福田街道福田中心区福华三路深圳会展中心餐饮广场B-1北侧房间、C-1房间</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82.6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66</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深圳市唯绿农产品有限公司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深圳市龙岗区坪地街道龙岭南路26号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82.4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67</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深圳恒丰海悦国际酒店有限公司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深圳市宝安区西乡镇宝城80区新城广场</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81.8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68</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中教智康英达（深圳）餐饮有限责任公司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深圳市龙岗区平湖街道新木社区新园工业区33号101</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81.8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69</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深圳市浪骑游艇会有限公司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深圳市大鹏新区南澳街道东山社区新东路88号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81.7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70</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深圳市一米厨房餐饮管理有限公司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深圳市龙岗区吉华街道甘李6路7号4A一楼</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81.6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71</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深圳友和国际酒店有限公司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深圳市龙岗区龙城街道中心城吉祥路588号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81.5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72</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雅兰置业（深圳）有限公示雅兰酒店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深圳市盐田区大梅沙盐梅路92号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81.3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73</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深圳宝立方酒店管理有限公司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深圳市宝安区西乡街道新安四路198号宝立方D座第三层东南、第四层，C座一层至十六层</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80.9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74</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秀峰渡假俱乐部（深圳）有限公司大梅沙海景酒店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深圳市盐田区盐梅路大梅沙海景酒店3-5号楼</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80.9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75</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深圳市观澜格兰云天大酒店投资有限公司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深圳市龙华区观澜大道环观南路</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80.7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76</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华润置地（深圳）发展有限公示木棉花酒店</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深圳市南山区海德三道深圳湾体育中心运动员接待中心</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80.2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77</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深圳市合嘉乐食品有限公司</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深圳市龙岗区龙城街道爱联社区陂头背村新陂路220号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80.2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78</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深圳市启腾酒店投资管理有限公司启腾奥林宾馆</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深圳市龙岗区体育中心自行赛场路1号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80.2 </w:t>
            </w:r>
          </w:p>
        </w:tc>
      </w:tr>
      <w:tr>
        <w:tblPrEx>
          <w:tblLayout w:type="fixed"/>
          <w:tblCellMar>
            <w:top w:w="0" w:type="dxa"/>
            <w:left w:w="108" w:type="dxa"/>
            <w:bottom w:w="0" w:type="dxa"/>
            <w:right w:w="108" w:type="dxa"/>
          </w:tblCellMar>
        </w:tblPrEx>
        <w:trPr>
          <w:trHeight w:val="454" w:hRule="atLeast"/>
          <w:jc w:val="center"/>
        </w:trPr>
        <w:tc>
          <w:tcPr>
            <w:tcW w:w="4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79</w:t>
            </w:r>
          </w:p>
        </w:tc>
        <w:tc>
          <w:tcPr>
            <w:tcW w:w="5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深圳市坪山区坪山高级中学本地食堂</w:t>
            </w:r>
          </w:p>
        </w:tc>
        <w:tc>
          <w:tcPr>
            <w:tcW w:w="68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深圳市坪山区坪山街道沿河路1号</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80.1 </w:t>
            </w:r>
          </w:p>
        </w:tc>
      </w:tr>
    </w:tbl>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仿宋_GB2312" w:hAnsi="宋体" w:eastAsia="仿宋_GB2312" w:cs="宋体"/>
          <w:b w:val="0"/>
          <w:bCs w:val="0"/>
          <w:snapToGrid w:val="0"/>
          <w:kern w:val="0"/>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rPr>
      </w:pPr>
      <w:r>
        <w:rPr>
          <w:rFonts w:hint="eastAsia" w:ascii="仿宋_GB2312" w:hAnsi="宋体" w:eastAsia="仿宋_GB2312" w:cs="宋体"/>
          <w:b w:val="0"/>
          <w:bCs w:val="0"/>
          <w:snapToGrid w:val="0"/>
          <w:kern w:val="0"/>
          <w:sz w:val="21"/>
          <w:szCs w:val="21"/>
          <w:lang w:val="en-US" w:eastAsia="zh-CN" w:bidi="ar-SA"/>
        </w:rPr>
        <w:t>说明：1.依据《食品安全法》《餐饮服务食品安全操作规范》《重大活动食品安全监督管理办法（试行）》等法律法规制定《深圳市重大活动餐饮服务供餐单位现场评估表》，评估总分值为200分，评估内容包括证照管理、机构管理、人员管理等20大项、88项条款。2.评估分值根据供餐单位的经营业态、类型进行合理缺项积分，按百分制换算得到最终评估得分。</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D0F68"/>
    <w:rsid w:val="6F4D0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caption"/>
    <w:basedOn w:val="1"/>
    <w:next w:val="1"/>
    <w:qFormat/>
    <w:uiPriority w:val="35"/>
    <w:rPr>
      <w:rFonts w:ascii="Cambria" w:hAnsi="Cambria" w:eastAsia="黑体" w:cs="Times New Roman"/>
      <w:sz w:val="20"/>
      <w:szCs w:val="20"/>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2020-11-24T07:25:00Z</dcterms:created>
  <dc:creator>潘圣恩</dc:creator>
  <cp:lastModifiedBy>潘圣恩</cp:lastModifiedBy>
  <dcterms:modified xsi:type="dcterms:W3CDTF">2020-11-24T07:25:36Z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