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CB" w:rsidRPr="006E531E" w:rsidRDefault="00D26F28" w:rsidP="006E531E">
      <w:pPr>
        <w:widowControl/>
        <w:spacing w:before="150" w:after="150" w:line="525" w:lineRule="atLeast"/>
        <w:jc w:val="center"/>
        <w:rPr>
          <w:rFonts w:ascii="方正小标宋简体" w:eastAsia="方正小标宋简体" w:hAnsi="宋体" w:cs="宋体"/>
          <w:color w:val="333333"/>
          <w:kern w:val="0"/>
          <w:sz w:val="44"/>
          <w:szCs w:val="44"/>
        </w:rPr>
      </w:pPr>
      <w:r w:rsidRPr="006E531E">
        <w:rPr>
          <w:rFonts w:ascii="方正小标宋简体" w:eastAsia="方正小标宋简体" w:hAnsi="宋体" w:cs="宋体" w:hint="eastAsia"/>
          <w:color w:val="333333"/>
          <w:kern w:val="0"/>
          <w:sz w:val="44"/>
          <w:szCs w:val="44"/>
        </w:rPr>
        <w:t>执法过程中当事人享有的权利</w:t>
      </w:r>
    </w:p>
    <w:tbl>
      <w:tblPr>
        <w:tblpPr w:leftFromText="180" w:rightFromText="180" w:vertAnchor="text" w:horzAnchor="margin" w:tblpXSpec="center" w:tblpY="254"/>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31"/>
        <w:gridCol w:w="749"/>
        <w:gridCol w:w="2172"/>
        <w:gridCol w:w="1998"/>
        <w:gridCol w:w="7512"/>
      </w:tblGrid>
      <w:tr w:rsidR="002B77CB" w:rsidRPr="00D26F28" w:rsidTr="00004306">
        <w:trPr>
          <w:trHeight w:val="1260"/>
        </w:trPr>
        <w:tc>
          <w:tcPr>
            <w:tcW w:w="13062" w:type="dxa"/>
            <w:gridSpan w:val="5"/>
            <w:tcBorders>
              <w:top w:val="single" w:sz="6" w:space="0" w:color="000000"/>
              <w:left w:val="single" w:sz="6" w:space="0" w:color="000000"/>
              <w:bottom w:val="single" w:sz="6" w:space="0" w:color="000000"/>
              <w:right w:val="single" w:sz="6" w:space="0" w:color="000000"/>
            </w:tcBorders>
            <w:vAlign w:val="center"/>
            <w:hideMark/>
          </w:tcPr>
          <w:p w:rsidR="002B77CB" w:rsidRPr="006E531E" w:rsidRDefault="002B77CB" w:rsidP="002B77CB">
            <w:pPr>
              <w:widowControl/>
              <w:spacing w:before="150" w:after="150" w:line="525" w:lineRule="atLeast"/>
              <w:jc w:val="center"/>
              <w:rPr>
                <w:rFonts w:ascii="宋体" w:eastAsia="宋体" w:hAnsi="宋体" w:cs="宋体"/>
                <w:b/>
                <w:color w:val="333333"/>
                <w:kern w:val="0"/>
                <w:sz w:val="36"/>
                <w:szCs w:val="36"/>
              </w:rPr>
            </w:pPr>
            <w:r w:rsidRPr="006E531E">
              <w:rPr>
                <w:rFonts w:ascii="宋体" w:eastAsia="宋体" w:hAnsi="宋体" w:cs="宋体" w:hint="eastAsia"/>
                <w:b/>
                <w:color w:val="333333"/>
                <w:kern w:val="0"/>
                <w:sz w:val="36"/>
                <w:szCs w:val="36"/>
              </w:rPr>
              <w:t>一、行政处罚</w:t>
            </w:r>
          </w:p>
        </w:tc>
      </w:tr>
      <w:tr w:rsidR="002B77CB" w:rsidRPr="00D26F28" w:rsidTr="00004306">
        <w:trPr>
          <w:trHeight w:val="1055"/>
        </w:trPr>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2B77CB" w:rsidRDefault="002B77CB" w:rsidP="002B77CB">
            <w:pPr>
              <w:widowControl/>
              <w:spacing w:before="150" w:after="150" w:line="525" w:lineRule="atLeast"/>
              <w:jc w:val="center"/>
              <w:rPr>
                <w:rFonts w:ascii="宋体" w:eastAsia="宋体" w:hAnsi="宋体" w:cs="宋体"/>
                <w:b/>
                <w:color w:val="333333"/>
                <w:kern w:val="0"/>
                <w:sz w:val="24"/>
                <w:szCs w:val="24"/>
              </w:rPr>
            </w:pPr>
            <w:r w:rsidRPr="002B77CB">
              <w:rPr>
                <w:rFonts w:ascii="宋体" w:eastAsia="宋体" w:hAnsi="宋体" w:cs="宋体" w:hint="eastAsia"/>
                <w:b/>
                <w:color w:val="333333"/>
                <w:kern w:val="0"/>
                <w:sz w:val="24"/>
                <w:szCs w:val="24"/>
              </w:rPr>
              <w:t>序号</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2B77CB" w:rsidRDefault="002B77CB" w:rsidP="002B77CB">
            <w:pPr>
              <w:widowControl/>
              <w:spacing w:before="150" w:after="150" w:line="525" w:lineRule="atLeast"/>
              <w:jc w:val="center"/>
              <w:rPr>
                <w:rFonts w:ascii="宋体" w:eastAsia="宋体" w:hAnsi="宋体" w:cs="宋体"/>
                <w:b/>
                <w:color w:val="333333"/>
                <w:kern w:val="0"/>
                <w:sz w:val="24"/>
                <w:szCs w:val="24"/>
              </w:rPr>
            </w:pPr>
            <w:r w:rsidRPr="002B77CB">
              <w:rPr>
                <w:rFonts w:ascii="宋体" w:eastAsia="宋体" w:hAnsi="宋体" w:cs="宋体" w:hint="eastAsia"/>
                <w:b/>
                <w:color w:val="333333"/>
                <w:kern w:val="0"/>
                <w:sz w:val="24"/>
                <w:szCs w:val="24"/>
              </w:rPr>
              <w:t>主体</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2B77CB" w:rsidRDefault="002B77CB" w:rsidP="002B77CB">
            <w:pPr>
              <w:widowControl/>
              <w:spacing w:before="150" w:after="150" w:line="525" w:lineRule="atLeast"/>
              <w:jc w:val="center"/>
              <w:rPr>
                <w:rFonts w:ascii="宋体" w:eastAsia="宋体" w:hAnsi="宋体" w:cs="宋体"/>
                <w:b/>
                <w:color w:val="333333"/>
                <w:kern w:val="0"/>
                <w:sz w:val="24"/>
                <w:szCs w:val="24"/>
              </w:rPr>
            </w:pPr>
            <w:r w:rsidRPr="002B77CB">
              <w:rPr>
                <w:rFonts w:ascii="宋体" w:eastAsia="宋体" w:hAnsi="宋体" w:cs="宋体" w:hint="eastAsia"/>
                <w:b/>
                <w:color w:val="333333"/>
                <w:kern w:val="0"/>
                <w:sz w:val="24"/>
                <w:szCs w:val="24"/>
              </w:rPr>
              <w:t>权利类型</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2B77CB" w:rsidRDefault="002B77CB" w:rsidP="002B77CB">
            <w:pPr>
              <w:widowControl/>
              <w:spacing w:before="150" w:after="150" w:line="525" w:lineRule="atLeast"/>
              <w:jc w:val="center"/>
              <w:rPr>
                <w:rFonts w:ascii="宋体" w:eastAsia="宋体" w:hAnsi="宋体" w:cs="宋体"/>
                <w:b/>
                <w:color w:val="333333"/>
                <w:kern w:val="0"/>
                <w:sz w:val="24"/>
                <w:szCs w:val="24"/>
              </w:rPr>
            </w:pPr>
            <w:r w:rsidRPr="002B77CB">
              <w:rPr>
                <w:rFonts w:ascii="宋体" w:eastAsia="宋体" w:hAnsi="宋体" w:cs="宋体" w:hint="eastAsia"/>
                <w:b/>
                <w:color w:val="333333"/>
                <w:kern w:val="0"/>
                <w:sz w:val="24"/>
                <w:szCs w:val="24"/>
              </w:rPr>
              <w:t>受理机关</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2B77CB" w:rsidRDefault="002B77CB" w:rsidP="002B77CB">
            <w:pPr>
              <w:widowControl/>
              <w:spacing w:before="150" w:after="150" w:line="525" w:lineRule="atLeast"/>
              <w:jc w:val="center"/>
              <w:rPr>
                <w:rFonts w:ascii="宋体" w:eastAsia="宋体" w:hAnsi="宋体" w:cs="宋体"/>
                <w:b/>
                <w:color w:val="333333"/>
                <w:kern w:val="0"/>
                <w:sz w:val="24"/>
                <w:szCs w:val="24"/>
              </w:rPr>
            </w:pPr>
            <w:r w:rsidRPr="002B77CB">
              <w:rPr>
                <w:rFonts w:ascii="宋体" w:eastAsia="宋体" w:hAnsi="宋体" w:cs="宋体" w:hint="eastAsia"/>
                <w:b/>
                <w:color w:val="333333"/>
                <w:kern w:val="0"/>
                <w:sz w:val="24"/>
                <w:szCs w:val="24"/>
              </w:rPr>
              <w:t>法律依据</w:t>
            </w:r>
          </w:p>
        </w:tc>
      </w:tr>
      <w:tr w:rsidR="002B77CB" w:rsidRPr="00D26F28" w:rsidTr="00004306">
        <w:trPr>
          <w:trHeight w:val="2819"/>
        </w:trPr>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1</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陈述、申辩权利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《行政处罚法》第三十二条第一款　当事人有权进行陈述和申辩。行政机关必须充分听取当事人的意见，对当事人提出的事实、理由和证据，应当进行复核；当事人提出的事实、理由或者证据成立的，行政机关应当采纳。</w:t>
            </w:r>
          </w:p>
        </w:tc>
      </w:tr>
      <w:tr w:rsidR="002B77CB" w:rsidRPr="00D26F28" w:rsidTr="00004306">
        <w:trPr>
          <w:trHeight w:val="1677"/>
        </w:trPr>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2</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申请听证权利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《行政处罚法》第四十二条　行政机关</w:t>
            </w:r>
            <w:proofErr w:type="gramStart"/>
            <w:r w:rsidRPr="00D26F28">
              <w:rPr>
                <w:rFonts w:ascii="宋体" w:eastAsia="宋体" w:hAnsi="宋体" w:cs="宋体" w:hint="eastAsia"/>
                <w:color w:val="333333"/>
                <w:kern w:val="0"/>
                <w:sz w:val="24"/>
                <w:szCs w:val="24"/>
              </w:rPr>
              <w:t>作出</w:t>
            </w:r>
            <w:proofErr w:type="gramEnd"/>
            <w:r w:rsidRPr="00D26F28">
              <w:rPr>
                <w:rFonts w:ascii="宋体" w:eastAsia="宋体" w:hAnsi="宋体" w:cs="宋体" w:hint="eastAsia"/>
                <w:color w:val="333333"/>
                <w:kern w:val="0"/>
                <w:sz w:val="24"/>
                <w:szCs w:val="24"/>
              </w:rPr>
              <w:t>责令停产停业、吊销许可证或者执照、较大数额罚款等行政处罚决定之前，应当告知当事人有要求举行听证的权利；当事人要求听证的，行政机关应当组织听证。当事人</w:t>
            </w:r>
            <w:r w:rsidRPr="00D26F28">
              <w:rPr>
                <w:rFonts w:ascii="宋体" w:eastAsia="宋体" w:hAnsi="宋体" w:cs="宋体" w:hint="eastAsia"/>
                <w:color w:val="333333"/>
                <w:kern w:val="0"/>
                <w:sz w:val="24"/>
                <w:szCs w:val="24"/>
              </w:rPr>
              <w:lastRenderedPageBreak/>
              <w:t>不承担行政机关组织听证的费用。听证依照以下程序组织：</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（一）当事人要求听证的，应当在行政机关告知后三日内提出；</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（二）行政机关应当在听证的七日前，通知当事人举行听证的时间、地点；</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（三）除涉及国家秘密、商业秘密或者个人隐私外，听证公开举行；</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（四）听证由行政机关指定的非本案调查人员主持；当事人认为主持人与本案有直接利害关系的，有权申请回避；</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（五）当事人可以亲自参加听证，也可以委托一至二人代理；</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（六）举行听证时，调查人员提出当事人违法的事实、证据和行政处罚建议；当事人进行申辩和质证；</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（七）听证应当制作笔录；笔录应当交当事人审核无误后签字或者盖章。</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当事人对限制人身自由的行政处罚有异议的，依照治安管理处罚法</w:t>
            </w:r>
            <w:r w:rsidRPr="00D26F28">
              <w:rPr>
                <w:rFonts w:ascii="宋体" w:eastAsia="宋体" w:hAnsi="宋体" w:cs="宋体" w:hint="eastAsia"/>
                <w:color w:val="333333"/>
                <w:kern w:val="0"/>
                <w:sz w:val="24"/>
                <w:szCs w:val="24"/>
              </w:rPr>
              <w:lastRenderedPageBreak/>
              <w:t>有关规定执行。</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lastRenderedPageBreak/>
              <w:t>3</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拒绝缴纳罚款并予以检举权利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《行政处罚法》第四十九条　行政机关及其执法人员当场收缴罚款的，必须向当事人出具省、自治区、直辖市财政部门统一制发的罚款收据；</w:t>
            </w:r>
            <w:proofErr w:type="gramStart"/>
            <w:r w:rsidRPr="00D26F28">
              <w:rPr>
                <w:rFonts w:ascii="宋体" w:eastAsia="宋体" w:hAnsi="宋体" w:cs="宋体" w:hint="eastAsia"/>
                <w:color w:val="333333"/>
                <w:kern w:val="0"/>
                <w:sz w:val="24"/>
                <w:szCs w:val="24"/>
              </w:rPr>
              <w:t>不</w:t>
            </w:r>
            <w:proofErr w:type="gramEnd"/>
            <w:r w:rsidRPr="00D26F28">
              <w:rPr>
                <w:rFonts w:ascii="宋体" w:eastAsia="宋体" w:hAnsi="宋体" w:cs="宋体" w:hint="eastAsia"/>
                <w:color w:val="333333"/>
                <w:kern w:val="0"/>
                <w:sz w:val="24"/>
                <w:szCs w:val="24"/>
              </w:rPr>
              <w:t>出具财政部门统一制发的罚款收据的，当事人有权拒绝缴纳罚款。</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tc>
      </w:tr>
      <w:tr w:rsidR="002B77CB" w:rsidRPr="00D26F28" w:rsidTr="00004306">
        <w:trPr>
          <w:trHeight w:val="1725"/>
        </w:trPr>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4</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申请延期或分期缴纳罚款权利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《行政处罚法》第五十二条　当事人确有经济困难，需要延期或者分期缴纳罚款的，经当事人申请和行政机关批准，可以暂缓或者分期缴纳。</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5</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公民、</w:t>
            </w:r>
            <w:r w:rsidRPr="00D26F28">
              <w:rPr>
                <w:rFonts w:ascii="宋体" w:eastAsia="宋体" w:hAnsi="宋体" w:cs="宋体" w:hint="eastAsia"/>
                <w:color w:val="333333"/>
                <w:kern w:val="0"/>
                <w:sz w:val="24"/>
                <w:szCs w:val="24"/>
              </w:rPr>
              <w:lastRenderedPageBreak/>
              <w:t>法人、其他组织</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lastRenderedPageBreak/>
              <w:t>申诉、检举权利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《行政处罚法》第五十四条　行政机关应当建立健全对行政处罚的监督</w:t>
            </w:r>
            <w:r w:rsidRPr="00D26F28">
              <w:rPr>
                <w:rFonts w:ascii="宋体" w:eastAsia="宋体" w:hAnsi="宋体" w:cs="宋体" w:hint="eastAsia"/>
                <w:color w:val="333333"/>
                <w:kern w:val="0"/>
                <w:sz w:val="24"/>
                <w:szCs w:val="24"/>
              </w:rPr>
              <w:lastRenderedPageBreak/>
              <w:t>制度。县级以上人民政府应当加强对行政处罚的监督检查。</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公民、法人或者其他组织对行政机关</w:t>
            </w:r>
            <w:proofErr w:type="gramStart"/>
            <w:r w:rsidRPr="00D26F28">
              <w:rPr>
                <w:rFonts w:ascii="宋体" w:eastAsia="宋体" w:hAnsi="宋体" w:cs="宋体" w:hint="eastAsia"/>
                <w:color w:val="333333"/>
                <w:kern w:val="0"/>
                <w:sz w:val="24"/>
                <w:szCs w:val="24"/>
              </w:rPr>
              <w:t>作出</w:t>
            </w:r>
            <w:proofErr w:type="gramEnd"/>
            <w:r w:rsidRPr="00D26F28">
              <w:rPr>
                <w:rFonts w:ascii="宋体" w:eastAsia="宋体" w:hAnsi="宋体" w:cs="宋体" w:hint="eastAsia"/>
                <w:color w:val="333333"/>
                <w:kern w:val="0"/>
                <w:sz w:val="24"/>
                <w:szCs w:val="24"/>
              </w:rPr>
              <w:t>的行政处罚，有权申诉或者检举；行政机关应当认真审查，发现行政处罚有错误的，应当主动改正。</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lastRenderedPageBreak/>
              <w:t>6</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获知被处罚事实、理由、依据权利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《行政处罚法》第三十一条　行政机关在</w:t>
            </w:r>
            <w:proofErr w:type="gramStart"/>
            <w:r w:rsidRPr="00D26F28">
              <w:rPr>
                <w:rFonts w:ascii="宋体" w:eastAsia="宋体" w:hAnsi="宋体" w:cs="宋体" w:hint="eastAsia"/>
                <w:color w:val="333333"/>
                <w:kern w:val="0"/>
                <w:sz w:val="24"/>
                <w:szCs w:val="24"/>
              </w:rPr>
              <w:t>作出</w:t>
            </w:r>
            <w:proofErr w:type="gramEnd"/>
            <w:r w:rsidRPr="00D26F28">
              <w:rPr>
                <w:rFonts w:ascii="宋体" w:eastAsia="宋体" w:hAnsi="宋体" w:cs="宋体" w:hint="eastAsia"/>
                <w:color w:val="333333"/>
                <w:kern w:val="0"/>
                <w:sz w:val="24"/>
                <w:szCs w:val="24"/>
              </w:rPr>
              <w:t>行政处罚决定之前，应当告知当事人</w:t>
            </w:r>
            <w:proofErr w:type="gramStart"/>
            <w:r w:rsidRPr="00D26F28">
              <w:rPr>
                <w:rFonts w:ascii="宋体" w:eastAsia="宋体" w:hAnsi="宋体" w:cs="宋体" w:hint="eastAsia"/>
                <w:color w:val="333333"/>
                <w:kern w:val="0"/>
                <w:sz w:val="24"/>
                <w:szCs w:val="24"/>
              </w:rPr>
              <w:t>作出</w:t>
            </w:r>
            <w:proofErr w:type="gramEnd"/>
            <w:r w:rsidRPr="00D26F28">
              <w:rPr>
                <w:rFonts w:ascii="宋体" w:eastAsia="宋体" w:hAnsi="宋体" w:cs="宋体" w:hint="eastAsia"/>
                <w:color w:val="333333"/>
                <w:kern w:val="0"/>
                <w:sz w:val="24"/>
                <w:szCs w:val="24"/>
              </w:rPr>
              <w:t>行政处罚决定的事实、理由及依据，并告知当事人依法享有的权利。</w:t>
            </w:r>
          </w:p>
        </w:tc>
      </w:tr>
      <w:tr w:rsidR="002B77CB" w:rsidRPr="00D26F28" w:rsidTr="00004306">
        <w:trPr>
          <w:trHeight w:val="3536"/>
        </w:trPr>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7</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行政复议、行政诉讼或赔偿权利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区人民政府</w:t>
            </w:r>
          </w:p>
          <w:p w:rsidR="002B77CB"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区人民法院</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《行政处罚法》第六条　公民、法人或者其他组织对行政机关所给予的行政处罚，享有陈述权、申辩权；对行政处罚不服的，有权依法申请行政复议或者提起行政诉讼。</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公民、法人或者其他组织因行政机关违法给予行政处罚受到损害的，有权依法提出赔偿要求。</w:t>
            </w:r>
          </w:p>
        </w:tc>
      </w:tr>
      <w:tr w:rsidR="002B77CB" w:rsidRPr="00D26F28" w:rsidTr="00004306">
        <w:trPr>
          <w:trHeight w:val="1267"/>
        </w:trPr>
        <w:tc>
          <w:tcPr>
            <w:tcW w:w="13062" w:type="dxa"/>
            <w:gridSpan w:val="5"/>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6E531E">
              <w:rPr>
                <w:rFonts w:ascii="宋体" w:eastAsia="宋体" w:hAnsi="宋体" w:cs="宋体" w:hint="eastAsia"/>
                <w:b/>
                <w:color w:val="333333"/>
                <w:kern w:val="0"/>
                <w:sz w:val="36"/>
                <w:szCs w:val="36"/>
              </w:rPr>
              <w:lastRenderedPageBreak/>
              <w:t>二、行政强制</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序号</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主体</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权利类型</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受理机关</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法律依据</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1</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获知查封、扣押、冻结财产被移送的权利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《行政强制法》第二十一条 违法行为涉嫌犯罪应当移送司法机关的，行政机关应当将查封、扣押、冻结的财物一并移送，并书面告知当事人。</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2</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获知被采取强制措施的时间</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《行政强制法》第二十五条 查封、扣押的期限不得超过三十日；情况复杂的，经行政机关负责人批准，可以延长，但是延长期限不得超过三十日。法律、行政法规另有规定的除外。</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延长查封、扣押的决定应当及时书面告知当事人，并说明理由。</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对物品需要进行检测、检验、检疫或者技术鉴定的，查封、扣押的期间不包括检测、检验、检疫或者技术鉴定的期间。检测、检验、检疫或者技术鉴定的期间应当明确，并书面告知当事人。检测、检验、检疫</w:t>
            </w:r>
            <w:r w:rsidRPr="00D26F28">
              <w:rPr>
                <w:rFonts w:ascii="宋体" w:eastAsia="宋体" w:hAnsi="宋体" w:cs="宋体" w:hint="eastAsia"/>
                <w:color w:val="333333"/>
                <w:kern w:val="0"/>
                <w:sz w:val="24"/>
                <w:szCs w:val="24"/>
              </w:rPr>
              <w:lastRenderedPageBreak/>
              <w:t>或者技术鉴定的费用由行政机关承担。</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lastRenderedPageBreak/>
              <w:t>3</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陈述、申辩权利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《行政强制法》第三十六条  当事人收到催告书后有权进行陈述和申辩。行政机关应当充分听取当事人的意见，对当事人提出的事实、理由和证据，应当进行记录、复核。当事人提出的事实、理由或者证据成立的，行政机关应当采纳。</w:t>
            </w:r>
          </w:p>
        </w:tc>
      </w:tr>
      <w:tr w:rsidR="002B77CB" w:rsidRPr="00D26F28" w:rsidTr="00004306">
        <w:tc>
          <w:tcPr>
            <w:tcW w:w="631"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4</w:t>
            </w:r>
          </w:p>
        </w:tc>
        <w:tc>
          <w:tcPr>
            <w:tcW w:w="749"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当事人</w:t>
            </w:r>
          </w:p>
        </w:tc>
        <w:tc>
          <w:tcPr>
            <w:tcW w:w="217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行政复议、诉讼、获得赔偿权利</w:t>
            </w:r>
          </w:p>
        </w:tc>
        <w:tc>
          <w:tcPr>
            <w:tcW w:w="1998"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区人民政府</w:t>
            </w:r>
          </w:p>
          <w:p w:rsidR="002B77CB"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区审计局</w:t>
            </w:r>
          </w:p>
          <w:p w:rsidR="002B77CB" w:rsidRPr="00D26F28" w:rsidRDefault="002B77CB" w:rsidP="002B77CB">
            <w:pPr>
              <w:widowControl/>
              <w:spacing w:before="150" w:after="150" w:line="525"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盐田</w:t>
            </w:r>
            <w:r w:rsidRPr="00D26F28">
              <w:rPr>
                <w:rFonts w:ascii="宋体" w:eastAsia="宋体" w:hAnsi="宋体" w:cs="宋体" w:hint="eastAsia"/>
                <w:color w:val="333333"/>
                <w:kern w:val="0"/>
                <w:sz w:val="24"/>
                <w:szCs w:val="24"/>
              </w:rPr>
              <w:t>区人民法院</w:t>
            </w:r>
          </w:p>
        </w:tc>
        <w:tc>
          <w:tcPr>
            <w:tcW w:w="7512" w:type="dxa"/>
            <w:tcBorders>
              <w:top w:val="single" w:sz="6" w:space="0" w:color="000000"/>
              <w:left w:val="single" w:sz="6" w:space="0" w:color="000000"/>
              <w:bottom w:val="single" w:sz="6" w:space="0" w:color="000000"/>
              <w:right w:val="single" w:sz="6" w:space="0" w:color="000000"/>
            </w:tcBorders>
            <w:vAlign w:val="center"/>
            <w:hideMark/>
          </w:tcPr>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《行政强制法》第八条 公民、法人或者其他组织对行政机关实施行政强制，享有陈述权、申辩权；有权依法申请行政复议或者提起行政诉讼；因行政机关违法实施行政强制受到损害的，有权依法要求赔偿。</w:t>
            </w:r>
          </w:p>
          <w:p w:rsidR="002B77CB" w:rsidRPr="00D26F28" w:rsidRDefault="002B77CB" w:rsidP="002B77CB">
            <w:pPr>
              <w:widowControl/>
              <w:spacing w:before="150" w:after="150" w:line="525" w:lineRule="atLeast"/>
              <w:jc w:val="left"/>
              <w:rPr>
                <w:rFonts w:ascii="宋体" w:eastAsia="宋体" w:hAnsi="宋体" w:cs="宋体"/>
                <w:color w:val="333333"/>
                <w:kern w:val="0"/>
                <w:sz w:val="24"/>
                <w:szCs w:val="24"/>
              </w:rPr>
            </w:pPr>
            <w:r w:rsidRPr="00D26F28">
              <w:rPr>
                <w:rFonts w:ascii="宋体" w:eastAsia="宋体" w:hAnsi="宋体" w:cs="宋体" w:hint="eastAsia"/>
                <w:color w:val="333333"/>
                <w:kern w:val="0"/>
                <w:sz w:val="24"/>
                <w:szCs w:val="24"/>
              </w:rPr>
              <w:t xml:space="preserve">　　公民、法人或者其他组织因人民法院在强制执行中有违法行为或者扩大强制执行范围受到损害的，有权依法要求赔偿。</w:t>
            </w:r>
          </w:p>
        </w:tc>
      </w:tr>
    </w:tbl>
    <w:p w:rsidR="006E531E" w:rsidRPr="006E531E" w:rsidRDefault="006E531E" w:rsidP="006E531E">
      <w:pPr>
        <w:widowControl/>
        <w:spacing w:before="150" w:after="150" w:line="525" w:lineRule="atLeast"/>
        <w:jc w:val="center"/>
        <w:rPr>
          <w:rFonts w:ascii="宋体" w:eastAsia="宋体" w:hAnsi="宋体" w:cs="宋体"/>
          <w:color w:val="333333"/>
          <w:kern w:val="0"/>
          <w:sz w:val="24"/>
          <w:szCs w:val="24"/>
        </w:rPr>
      </w:pPr>
    </w:p>
    <w:p w:rsidR="00FE7356" w:rsidRPr="00D26F28" w:rsidRDefault="00FE7356"/>
    <w:sectPr w:rsidR="00FE7356" w:rsidRPr="00D26F28" w:rsidSect="00685097">
      <w:pgSz w:w="16838" w:h="11906" w:orient="landscape"/>
      <w:pgMar w:top="156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1C" w:rsidRDefault="009E531C" w:rsidP="009A0AC7">
      <w:r>
        <w:separator/>
      </w:r>
    </w:p>
  </w:endnote>
  <w:endnote w:type="continuationSeparator" w:id="0">
    <w:p w:rsidR="009E531C" w:rsidRDefault="009E531C" w:rsidP="009A0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1C" w:rsidRDefault="009E531C" w:rsidP="009A0AC7">
      <w:r>
        <w:separator/>
      </w:r>
    </w:p>
  </w:footnote>
  <w:footnote w:type="continuationSeparator" w:id="0">
    <w:p w:rsidR="009E531C" w:rsidRDefault="009E531C" w:rsidP="009A0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F28"/>
    <w:rsid w:val="00004306"/>
    <w:rsid w:val="000E32FF"/>
    <w:rsid w:val="002B77CB"/>
    <w:rsid w:val="004F024F"/>
    <w:rsid w:val="00582D2F"/>
    <w:rsid w:val="005A060B"/>
    <w:rsid w:val="00685097"/>
    <w:rsid w:val="006E531E"/>
    <w:rsid w:val="008B1748"/>
    <w:rsid w:val="009A0AC7"/>
    <w:rsid w:val="009B392E"/>
    <w:rsid w:val="009E531C"/>
    <w:rsid w:val="00D26F28"/>
    <w:rsid w:val="00FE7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56"/>
    <w:pPr>
      <w:widowControl w:val="0"/>
      <w:jc w:val="both"/>
    </w:pPr>
  </w:style>
  <w:style w:type="paragraph" w:styleId="3">
    <w:name w:val="heading 3"/>
    <w:basedOn w:val="a"/>
    <w:link w:val="3Char"/>
    <w:uiPriority w:val="9"/>
    <w:qFormat/>
    <w:rsid w:val="00D26F28"/>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Char"/>
    <w:uiPriority w:val="9"/>
    <w:qFormat/>
    <w:rsid w:val="00D26F2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26F28"/>
    <w:rPr>
      <w:rFonts w:ascii="宋体" w:eastAsia="宋体" w:hAnsi="宋体" w:cs="宋体"/>
      <w:b/>
      <w:bCs/>
      <w:kern w:val="0"/>
      <w:sz w:val="27"/>
      <w:szCs w:val="27"/>
    </w:rPr>
  </w:style>
  <w:style w:type="character" w:customStyle="1" w:styleId="6Char">
    <w:name w:val="标题 6 Char"/>
    <w:basedOn w:val="a0"/>
    <w:link w:val="6"/>
    <w:uiPriority w:val="9"/>
    <w:rsid w:val="00D26F28"/>
    <w:rPr>
      <w:rFonts w:ascii="宋体" w:eastAsia="宋体" w:hAnsi="宋体" w:cs="宋体"/>
      <w:b/>
      <w:bCs/>
      <w:kern w:val="0"/>
      <w:sz w:val="15"/>
      <w:szCs w:val="15"/>
    </w:rPr>
  </w:style>
  <w:style w:type="character" w:customStyle="1" w:styleId="wzly">
    <w:name w:val="wzly"/>
    <w:basedOn w:val="a0"/>
    <w:rsid w:val="00D26F28"/>
  </w:style>
  <w:style w:type="character" w:customStyle="1" w:styleId="rq">
    <w:name w:val="rq"/>
    <w:basedOn w:val="a0"/>
    <w:rsid w:val="00D26F28"/>
  </w:style>
  <w:style w:type="character" w:customStyle="1" w:styleId="ziti">
    <w:name w:val="ziti"/>
    <w:basedOn w:val="a0"/>
    <w:rsid w:val="00D26F28"/>
  </w:style>
  <w:style w:type="character" w:styleId="a3">
    <w:name w:val="Hyperlink"/>
    <w:basedOn w:val="a0"/>
    <w:uiPriority w:val="99"/>
    <w:semiHidden/>
    <w:unhideWhenUsed/>
    <w:rsid w:val="00D26F28"/>
    <w:rPr>
      <w:color w:val="0000FF"/>
      <w:u w:val="single"/>
    </w:rPr>
  </w:style>
  <w:style w:type="paragraph" w:styleId="a4">
    <w:name w:val="Normal (Web)"/>
    <w:basedOn w:val="a"/>
    <w:uiPriority w:val="99"/>
    <w:unhideWhenUsed/>
    <w:rsid w:val="00D26F2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A0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0AC7"/>
    <w:rPr>
      <w:sz w:val="18"/>
      <w:szCs w:val="18"/>
    </w:rPr>
  </w:style>
  <w:style w:type="paragraph" w:styleId="a6">
    <w:name w:val="footer"/>
    <w:basedOn w:val="a"/>
    <w:link w:val="Char0"/>
    <w:uiPriority w:val="99"/>
    <w:semiHidden/>
    <w:unhideWhenUsed/>
    <w:rsid w:val="009A0AC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0AC7"/>
    <w:rPr>
      <w:sz w:val="18"/>
      <w:szCs w:val="18"/>
    </w:rPr>
  </w:style>
</w:styles>
</file>

<file path=word/webSettings.xml><?xml version="1.0" encoding="utf-8"?>
<w:webSettings xmlns:r="http://schemas.openxmlformats.org/officeDocument/2006/relationships" xmlns:w="http://schemas.openxmlformats.org/wordprocessingml/2006/main">
  <w:divs>
    <w:div w:id="410853848">
      <w:bodyDiv w:val="1"/>
      <w:marLeft w:val="0"/>
      <w:marRight w:val="0"/>
      <w:marTop w:val="0"/>
      <w:marBottom w:val="0"/>
      <w:divBdr>
        <w:top w:val="none" w:sz="0" w:space="0" w:color="auto"/>
        <w:left w:val="none" w:sz="0" w:space="0" w:color="auto"/>
        <w:bottom w:val="none" w:sz="0" w:space="0" w:color="auto"/>
        <w:right w:val="none" w:sz="0" w:space="0" w:color="auto"/>
      </w:divBdr>
      <w:divsChild>
        <w:div w:id="39936775">
          <w:marLeft w:val="0"/>
          <w:marRight w:val="0"/>
          <w:marTop w:val="0"/>
          <w:marBottom w:val="0"/>
          <w:divBdr>
            <w:top w:val="none" w:sz="0" w:space="0" w:color="auto"/>
            <w:left w:val="none" w:sz="0" w:space="0" w:color="auto"/>
            <w:bottom w:val="none" w:sz="0" w:space="0" w:color="auto"/>
            <w:right w:val="none" w:sz="0" w:space="0" w:color="auto"/>
          </w:divBdr>
          <w:divsChild>
            <w:div w:id="385178664">
              <w:marLeft w:val="0"/>
              <w:marRight w:val="0"/>
              <w:marTop w:val="450"/>
              <w:marBottom w:val="0"/>
              <w:divBdr>
                <w:top w:val="single" w:sz="6" w:space="8" w:color="CCCCCC"/>
                <w:left w:val="none" w:sz="0" w:space="0" w:color="auto"/>
                <w:bottom w:val="single" w:sz="6" w:space="15" w:color="CCCCCC"/>
                <w:right w:val="none" w:sz="0" w:space="0" w:color="auto"/>
              </w:divBdr>
              <w:divsChild>
                <w:div w:id="14850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307</Words>
  <Characters>1753</Characters>
  <Application>Microsoft Office Word</Application>
  <DocSecurity>0</DocSecurity>
  <Lines>14</Lines>
  <Paragraphs>4</Paragraphs>
  <ScaleCrop>false</ScaleCrop>
  <Company>盐田区政府</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审计局收发文</dc:creator>
  <cp:lastModifiedBy>审计局收发文</cp:lastModifiedBy>
  <cp:revision>6</cp:revision>
  <cp:lastPrinted>2018-11-06T02:33:00Z</cp:lastPrinted>
  <dcterms:created xsi:type="dcterms:W3CDTF">2018-11-12T09:32:00Z</dcterms:created>
  <dcterms:modified xsi:type="dcterms:W3CDTF">2018-11-15T07:20:00Z</dcterms:modified>
</cp:coreProperties>
</file>