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6"/>
          <w:lang w:val="en-US" w:eastAsia="zh-CN"/>
        </w:rPr>
      </w:pPr>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2：</w:t>
      </w:r>
    </w:p>
    <w:tbl>
      <w:tblPr>
        <w:tblStyle w:val="4"/>
        <w:tblpPr w:leftFromText="180" w:rightFromText="180" w:vertAnchor="page" w:horzAnchor="page" w:tblpX="1826" w:tblpY="2928"/>
        <w:tblOverlap w:val="neve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8175"/>
        <w:gridCol w:w="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trPr>
        <w:tc>
          <w:tcPr>
            <w:tcW w:w="8175" w:type="dxa"/>
            <w:shd w:val="clear" w:color="auto" w:fill="auto"/>
            <w:vAlign w:val="center"/>
          </w:tcPr>
          <w:p>
            <w:pPr>
              <w:widowControl/>
              <w:jc w:val="left"/>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评标方法：综合评分法</w:t>
            </w:r>
          </w:p>
        </w:tc>
        <w:tc>
          <w:tcPr>
            <w:tcW w:w="221" w:type="dxa"/>
            <w:shd w:val="clear" w:color="auto" w:fill="auto"/>
            <w:vAlign w:val="center"/>
          </w:tcPr>
          <w:p>
            <w:pPr>
              <w:widowControl w:val="0"/>
              <w:jc w:val="right"/>
              <w:rPr>
                <w:rFonts w:hint="eastAsia" w:asciiTheme="minorEastAsia" w:hAnsiTheme="minorEastAsia" w:eastAsiaTheme="minorEastAsia" w:cstheme="minorEastAsia"/>
                <w:b/>
                <w:bCs/>
                <w:kern w:val="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trPr>
        <w:tc>
          <w:tcPr>
            <w:tcW w:w="8396" w:type="dxa"/>
            <w:gridSpan w:val="2"/>
            <w:shd w:val="clear" w:color="auto" w:fill="auto"/>
            <w:vAlign w:val="center"/>
          </w:tcPr>
          <w:p>
            <w:pPr>
              <w:widowControl w:val="0"/>
              <w:ind w:firstLine="420"/>
              <w:jc w:val="both"/>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综合评分法，是指</w:t>
            </w:r>
            <w:r>
              <w:rPr>
                <w:rFonts w:hint="eastAsia" w:asciiTheme="minorEastAsia" w:hAnsiTheme="minorEastAsia" w:eastAsiaTheme="minorEastAsia" w:cstheme="minorEastAsia"/>
                <w:sz w:val="21"/>
                <w:szCs w:val="21"/>
                <w:lang w:eastAsia="zh-CN"/>
              </w:rPr>
              <w:t>投标文件满足招标文件全部实质性要求</w:t>
            </w:r>
            <w:r>
              <w:rPr>
                <w:rFonts w:hint="eastAsia" w:asciiTheme="minorEastAsia" w:hAnsiTheme="minorEastAsia" w:eastAsiaTheme="minorEastAsia" w:cstheme="minorEastAsia"/>
                <w:kern w:val="2"/>
                <w:sz w:val="21"/>
                <w:szCs w:val="21"/>
                <w:lang w:eastAsia="zh-CN"/>
              </w:rPr>
              <w:t>，且按照招标文件规定的各项因素进行综合评审，评标总得分排名前列的投标人为中标候选人的评标方法。</w:t>
            </w:r>
          </w:p>
          <w:p>
            <w:pPr>
              <w:widowControl w:val="0"/>
              <w:ind w:firstLine="420"/>
              <w:jc w:val="both"/>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价格分计算方法：</w:t>
            </w:r>
          </w:p>
          <w:p>
            <w:pPr>
              <w:widowControl/>
              <w:ind w:left="420"/>
              <w:jc w:val="lef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ind w:left="420"/>
              <w:jc w:val="lef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 xml:space="preserve">投标报价得分=(评标基准价／投标报价)×100 </w:t>
            </w:r>
          </w:p>
          <w:p>
            <w:pPr>
              <w:widowControl/>
              <w:ind w:left="420"/>
              <w:jc w:val="lef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 xml:space="preserve">评标总得分＝F1×A1＋F2×A2＋……＋Fn×An </w:t>
            </w:r>
          </w:p>
          <w:p>
            <w:pPr>
              <w:widowControl/>
              <w:ind w:left="420"/>
              <w:jc w:val="lef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 xml:space="preserve">F1、F2……Fn分别为各项评审因素的得分； </w:t>
            </w:r>
          </w:p>
          <w:p>
            <w:pPr>
              <w:widowControl/>
              <w:ind w:left="420"/>
              <w:jc w:val="lef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 xml:space="preserve">A1、A2、……An 分别为各项评审因素所占的权重(A1＋A2＋……＋An＝1)。 </w:t>
            </w:r>
          </w:p>
          <w:p>
            <w:pPr>
              <w:widowControl/>
              <w:ind w:left="420"/>
              <w:jc w:val="lef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评标过程中，不得去掉报价中的最高报价和最低报价。</w:t>
            </w:r>
          </w:p>
          <w:p>
            <w:pPr>
              <w:widowControl/>
              <w:ind w:left="420"/>
              <w:jc w:val="lef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因落实政府采购政策进行价格调整的，以调整后的价格计算评标基准价和投标报价。</w:t>
            </w:r>
          </w:p>
          <w:p>
            <w:pPr>
              <w:widowControl w:val="0"/>
              <w:ind w:firstLine="421" w:firstLineChars="200"/>
              <w:jc w:val="both"/>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bl>
    <w:p>
      <w:pPr>
        <w:pStyle w:val="2"/>
        <w:jc w:val="center"/>
        <w:rPr>
          <w:rFonts w:hint="eastAsia"/>
          <w:lang w:val="en-US" w:eastAsia="zh-CN"/>
        </w:rPr>
      </w:pPr>
      <w:r>
        <w:rPr>
          <w:rFonts w:hint="eastAsia" w:ascii="方正小标宋简体" w:hAnsi="方正小标宋简体" w:eastAsia="方正小标宋简体" w:cs="方正小标宋简体"/>
          <w:b w:val="0"/>
          <w:bCs w:val="0"/>
          <w:color w:val="auto"/>
          <w:sz w:val="32"/>
          <w:szCs w:val="32"/>
          <w:highlight w:val="none"/>
          <w:u w:val="none"/>
          <w:lang w:eastAsia="zh-CN"/>
        </w:rPr>
        <w:t>评审评分规则</w:t>
      </w:r>
    </w:p>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610"/>
        <w:gridCol w:w="8"/>
        <w:gridCol w:w="2476"/>
        <w:gridCol w:w="702"/>
        <w:gridCol w:w="400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序号</w:t>
            </w:r>
          </w:p>
        </w:tc>
        <w:tc>
          <w:tcPr>
            <w:tcW w:w="3796"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评分项</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1</w:t>
            </w:r>
          </w:p>
        </w:tc>
        <w:tc>
          <w:tcPr>
            <w:tcW w:w="3796"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价格</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8"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2</w:t>
            </w:r>
          </w:p>
        </w:tc>
        <w:tc>
          <w:tcPr>
            <w:tcW w:w="3796"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技术部分</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序号</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评分因素</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权重(%)</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项目实施方案</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10</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（一）评分内容：</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评审委员会根据投标单位的项目实施方案进行评审，包括但不限于以下方案：</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1.项目整体设想及规划</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2.项目管理目标</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3.管理方式</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4.工作计划。</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提供以上4点内容得80分，满足任意3点内容得60分，满足任意2点内容得40分，满足任意1点得20分，未满足不得分。 在此基础上，根据内容的合理性进行评分: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优评分标准:方案符合实际、完整、规范、思路清晰，内容合理性强。</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良评分标准:方案较符合实际、较完整规范、思路较清晰，内容合理性较强。</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中评分标准:方案较普通、完整性规范性一般，思路不够清晰，内容合理性一般。</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差评分标准方案:不完整、不规范，思路不清晰，内容合理性较差或未提供。</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评价为优得20分;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评价为良得10分;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评价为中得5分;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评价为差不得分。如评审为差，须书面说明理由，并记录在档。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6"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left="525" w:hanging="525" w:hangingChars="250"/>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管理制度、绩效考核方案的规划及框架</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10</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（一）评分内容：</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评审委员会根据投标单位的项目实施方案进行评审，包括但不限于以下方案：</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1.管理制度运营保障</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2.管理制度工作职责</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3.绩效考核方案的规划及框架</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提供以上3点内容得80分，满足任意2点内容得50分，满足任意1点内容得20分，未满足不得分。 在此基础上，专家根据内容的合理性进行评分: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优评分标准:管理制度和绩效考核制度的完善性强、可行性高。</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良评分标准:管理制度和绩效考核制度的完善性较强、可行性较高。</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中评分标准:管理制度和绩效考核制度的完善性一般、可行性一般。</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差评分标准方案:管理制度内容简单，缺乏可操作性。</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评价为优得20分;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评价为良得10分;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评价为中得5分;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评价为差不得分。如评审为差，须书面说明理由，并记录在档。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项目重点难点分析、应对措施及相关的合理化建议</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10</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（一）评分内容：</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评审委员会根据投标单位的项目重点难点分析、应对措施及相关的合理化建议进行评审，包括但不限于以下方案：</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1.项目重点难点分析；</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2.项目重难点应对措施；</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3.项目相关合理化建议。</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提供以上3点内容得80分，满足任意2点内容得50分，满足任意1点内容得20分，未满足不得分。 在此基础上，专家根据内容的合理性进行评分: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优评分标准:项目重难点分析全面、科学合理，应对保障措施详细，安排合理。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良评分标准:项目重难点分析较为全面、科学合理，应对保障措施较为详细，安排较为合理。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中评分标准:项目重难点分析完整度一般、科学合理性一般，应对保障措施一般，安排合理性一般。</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差评分标准方案:项目重难点分析差、科学合理性差，应对保障措施差，安排不合理。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评价为优得20分;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评价为良得10分;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评价为中得5分;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评价为差不得分。如评审为差，须书面说明理由，并记录在档。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4</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质量（完成时间、安全等）保障措施及方案</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10</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（一）评分内容：</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评审委员会根据投标单位的质量（完成时间、安全等）保障措施及方案进行评审，包括但不限于以下方案：</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1.服务人员服务质量保障措施及方案；</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2.管理团队保障措施及方案；</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3.服务人员突发事件应急响应保障措施及方案。</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提供以上3点内容得80分，满足任意2点内容得50分，满足任意1点内容得20分，未满足不得分。 在此基础上，专家根据内容的合理性进行评分: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优评分标准:方案符合实际、完整、规范、思路清晰，内容合理性强。</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良评分标准:方案较符合实际、较完整规范、思路较清晰，内容合理性较强。</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中评分标准:方案较普通、完整性规范性一般，思路不够清晰，内容合理性一般。</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差评分标准方案:不完整、不规范，思路不清晰，内容合理性较差或未提供。</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评价为优得20分;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评价为良得10分;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评价为中得5分;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评价为差不得分。如评审为差，须书面说明理由，并记录在档。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5</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项目完成（服务期满）后的服务承诺</w:t>
            </w:r>
          </w:p>
          <w:p>
            <w:pPr>
              <w:widowControl w:val="0"/>
              <w:wordWrap w:val="0"/>
              <w:spacing w:line="240" w:lineRule="auto"/>
              <w:jc w:val="center"/>
              <w:rPr>
                <w:rFonts w:hint="eastAsia" w:ascii="宋体" w:hAnsi="宋体" w:eastAsia="宋体" w:cs="宋体"/>
                <w:color w:val="auto"/>
                <w:kern w:val="2"/>
                <w:sz w:val="21"/>
                <w:szCs w:val="21"/>
                <w:lang w:eastAsia="zh-CN"/>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5</w:t>
            </w:r>
          </w:p>
        </w:tc>
        <w:tc>
          <w:tcPr>
            <w:tcW w:w="4018" w:type="dxa"/>
            <w:gridSpan w:val="2"/>
            <w:tcBorders>
              <w:top w:val="single" w:color="auto" w:sz="4" w:space="0"/>
              <w:left w:val="single" w:color="auto" w:sz="4" w:space="0"/>
              <w:bottom w:val="single" w:color="auto" w:sz="4" w:space="0"/>
              <w:right w:val="single" w:color="auto" w:sz="4" w:space="0"/>
            </w:tcBorders>
            <w:vAlign w:val="top"/>
          </w:tcPr>
          <w:p>
            <w:pPr>
              <w:widowControl w:val="0"/>
              <w:spacing w:line="240" w:lineRule="auto"/>
              <w:jc w:val="both"/>
              <w:rPr>
                <w:rFonts w:hint="eastAsia" w:ascii="宋体" w:hAnsi="宋体" w:eastAsia="宋体" w:cs="宋体"/>
                <w:b/>
                <w:color w:val="auto"/>
                <w:kern w:val="2"/>
                <w:sz w:val="21"/>
                <w:szCs w:val="21"/>
                <w:lang w:eastAsia="zh-CN"/>
              </w:rPr>
            </w:pPr>
            <w:r>
              <w:rPr>
                <w:rFonts w:hint="eastAsia" w:ascii="宋体" w:hAnsi="宋体" w:eastAsia="宋体" w:cs="宋体"/>
                <w:b/>
                <w:color w:val="auto"/>
                <w:kern w:val="2"/>
                <w:sz w:val="21"/>
                <w:szCs w:val="21"/>
                <w:lang w:eastAsia="zh-CN"/>
              </w:rPr>
              <w:t>（一）评分内容：</w:t>
            </w:r>
          </w:p>
          <w:p>
            <w:pPr>
              <w:widowControl w:val="0"/>
              <w:wordWrap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1.服务期满后主动离岗。</w:t>
            </w:r>
          </w:p>
          <w:p>
            <w:pPr>
              <w:widowControl w:val="0"/>
              <w:wordWrap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2.与后续服务公司进行交接。</w:t>
            </w:r>
          </w:p>
          <w:p>
            <w:pPr>
              <w:widowControl w:val="0"/>
              <w:wordWrap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3.服务期满，后续服务公司未到位前仍按原合同服务承诺提供服务。</w:t>
            </w:r>
          </w:p>
          <w:p>
            <w:pPr>
              <w:widowControl w:val="0"/>
              <w:spacing w:line="240" w:lineRule="auto"/>
              <w:jc w:val="both"/>
              <w:rPr>
                <w:rFonts w:hint="eastAsia" w:ascii="宋体" w:hAnsi="宋体" w:eastAsia="宋体" w:cs="宋体"/>
                <w:b/>
                <w:color w:val="auto"/>
                <w:kern w:val="2"/>
                <w:sz w:val="21"/>
                <w:szCs w:val="21"/>
                <w:lang w:eastAsia="zh-CN"/>
              </w:rPr>
            </w:pPr>
            <w:r>
              <w:rPr>
                <w:rFonts w:hint="eastAsia" w:ascii="宋体" w:hAnsi="宋体" w:eastAsia="宋体" w:cs="宋体"/>
                <w:b/>
                <w:color w:val="auto"/>
                <w:kern w:val="2"/>
                <w:sz w:val="21"/>
                <w:szCs w:val="21"/>
                <w:lang w:eastAsia="zh-CN"/>
              </w:rPr>
              <w:t>（二）评分依据：</w:t>
            </w:r>
          </w:p>
          <w:p>
            <w:pPr>
              <w:widowControl w:val="0"/>
              <w:wordWrap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投标人承诺以上全部三项的得100分，要求提供承诺（格式自定）作为得分依据，未提供承诺或承诺内容不满足要求不得分。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6</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违约承诺</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5</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（一）评审内容：</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1.按时发放派遣人员工资福利，缴交保险等承诺；</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2.保障派遣人员合法权益承诺；</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投标人承诺满足以上全部内容的得100分，要求投标人提供承诺（格式自定）作为得分依据。未提供承诺或承诺内容不满足要求均不得分。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7</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拟安排的项目负责人情况（仅限一人）</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5</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（一）评分内容：</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拟安排的项目负责人须为投标人自有员工（以社保为准），否则本项不得分。</w:t>
            </w:r>
          </w:p>
          <w:p>
            <w:pPr>
              <w:widowControl w:val="0"/>
              <w:numPr>
                <w:ilvl w:val="0"/>
                <w:numId w:val="0"/>
              </w:numPr>
              <w:spacing w:line="240" w:lineRule="auto"/>
              <w:ind w:left="0" w:firstLine="0"/>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1.具有本科或以上学历得30分；</w:t>
            </w:r>
          </w:p>
          <w:p>
            <w:pPr>
              <w:widowControl w:val="0"/>
              <w:numPr>
                <w:ilvl w:val="0"/>
                <w:numId w:val="0"/>
              </w:numPr>
              <w:spacing w:line="240" w:lineRule="auto"/>
              <w:ind w:left="0" w:firstLine="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2.具有人力资源管理师证书或企业人力资源管理师职业资格证书一级得40分；</w:t>
            </w:r>
          </w:p>
          <w:p>
            <w:pPr>
              <w:widowControl w:val="0"/>
              <w:spacing w:line="240" w:lineRule="auto"/>
              <w:ind w:left="0" w:leftChars="0" w:firstLine="0" w:firstLineChars="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3.具有政府行政机关或事业单位的劳务派遣或外包或购买服务项目经验（仅考察以项目负责人身份参与的工作经验），每提供1个得10分，最高得30分。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涉及人员社保的，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涉及学历，要求提供证书扫描件以及学信网查询记录。对于较早颁发的学历证书，学信网无法查询的，要求提供证书扫描件和其他佐证材料（如毕业院校、人社部门等颁发机构或监管机构等单位出具的证明）作为得分的依据。</w:t>
            </w:r>
          </w:p>
          <w:p>
            <w:pPr>
              <w:widowControl w:val="0"/>
              <w:spacing w:line="240" w:lineRule="auto"/>
              <w:ind w:left="0" w:leftChars="0" w:firstLine="0" w:firstLineChars="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投标人需提供项目负责人资格证书扫描件。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4.如涉及考察人员工作经验，要求提供项目合同关键信息作为得分依据，通过合同关键信息无法判断是否得分的，还需同时提供合同甲方出具的证明文件。</w:t>
            </w:r>
          </w:p>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5.评分中出现无证明资料或证书过期或专家无法凭所提供资料判断是否得分的情况，一律作不得分处理。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08"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2"/>
                <w:sz w:val="21"/>
                <w:szCs w:val="21"/>
                <w:lang w:eastAsia="zh-CN"/>
              </w:rPr>
            </w:pPr>
          </w:p>
        </w:tc>
        <w:tc>
          <w:tcPr>
            <w:tcW w:w="610" w:type="dxa"/>
            <w:tcBorders>
              <w:top w:val="single" w:color="auto" w:sz="4" w:space="0"/>
              <w:left w:val="single" w:color="auto" w:sz="4" w:space="0"/>
              <w:right w:val="single" w:color="auto" w:sz="4" w:space="0"/>
            </w:tcBorders>
            <w:vAlign w:val="center"/>
          </w:tcPr>
          <w:p>
            <w:pPr>
              <w:widowControl w:val="0"/>
              <w:spacing w:line="24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8</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拟安排的项目团队成员</w:t>
            </w:r>
          </w:p>
          <w:p>
            <w:pPr>
              <w:widowControl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（主要技术人员）情况（项目负责人除外）</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（一）评分内容：</w:t>
            </w:r>
          </w:p>
          <w:p>
            <w:pPr>
              <w:widowControl w:val="0"/>
              <w:spacing w:line="24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1拟安排的项目团队成员为退役军人的</w:t>
            </w:r>
            <w:bookmarkStart w:id="0" w:name="_GoBack"/>
            <w:bookmarkEnd w:id="0"/>
            <w:r>
              <w:rPr>
                <w:rFonts w:hint="eastAsia" w:ascii="宋体" w:hAnsi="宋体" w:eastAsia="宋体" w:cs="宋体"/>
                <w:color w:val="auto"/>
                <w:kern w:val="2"/>
                <w:sz w:val="21"/>
                <w:szCs w:val="21"/>
                <w:highlight w:val="none"/>
                <w:lang w:eastAsia="zh-CN"/>
              </w:rPr>
              <w:t>，每提供一名得10分，本小项最高得80分；</w:t>
            </w:r>
          </w:p>
          <w:p>
            <w:pPr>
              <w:widowControl w:val="0"/>
              <w:spacing w:line="24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2.拟安排的项目团队成员具有相关证书的，每提供一名得20分，本小项最高得20分。</w:t>
            </w:r>
          </w:p>
          <w:p>
            <w:pPr>
              <w:widowControl w:val="0"/>
              <w:spacing w:line="24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（二）评分依据：</w:t>
            </w:r>
          </w:p>
          <w:p>
            <w:pPr>
              <w:widowControl w:val="0"/>
              <w:spacing w:line="24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1.投标人提供的项目项目团队成员为投标人自有员工（需提供情况说明函，格式自拟），或承诺项目中标后将及时与项目团队成员签订劳动合同（需提供承诺函，格式自拟），否则不得分。</w:t>
            </w:r>
          </w:p>
          <w:p>
            <w:pPr>
              <w:widowControl w:val="0"/>
              <w:spacing w:line="24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涉及资格证书，要求提供证书扫描件。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p>
          <w:p>
            <w:pPr>
              <w:widowControl w:val="0"/>
              <w:spacing w:line="24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8" w:type="dxa"/>
            <w:vMerge w:val="restart"/>
            <w:tcBorders>
              <w:top w:val="single" w:color="auto" w:sz="4" w:space="0"/>
              <w:left w:val="single" w:color="auto" w:sz="4" w:space="0"/>
              <w:right w:val="single" w:color="auto" w:sz="4" w:space="0"/>
            </w:tcBorders>
            <w:vAlign w:val="center"/>
          </w:tcPr>
          <w:p>
            <w:pPr>
              <w:widowControl w:val="0"/>
              <w:wordWrap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3</w:t>
            </w:r>
          </w:p>
        </w:tc>
        <w:tc>
          <w:tcPr>
            <w:tcW w:w="3796" w:type="dxa"/>
            <w:gridSpan w:val="4"/>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综合实力</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53"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序号</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评分因素</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权重(%)</w:t>
            </w:r>
          </w:p>
        </w:tc>
        <w:tc>
          <w:tcPr>
            <w:tcW w:w="400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投标人同类项目业绩情况</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10</w:t>
            </w:r>
          </w:p>
        </w:tc>
        <w:tc>
          <w:tcPr>
            <w:tcW w:w="400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（一）评分内容：</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投标人自202</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年1月1日至本项目截标之日内所签订的同类业绩项目合同（以合同签订日期为准），每提供一份同类业绩得25分，最高得100分，服务项目内容包含以下之一的视为同类业绩项目：</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1.政府部门劳务派遣、外包或购买服务项目；</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2.事业单位劳务派遣、外包或购买服务项目。</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要求提供合同关键信息（包括但不限于合同标的、签订时间、双方签章页）作为得分依据，通过合同关键信息无法判断是否得分的，还须同时提供能证明得分的其它证明资料，如项目报告或合同甲方出具的证明文件等。</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2.以上资料均要求提供扫描件，原件备查。备注：评分中出现无证明资料或证书过期或专家无法凭所提供资料判断是否得分的情况，一律作不得分处理。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履约评价</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4</w:t>
            </w:r>
          </w:p>
        </w:tc>
        <w:tc>
          <w:tcPr>
            <w:tcW w:w="400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（一）评分内容：</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投标人提供符合“投标人同类项目业绩情况”合同甲方出具评价为优/优秀/满意或最高评价的履约评价或验收合格证明文件，每提供一份得25分，最高得100分。</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（二）评分依据：</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1.提供加盖合同甲方公章（或甲方业务章）项目履约评价或验收合格证明文件清晰扫描件，原件备查。</w:t>
            </w:r>
          </w:p>
          <w:p>
            <w:pPr>
              <w:widowControl w:val="0"/>
              <w:spacing w:line="240" w:lineRule="auto"/>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备注：以上资料均要求提供扫描件，评分中出现无证明资料或证书过期或专家无法凭所提供资料判断是否得分的情况，一律作不得分处理。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体系认证情况</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400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（一）评分内容：</w:t>
            </w:r>
          </w:p>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1.投标人具有质量管理体系认证证书，得50分；</w:t>
            </w:r>
          </w:p>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2.投标人具有职业健康安全管理体系认证证书，得50分；</w:t>
            </w:r>
          </w:p>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以上两项累计计分，最高得100分。</w:t>
            </w:r>
          </w:p>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（二）评分依据：</w:t>
            </w:r>
          </w:p>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1.要求提供有效的认证证书作为得分依据。</w:t>
            </w:r>
          </w:p>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2须同时提供有效的认证证书扫描件，及认证证书在全国认证认可信息公共服务平台（认e云）查询有效的截图（http://cx.cnca.cn）。</w:t>
            </w:r>
          </w:p>
          <w:p>
            <w:pPr>
              <w:widowControl w:val="0"/>
              <w:spacing w:line="24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备注：以上资料均要求提供扫描件，评分中出现无证明资料或证书过期或专家无法凭所提供资料判断是否得分的情况，一律作不得分处理。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4</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highlight w:val="yellow"/>
                <w:lang w:eastAsia="zh-CN"/>
              </w:rPr>
            </w:pPr>
            <w:r>
              <w:rPr>
                <w:rFonts w:hint="eastAsia" w:ascii="宋体" w:hAnsi="宋体" w:eastAsia="宋体" w:cs="宋体"/>
                <w:color w:val="auto"/>
                <w:sz w:val="21"/>
                <w:szCs w:val="21"/>
                <w:highlight w:val="none"/>
              </w:rPr>
              <w:t>投标人获奖（荣誉）情况</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400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（一）评审内容：自202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年1月1日至投标截止日</w:t>
            </w:r>
            <w:r>
              <w:rPr>
                <w:rFonts w:hint="eastAsia" w:ascii="宋体" w:hAnsi="宋体" w:eastAsia="宋体" w:cs="宋体"/>
                <w:color w:val="auto"/>
                <w:sz w:val="21"/>
                <w:szCs w:val="21"/>
                <w:highlight w:val="none"/>
                <w:u w:val="none"/>
              </w:rPr>
              <w:t>（以颁发日期为准）</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获得</w:t>
            </w:r>
            <w:r>
              <w:rPr>
                <w:rFonts w:hint="eastAsia" w:ascii="宋体" w:hAnsi="宋体" w:eastAsia="宋体" w:cs="宋体"/>
                <w:color w:val="auto"/>
                <w:sz w:val="21"/>
                <w:szCs w:val="21"/>
                <w:highlight w:val="none"/>
                <w:lang w:val="en-US" w:eastAsia="zh-CN"/>
              </w:rPr>
              <w:t>党委</w:t>
            </w:r>
            <w:r>
              <w:rPr>
                <w:rFonts w:hint="eastAsia" w:ascii="宋体" w:hAnsi="宋体" w:eastAsia="宋体" w:cs="宋体"/>
                <w:color w:val="auto"/>
                <w:sz w:val="21"/>
                <w:szCs w:val="21"/>
                <w:highlight w:val="none"/>
              </w:rPr>
              <w:t>政府部门</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政府部门（含地级市以上行业行政主管部门或政府内设机构）颁发</w:t>
            </w:r>
            <w:r>
              <w:rPr>
                <w:rFonts w:hint="eastAsia" w:ascii="宋体" w:hAnsi="宋体" w:eastAsia="宋体" w:cs="宋体"/>
                <w:color w:val="auto"/>
                <w:sz w:val="21"/>
                <w:szCs w:val="21"/>
                <w:highlight w:val="none"/>
                <w:u w:val="none"/>
                <w:lang w:val="en-US" w:eastAsia="zh-CN"/>
              </w:rPr>
              <w:t>相关的</w:t>
            </w:r>
            <w:r>
              <w:rPr>
                <w:rFonts w:hint="eastAsia" w:ascii="宋体" w:hAnsi="宋体" w:eastAsia="宋体" w:cs="宋体"/>
                <w:color w:val="auto"/>
                <w:sz w:val="21"/>
                <w:szCs w:val="21"/>
                <w:highlight w:val="none"/>
                <w:u w:val="none"/>
              </w:rPr>
              <w:t>荣誉</w:t>
            </w:r>
            <w:r>
              <w:rPr>
                <w:rFonts w:hint="eastAsia" w:ascii="宋体" w:hAnsi="宋体" w:eastAsia="宋体" w:cs="宋体"/>
                <w:color w:val="auto"/>
                <w:sz w:val="21"/>
                <w:szCs w:val="21"/>
                <w:highlight w:val="none"/>
                <w:u w:val="none"/>
                <w:lang w:val="en-US" w:eastAsia="zh-CN"/>
              </w:rPr>
              <w:t>或表彰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不含表扬信或感谢信）。</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rPr>
              <w:t>省级或以上</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荣誉</w:t>
            </w:r>
            <w:r>
              <w:rPr>
                <w:rFonts w:hint="eastAsia" w:ascii="宋体" w:hAnsi="宋体" w:eastAsia="宋体" w:cs="宋体"/>
                <w:color w:val="auto"/>
                <w:sz w:val="21"/>
                <w:szCs w:val="21"/>
                <w:highlight w:val="none"/>
                <w:u w:val="none"/>
                <w:lang w:val="en-US" w:eastAsia="zh-CN"/>
              </w:rPr>
              <w:t>或表彰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每项得</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2.市级</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荣誉</w:t>
            </w:r>
            <w:r>
              <w:rPr>
                <w:rFonts w:hint="eastAsia" w:ascii="宋体" w:hAnsi="宋体" w:eastAsia="宋体" w:cs="宋体"/>
                <w:color w:val="auto"/>
                <w:sz w:val="21"/>
                <w:szCs w:val="21"/>
                <w:highlight w:val="none"/>
                <w:u w:val="none"/>
                <w:lang w:val="en-US" w:eastAsia="zh-CN"/>
              </w:rPr>
              <w:t>或表彰</w:t>
            </w:r>
            <w:r>
              <w:rPr>
                <w:rFonts w:hint="eastAsia" w:ascii="宋体" w:hAnsi="宋体" w:eastAsia="宋体" w:cs="宋体"/>
                <w:color w:val="auto"/>
                <w:sz w:val="21"/>
                <w:szCs w:val="21"/>
                <w:highlight w:val="none"/>
              </w:rPr>
              <w:t>，每项得</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以上2项</w:t>
            </w:r>
            <w:r>
              <w:rPr>
                <w:rFonts w:hint="eastAsia" w:ascii="宋体" w:hAnsi="宋体" w:eastAsia="宋体" w:cs="宋体"/>
                <w:color w:val="auto"/>
                <w:sz w:val="21"/>
                <w:szCs w:val="21"/>
                <w:highlight w:val="none"/>
              </w:rPr>
              <w:t>累计最高得100分。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（二）证明文件：</w:t>
            </w:r>
          </w:p>
          <w:p>
            <w:pPr>
              <w:wordWrap w:val="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要求提供相关证书</w:t>
            </w:r>
            <w:r>
              <w:rPr>
                <w:rFonts w:hint="eastAsia" w:ascii="宋体" w:hAnsi="宋体" w:eastAsia="宋体" w:cs="宋体"/>
                <w:color w:val="auto"/>
                <w:sz w:val="21"/>
                <w:szCs w:val="21"/>
                <w:highlight w:val="none"/>
                <w:lang w:val="en-US" w:eastAsia="zh-CN"/>
              </w:rPr>
              <w:t>或证明文件扫面件</w:t>
            </w:r>
            <w:r>
              <w:rPr>
                <w:rFonts w:hint="eastAsia" w:ascii="宋体" w:hAnsi="宋体" w:eastAsia="宋体" w:cs="宋体"/>
                <w:color w:val="auto"/>
                <w:sz w:val="21"/>
                <w:szCs w:val="21"/>
                <w:highlight w:val="none"/>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8" w:type="dxa"/>
            <w:vMerge w:val="restart"/>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b/>
                <w:color w:val="auto"/>
                <w:kern w:val="2"/>
                <w:sz w:val="21"/>
                <w:szCs w:val="21"/>
                <w:lang w:eastAsia="zh-CN"/>
              </w:rPr>
            </w:pPr>
            <w:r>
              <w:rPr>
                <w:rFonts w:hint="eastAsia" w:ascii="宋体" w:hAnsi="宋体" w:eastAsia="宋体" w:cs="宋体"/>
                <w:b/>
                <w:bCs/>
                <w:color w:val="auto"/>
                <w:kern w:val="2"/>
                <w:sz w:val="21"/>
                <w:szCs w:val="21"/>
                <w:lang w:eastAsia="zh-CN"/>
              </w:rPr>
              <w:t>4</w:t>
            </w:r>
          </w:p>
        </w:tc>
        <w:tc>
          <w:tcPr>
            <w:tcW w:w="3796"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color w:val="auto"/>
                <w:kern w:val="2"/>
                <w:sz w:val="21"/>
                <w:szCs w:val="21"/>
                <w:lang w:eastAsia="zh-CN"/>
              </w:rPr>
            </w:pPr>
            <w:r>
              <w:rPr>
                <w:rFonts w:hint="eastAsia" w:ascii="宋体" w:hAnsi="宋体" w:eastAsia="宋体" w:cs="宋体"/>
                <w:b/>
                <w:bCs/>
                <w:color w:val="auto"/>
                <w:kern w:val="2"/>
                <w:sz w:val="21"/>
                <w:szCs w:val="21"/>
                <w:lang w:eastAsia="zh-CN"/>
              </w:rPr>
              <w:t>诚信情况</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宋体"/>
                <w:b/>
                <w:color w:val="auto"/>
                <w:kern w:val="2"/>
                <w:sz w:val="21"/>
                <w:szCs w:val="21"/>
                <w:lang w:eastAsia="zh-CN"/>
              </w:rPr>
            </w:pPr>
            <w:r>
              <w:rPr>
                <w:rFonts w:hint="eastAsia" w:ascii="宋体" w:hAnsi="宋体" w:eastAsia="宋体" w:cs="宋体"/>
                <w:b/>
                <w:bCs/>
                <w:color w:val="auto"/>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8" w:type="dxa"/>
            <w:gridSpan w:val="2"/>
            <w:tcBorders>
              <w:top w:val="single" w:color="auto" w:sz="4" w:space="0"/>
              <w:left w:val="single" w:color="auto" w:sz="4" w:space="0"/>
              <w:bottom w:val="single" w:color="auto" w:sz="4" w:space="0"/>
              <w:right w:val="single" w:color="auto" w:sz="4" w:space="0"/>
            </w:tcBorders>
            <w:vAlign w:val="center"/>
          </w:tcPr>
          <w:p>
            <w:pPr>
              <w:widowControl w:val="0"/>
              <w:spacing w:after="160"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序号</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val="0"/>
              <w:spacing w:after="160"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评分因素</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after="160"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权重(%)</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widowControl w:val="0"/>
              <w:spacing w:after="160" w:line="24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8" w:type="dxa"/>
            <w:vMerge w:val="continue"/>
            <w:tcBorders>
              <w:left w:val="single" w:color="auto" w:sz="4" w:space="0"/>
              <w:right w:val="single" w:color="auto" w:sz="4" w:space="0"/>
            </w:tcBorders>
            <w:vAlign w:val="center"/>
          </w:tcPr>
          <w:p>
            <w:pPr>
              <w:widowControl w:val="0"/>
              <w:spacing w:line="240" w:lineRule="auto"/>
              <w:jc w:val="center"/>
              <w:rPr>
                <w:rFonts w:hint="eastAsia" w:ascii="宋体" w:hAnsi="宋体" w:eastAsia="宋体" w:cs="宋体"/>
                <w:color w:val="auto"/>
                <w:kern w:val="2"/>
                <w:sz w:val="21"/>
                <w:szCs w:val="21"/>
                <w:lang w:eastAsia="zh-CN"/>
              </w:rPr>
            </w:pPr>
          </w:p>
        </w:tc>
        <w:tc>
          <w:tcPr>
            <w:tcW w:w="6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2" w:rightChars="1"/>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2" w:rightChars="1"/>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公司诚信</w:t>
            </w:r>
          </w:p>
        </w:tc>
        <w:tc>
          <w:tcPr>
            <w:tcW w:w="70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2" w:rightChars="1"/>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5</w:t>
            </w:r>
          </w:p>
        </w:tc>
        <w:tc>
          <w:tcPr>
            <w:tcW w:w="40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wordWrap w:val="0"/>
              <w:spacing w:before="0" w:beforeAutospacing="0" w:after="0" w:afterAutospacing="0" w:line="240" w:lineRule="auto"/>
              <w:ind w:left="0" w:right="0"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r>
              <w:rPr>
                <w:rFonts w:hint="eastAsia" w:ascii="宋体" w:hAnsi="宋体" w:eastAsia="宋体" w:cs="宋体"/>
                <w:b/>
                <w:bCs/>
                <w:color w:val="auto"/>
                <w:kern w:val="2"/>
                <w:sz w:val="21"/>
                <w:szCs w:val="21"/>
                <w:lang w:eastAsia="zh-CN"/>
              </w:rPr>
              <w:t>“深圳政府采购智慧平台信用库”作为供应商信用信息的法定查询渠道之一。</w:t>
            </w:r>
          </w:p>
          <w:p>
            <w:pPr>
              <w:widowControl w:val="0"/>
              <w:wordWrap w:val="0"/>
              <w:spacing w:line="240" w:lineRule="auto"/>
              <w:ind w:firstLine="420" w:firstLineChars="200"/>
              <w:jc w:val="both"/>
              <w:rPr>
                <w:rFonts w:hint="eastAsia" w:ascii="宋体" w:hAnsi="宋体" w:eastAsia="宋体" w:cs="宋体"/>
                <w:b/>
                <w:bCs/>
                <w:color w:val="auto"/>
                <w:kern w:val="2"/>
                <w:sz w:val="21"/>
                <w:szCs w:val="21"/>
                <w:lang w:eastAsia="zh-CN"/>
              </w:rPr>
            </w:pPr>
            <w:r>
              <w:rPr>
                <w:rFonts w:hint="eastAsia" w:ascii="宋体" w:hAnsi="宋体" w:eastAsia="宋体" w:cs="宋体"/>
                <w:color w:val="auto"/>
                <w:kern w:val="2"/>
                <w:sz w:val="21"/>
                <w:szCs w:val="21"/>
                <w:lang w:eastAsia="zh-CN"/>
              </w:rPr>
              <w:t>查询渠道：通过“信用中国”（www.creditchina.gov.cn，下载信用信息报告）、“中国政府采购网”（www.ccgp.gov.cn）以及“深圳市政府采购监管网”（http://zfcg.sz.gov.cn）、</w:t>
            </w:r>
            <w:r>
              <w:rPr>
                <w:rFonts w:hint="eastAsia" w:ascii="宋体" w:hAnsi="宋体" w:eastAsia="宋体" w:cs="宋体"/>
                <w:b/>
                <w:bCs/>
                <w:color w:val="auto"/>
                <w:kern w:val="2"/>
                <w:sz w:val="21"/>
                <w:szCs w:val="21"/>
                <w:lang w:eastAsia="zh-CN"/>
              </w:rPr>
              <w:t>“深圳政府采购智慧平台信用库”</w:t>
            </w:r>
            <w:r>
              <w:rPr>
                <w:rFonts w:hint="eastAsia" w:ascii="宋体" w:hAnsi="宋体" w:eastAsia="宋体" w:cs="宋体"/>
                <w:color w:val="auto"/>
                <w:kern w:val="2"/>
                <w:sz w:val="21"/>
                <w:szCs w:val="21"/>
                <w:lang w:eastAsia="zh-CN"/>
              </w:rPr>
              <w:t>查询供应商信用信息，信用信息以开标当日的查询结果为准。</w:t>
            </w:r>
          </w:p>
        </w:tc>
      </w:tr>
    </w:tbl>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16747"/>
    <w:rsid w:val="37516747"/>
    <w:rsid w:val="EFFB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2025-12-10T11:21:00Z</dcterms:created>
  <dc:creator>yt</dc:creator>
  <cp:lastModifiedBy>退役军人事务局收发文</cp:lastModifiedBy>
  <dcterms:modified xsi:type="dcterms:W3CDTF">2025-12-11T17:29:58Z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B6FD5800C1774E09A8910AAD2BFA5384</vt:lpwstr>
  </property>
</Properties>
</file>