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847"/>
        <w:tblOverlap w:val="never"/>
        <w:tblW w:w="93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19"/>
        <w:gridCol w:w="1209"/>
        <w:gridCol w:w="1196"/>
        <w:gridCol w:w="1196"/>
        <w:gridCol w:w="1196"/>
        <w:gridCol w:w="1196"/>
        <w:gridCol w:w="1196"/>
        <w:gridCol w:w="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政府信息公开信息处理费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《国务院办公厅关于印发&lt;政府信息公开信息处理费管理办法&gt;的通知》（国办函〔2020〕109号）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申请公开政府信息超出一定数量或者频次范围的申请人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收费时限及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行政机关依法决定收取信息处理费的，应当在政府信息公开申请处理期限内，按照申请人获取信息的途径向申请人发出收费通知，说明收费的依据、标准、数额、缴纳方式等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缴费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申请人应当在收到收费通知次日起20个工作日内缴纳费用，逾期未缴纳的视为放弃申请，行政机关不再处理该政府信息公开申请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按件计收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按量计收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适用于所有政府信息公开申请处理决定类型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适用于申请人要求以提供纸质件、发送电子邮件、复制电子数据等方式获取政府信息的情形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申请人的一份政府信息公开申请包含多项内容的，按照“一事一申请”原则，以合理的最小单位拆分计算件数。同一申请人一个自然月累计申请件数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以单件政府信息公开申请为单位分别计算页数（A4及以下幅面纸张的单面为1页），对同一申请人提交的多件政府信息公开申请不累加计算页数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10件以下（含10件）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11-30件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（含30件）的部分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31件以上的部分，以10件为一档，每增加一档，收费标准提高100元/件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30页以下（含30页）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31—100页（含100页）的部分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101—200页（含200页）的部分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201页以上的部分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100元/件</w:t>
            </w:r>
          </w:p>
        </w:tc>
        <w:tc>
          <w:tcPr>
            <w:tcW w:w="11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10元/页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20元/页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40元/页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8F2887"/>
    <w:rsid w:val="CDE482CB"/>
    <w:rsid w:val="EB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dcterms:modified xsi:type="dcterms:W3CDTF">2025-02-21T15:46:58Z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6F742A00C7EA01CE722FB867519AA382</vt:lpwstr>
  </property>
</Properties>
</file>