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w:t>
      </w:r>
    </w:p>
    <w:p>
      <w:pPr>
        <w:widowControl/>
        <w:adjustRightInd w:val="0"/>
        <w:spacing w:line="560" w:lineRule="exact"/>
        <w:ind w:right="422" w:rightChars="201" w:firstLine="519" w:firstLineChars="118"/>
        <w:jc w:val="center"/>
        <w:rPr>
          <w:rFonts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深圳市盐田区政府物业管理中心</w:t>
      </w:r>
    </w:p>
    <w:p>
      <w:pPr>
        <w:widowControl/>
        <w:adjustRightInd w:val="0"/>
        <w:spacing w:line="560" w:lineRule="exact"/>
        <w:ind w:right="422" w:rightChars="201" w:firstLine="519" w:firstLineChars="118"/>
        <w:jc w:val="center"/>
        <w:rPr>
          <w:rFonts w:ascii="方正小标宋简体" w:hAnsi="宋体" w:eastAsia="方正小标宋简体" w:cs="宋体"/>
          <w:bCs/>
          <w:sz w:val="44"/>
          <w:szCs w:val="44"/>
          <w:highlight w:val="none"/>
        </w:rPr>
      </w:pPr>
      <w:r>
        <w:rPr>
          <w:rFonts w:hint="eastAsia" w:ascii="方正小标宋简体" w:hAnsi="宋体" w:eastAsia="方正小标宋简体" w:cs="宋体"/>
          <w:bCs/>
          <w:sz w:val="44"/>
          <w:szCs w:val="44"/>
          <w:highlight w:val="none"/>
        </w:rPr>
        <w:t>安全巡查服务项目评审打分表</w:t>
      </w:r>
    </w:p>
    <w:p>
      <w:pPr>
        <w:pStyle w:val="3"/>
        <w:rPr>
          <w:rFonts w:ascii="新宋体" w:hAnsi="新宋体" w:eastAsia="新宋体"/>
          <w:sz w:val="22"/>
          <w:highlight w:val="none"/>
        </w:rPr>
      </w:pPr>
    </w:p>
    <w:p>
      <w:pPr>
        <w:pStyle w:val="3"/>
        <w:rPr>
          <w:rFonts w:ascii="新宋体" w:hAnsi="新宋体" w:eastAsia="新宋体"/>
          <w:sz w:val="28"/>
          <w:szCs w:val="28"/>
          <w:highlight w:val="none"/>
        </w:rPr>
      </w:pPr>
      <w:r>
        <w:rPr>
          <w:rFonts w:hint="eastAsia" w:ascii="新宋体" w:hAnsi="新宋体" w:eastAsia="新宋体"/>
          <w:sz w:val="28"/>
          <w:szCs w:val="28"/>
          <w:highlight w:val="none"/>
        </w:rPr>
        <w:t>供应商名称：</w:t>
      </w:r>
    </w:p>
    <w:tbl>
      <w:tblPr>
        <w:tblStyle w:val="4"/>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2"/>
        <w:gridCol w:w="794"/>
        <w:gridCol w:w="5962"/>
        <w:gridCol w:w="57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评分项</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88"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评分细则</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项目实施方案</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评审内容：针对本项目需求提供项目实施方案，包括但不限于相应的项目理解、服务内容、保障措施方面。</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评分标准：</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（1）项目实施方案内容全面具体；</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（2）项目实施方案内容准确到位；</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（3）项目实施方案内容针对性强；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（4）项目实施方案内容科学合理；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（5）项目实施方案内容可操作性强。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满足以上五项要求得15分，满足以上四项要求得12分，满足以上三项要求得9分，满足以上两项要求得6分，满足以上一项要求得3分，其它情况不得分。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质量管理及保证措施</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评审内容：针对本项目需求提供质量管理及保证措施，计划有效、可行。</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（1）质量管理及保证措施内容全面具体；</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（2）质量管理及保证措施内容准确到位；</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（3）质量管理及保证措施内容针对性强；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（4）质量管理及保证措施内容科学合理；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（5）质量管理及保证措施内容可操作性强。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满足以上五项要求得10分，满足以上四项要求得8分，满足以上三项要求得6分，满足以上两项要求得4分，满足以上一项要求得2分，其它情况不得分。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项目重点难点分析、应对措施及相关的合理化建议</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评审内容：针对该项目投标人对工作重点、难点的分析、解决重点难点问题的方案措施和建议。</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优良中差评分标准：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（1）项目重点难点分析、应对措施及相关的合理化建议内容全面；</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（2）项目重点难点分析、应对措施及相关的合理化建议内容具体，表达清晰、完整、严谨；</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（3）项目重点难点分析、应对措施及相关的合理化建议内容针对性强；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（4）项目重点难点分析、应对措施及相关的合理化建议内容先进，科学合理；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（5）项目重点难点分析、应对措施及相关的合理化建议内容可操作性强；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满足以上五项要求得10分，满足以上四项要求得8分，满足以上三项要求得6分，满足以上两项要求得4分，满足以上一项要求得2分，其它情况不得分。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项目进度及保证措施</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评审内容：针对本项目方案中进度及保证措施，计划有效、可行。</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（1）项目进度保证措施内容全面具体；</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（2）项目进度保证措施内容准确到位；</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（3）项目进度保证措施内容针对性强；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（4）项目进度保证措施内容科学合理；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（5）项目进度及保证措施内容可操作性强。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满足以上五项要求得10分，满足以上四项要求得8分，满足以上三项要求得6分，满足以上两项要求得4分，满足以上一项要求得2分，其它情况不得分。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项目团队要求</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1.投标人为本项目拟安排的团队负责人：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1名，具备大专以上学历，具备相关安全巡查服务类工作经验，否则不得分。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（1）团队负责人具有注册安全工程师执业资格证书，得8分；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2.团队其它成员：</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2名，具备大专以上学历，具备相关安全巡查类服务项目工作经验，否则不得分。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（1）团队成员（团队负责人除外）具有注册安全工程师资格证书的每提供1人得2分，本项最高得4分；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（2）团队成员（团队负责人除外）具有安全评价师资格证书的每提供1人得1.5分，本项最高得3分。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bookmarkStart w:id="0" w:name="_GoBack"/>
            <w:r>
              <w:rPr>
                <w:rFonts w:hint="eastAsia" w:ascii="宋体" w:hAnsi="宋体" w:eastAsia="宋体" w:cs="宋体"/>
                <w:sz w:val="21"/>
                <w:szCs w:val="21"/>
                <w:highlight w:val="none"/>
              </w:rPr>
              <w:t>6</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资质认证与专业技术情况</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1.投标人是在中华人民共和国境内注册并合法运作的独立法人机构，具有质量管理体系认证证书、职业健康安全管理体系认证证书、环境管理体系认证证书、信息安全管理体系认证证书；</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每提供一项得0.5分，满分2分。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提供有效的资质证书复印件并加盖公章作为证明材料，未按要求提供或提供不清晰导致无法判断的不得分。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2.投标人具备安全</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类软件著作权登记证书；</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每提供一项得0.5分，满分2分。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提供软件著作权登记证书复印件并加盖公章作为证明材料，，未按要求提供或提供不清晰导致无法判断的不得分。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同类业绩情况</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2020年1月1日至本项目投标截止之日，具有安全服务类项目业绩（以合同签订时间为准）；业绩项目每提供1项得5分，最高得10分，未提供不得分。（提供合同关键页或其他相关证明材料复印件，加盖公章，原件备查）</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履约评价情况</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rPr>
              <w:t>上述同类业绩中，经服务单位考核评价为优或满意的，每提供一项得</w:t>
            </w:r>
            <w:r>
              <w:rPr>
                <w:rFonts w:ascii="宋体" w:hAnsi="宋体" w:cs="宋体"/>
                <w:sz w:val="21"/>
                <w:szCs w:val="21"/>
                <w:highlight w:val="none"/>
              </w:rPr>
              <w:t>2</w:t>
            </w:r>
            <w:r>
              <w:rPr>
                <w:rFonts w:hint="eastAsia" w:ascii="宋体" w:hAnsi="宋体" w:cs="宋体"/>
                <w:sz w:val="21"/>
                <w:szCs w:val="21"/>
                <w:highlight w:val="none"/>
              </w:rPr>
              <w:t>分，满分</w:t>
            </w:r>
            <w:r>
              <w:rPr>
                <w:rFonts w:ascii="宋体" w:hAnsi="宋体" w:cs="宋体"/>
                <w:sz w:val="21"/>
                <w:szCs w:val="21"/>
                <w:highlight w:val="none"/>
              </w:rPr>
              <w:t>4</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rPr>
              <w:t>经服务单位考核评价为</w:t>
            </w:r>
            <w:r>
              <w:rPr>
                <w:rFonts w:hint="eastAsia" w:ascii="宋体" w:hAnsi="宋体" w:cs="宋体"/>
                <w:sz w:val="21"/>
                <w:szCs w:val="21"/>
                <w:highlight w:val="none"/>
                <w:lang w:eastAsia="zh-CN"/>
              </w:rPr>
              <w:t>合格或良好的，每提供一项得</w:t>
            </w:r>
            <w:r>
              <w:rPr>
                <w:rFonts w:hint="eastAsia" w:ascii="宋体" w:hAnsi="宋体" w:cs="宋体"/>
                <w:sz w:val="21"/>
                <w:szCs w:val="21"/>
                <w:highlight w:val="none"/>
                <w:lang w:val="en-US" w:eastAsia="zh-CN"/>
              </w:rPr>
              <w:t>1分。</w:t>
            </w:r>
            <w:r>
              <w:rPr>
                <w:rFonts w:hint="eastAsia" w:ascii="宋体" w:hAnsi="宋体" w:cs="宋体"/>
                <w:sz w:val="21"/>
                <w:szCs w:val="21"/>
                <w:highlight w:val="none"/>
              </w:rPr>
              <w:t>（须提供盖有服务单位公章的相关评价证明材料，加盖公章，不提供不得分）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服务响应</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评审委员会根据投标人承诺的服务响应时间进行评审：</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承诺1小时之内响应的得4分；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承诺1-2小时（不含2小时）之间响应的得2分；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承诺2小时（含2小时）-3小时（不含3小时）之间响应的得1分，其它不得分。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提供承诺函（格式自拟）加盖投标人公章作为证明材料，否则不得分。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违约承诺</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在投标文件中详细说明违约承诺，评审委员会根据响应情况进行评审：评分标准：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（1）违约承诺全面具体；</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（2）违约承诺准确到位；</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（3）违约承诺针对性强；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（4）违约承诺科学合理；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（5）违约承诺可操作性强。</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满足以上五项要求得3分，满足以上四项要求得3分，满足以上三项要求得2分，满足以上两项要求得1分，其它情况不得分。</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诚信</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深圳市财政委员会关于加强招投标评审环节诚信管理的通知》（深财购[2013]27号）相关规定，投标人在参与政府采购活动中出现诚信相关问题且在相关主管部门处理措施实施期限内的本项不得分，否则得满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投标人应当提供相关信用记录并加盖公章。</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诚信查询方式：“信用中国”网站(www.creditchina.gov.cn)没有以下任意记录名单之一：①记录失信被执行人；②重大税收违法案件当事人名单；中国政府采购网(www.ccgp.gov.cn)不处于“政府采购严重违法失信行为信息记录”中的禁止参加政府采购活动期间；在深圳信用网（https://www.szcredit.com.cn）、深圳市政府采购监督管理网（http://zfcg.sz.gov.cn/）查询相关主体信用记录，对不符合《中华人民共和国政府采购法》第二十二条规定条件的供应商限制参与政府采购。如在上述网站查询结果均显示没有相关记录，视为不存在上述不良信用记录。由投标人对信用信息查询记录和证据截图或下载存档，相关信息以投标当日的查询结果为准。信用信息查询记录应当作为项目档案材料一并保存。</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7" w:hRule="atLeast"/>
        </w:trPr>
        <w:tc>
          <w:tcPr>
            <w:tcW w:w="30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466"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503" w:type="pct"/>
            <w:noWrap/>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价格分应当采用低价优先法计算，即满足招标文件要求且投标价格最低的投标报价为评标基准价，其价格分为满分。其他投标人的价格分统一按照下列公式计算：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投标报价得分=(评标基准价／投标报价)×100×10%</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备注：投标报价得分四舍五入后，小数点后保留两位有效数。</w:t>
            </w:r>
          </w:p>
        </w:tc>
        <w:tc>
          <w:tcPr>
            <w:tcW w:w="334"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387" w:type="pct"/>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trPr>
        <w:tc>
          <w:tcPr>
            <w:tcW w:w="773" w:type="pct"/>
            <w:gridSpan w:val="2"/>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评分合计</w:t>
            </w:r>
          </w:p>
        </w:tc>
        <w:tc>
          <w:tcPr>
            <w:tcW w:w="4226" w:type="pct"/>
            <w:gridSpan w:val="3"/>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73" w:type="pct"/>
            <w:gridSpan w:val="2"/>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评审人签字</w:t>
            </w:r>
          </w:p>
        </w:tc>
        <w:tc>
          <w:tcPr>
            <w:tcW w:w="4226" w:type="pct"/>
            <w:gridSpan w:val="3"/>
            <w:noWrap/>
            <w:vAlign w:val="center"/>
          </w:tcPr>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288" w:lineRule="auto"/>
              <w:ind w:left="-78" w:leftChars="-37" w:right="-73" w:rightChars="-3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tc>
      </w:tr>
    </w:tbl>
    <w:p>
      <w:pPr>
        <w:pStyle w:val="3"/>
        <w:rPr>
          <w:highlight w:val="none"/>
        </w:rPr>
      </w:pPr>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鼎小标宋简">
    <w:altName w:val="方正小标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D64FB3"/>
    <w:rsid w:val="4A1947CF"/>
    <w:rsid w:val="667E10F2"/>
    <w:rsid w:val="BEB24FFE"/>
    <w:rsid w:val="C7FED5C8"/>
    <w:rsid w:val="FAFB5672"/>
    <w:rsid w:val="FD3ED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customStyle="1" w:styleId="6">
    <w:name w:val="Table Paragraph"/>
    <w:basedOn w:val="1"/>
    <w:qFormat/>
    <w:uiPriority w:val="1"/>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yantian</cp:lastModifiedBy>
  <cp:lastPrinted>2025-12-16T10:59:03Z</cp:lastPrinted>
  <dcterms:modified xsi:type="dcterms:W3CDTF">2025-12-16T11:12:03Z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53156ADCB6979690AD833F69DB151A6E</vt:lpwstr>
  </property>
</Properties>
</file>